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b/>
          <w:kern w:val="2"/>
          <w:sz w:val="24"/>
          <w:szCs w:val="21"/>
          <w:highlight w:val="none"/>
          <w:lang w:val="en-US" w:eastAsia="zh-CN"/>
        </w:rPr>
      </w:pPr>
      <w:bookmarkStart w:id="0" w:name="_Toc18413600"/>
      <w:bookmarkStart w:id="1" w:name="_Toc18404533"/>
      <w:bookmarkStart w:id="2" w:name="_Toc18403966"/>
      <w:r>
        <w:rPr>
          <w:rFonts w:ascii="Times New Roman" w:hAnsi="Times New Roman"/>
          <w:b/>
          <w:sz w:val="24"/>
          <w:highlight w:val="none"/>
        </w:rPr>
        <w:t>3GPP TSG-RAN WG2 Meeting #</w:t>
      </w:r>
      <w:r>
        <w:rPr>
          <w:rFonts w:ascii="Times New Roman" w:hAnsi="Times New Roman"/>
          <w:b/>
          <w:sz w:val="24"/>
          <w:highlight w:val="none"/>
          <w:lang w:eastAsia="zh-CN"/>
        </w:rPr>
        <w:t>1</w:t>
      </w:r>
      <w:r>
        <w:rPr>
          <w:rFonts w:hint="eastAsia" w:ascii="Times New Roman" w:hAnsi="Times New Roman"/>
          <w:b/>
          <w:sz w:val="24"/>
          <w:highlight w:val="none"/>
          <w:lang w:val="en-US" w:eastAsia="zh-CN"/>
        </w:rPr>
        <w:t>17e</w:t>
      </w:r>
      <w:r>
        <w:rPr>
          <w:rFonts w:ascii="Times New Roman" w:hAnsi="Times New Roman"/>
          <w:b/>
          <w:i/>
          <w:sz w:val="24"/>
          <w:highlight w:val="none"/>
        </w:rPr>
        <w:t xml:space="preserve"> </w:t>
      </w:r>
      <w:r>
        <w:rPr>
          <w:rFonts w:ascii="Times New Roman" w:hAnsi="Times New Roman"/>
          <w:b/>
          <w:i/>
          <w:sz w:val="24"/>
          <w:highlight w:val="none"/>
          <w:lang w:val="en-US" w:eastAsia="zh-CN"/>
        </w:rPr>
        <w:t xml:space="preserve">                       </w:t>
      </w:r>
      <w:r>
        <w:rPr>
          <w:rFonts w:hint="eastAsia"/>
          <w:b/>
          <w:kern w:val="2"/>
          <w:sz w:val="24"/>
          <w:szCs w:val="21"/>
          <w:highlight w:val="none"/>
          <w:lang w:val="en-US" w:eastAsia="zh-CN"/>
        </w:rPr>
        <w:t xml:space="preserve"> R2-2202827</w:t>
      </w:r>
      <w:bookmarkStart w:id="14" w:name="_GoBack"/>
      <w:bookmarkEnd w:id="14"/>
    </w:p>
    <w:p>
      <w:pPr>
        <w:pStyle w:val="286"/>
        <w:rPr>
          <w:rFonts w:cs="Arial"/>
          <w:bCs/>
          <w:kern w:val="0"/>
          <w:sz w:val="28"/>
          <w:szCs w:val="28"/>
          <w:highlight w:val="none"/>
        </w:rPr>
      </w:pPr>
      <w:r>
        <w:rPr>
          <w:highlight w:val="none"/>
        </w:rPr>
        <w:t xml:space="preserve">Electronic meeting, </w:t>
      </w:r>
      <w:r>
        <w:rPr>
          <w:rFonts w:hint="eastAsia"/>
          <w:highlight w:val="none"/>
          <w:lang w:val="en-US" w:eastAsia="zh-CN"/>
        </w:rPr>
        <w:t>21 Feb</w:t>
      </w:r>
      <w:r>
        <w:rPr>
          <w:highlight w:val="none"/>
        </w:rPr>
        <w:t xml:space="preserve"> – </w:t>
      </w:r>
      <w:r>
        <w:rPr>
          <w:rFonts w:hint="eastAsia"/>
          <w:highlight w:val="none"/>
          <w:lang w:val="en-US" w:eastAsia="zh-CN"/>
        </w:rPr>
        <w:t>03</w:t>
      </w:r>
      <w:r>
        <w:rPr>
          <w:highlight w:val="none"/>
        </w:rPr>
        <w:t xml:space="preserve"> </w:t>
      </w:r>
      <w:r>
        <w:rPr>
          <w:rFonts w:hint="eastAsia"/>
          <w:highlight w:val="none"/>
          <w:lang w:val="en-US" w:eastAsia="zh-CN"/>
        </w:rPr>
        <w:t>Mar</w:t>
      </w:r>
      <w:r>
        <w:rPr>
          <w:rFonts w:hint="eastAsia" w:eastAsia="宋体"/>
          <w:highlight w:val="none"/>
          <w:lang w:val="en-US" w:eastAsia="zh-CN"/>
        </w:rPr>
        <w:t xml:space="preserve"> </w:t>
      </w:r>
      <w:r>
        <w:rPr>
          <w:highlight w:val="none"/>
        </w:rPr>
        <w:t>202</w:t>
      </w:r>
      <w:r>
        <w:rPr>
          <w:rFonts w:hint="eastAsia"/>
          <w:highlight w:val="none"/>
          <w:lang w:val="en-US" w:eastAsia="zh-CN"/>
        </w:rPr>
        <w:t>2</w:t>
      </w:r>
      <w:r>
        <w:rPr>
          <w:rFonts w:cs="Arial"/>
          <w:bCs/>
          <w:kern w:val="0"/>
          <w:sz w:val="28"/>
          <w:szCs w:val="28"/>
          <w:highlight w:val="none"/>
        </w:rPr>
        <w:tab/>
      </w:r>
      <w:r>
        <w:rPr>
          <w:rFonts w:cs="Arial"/>
          <w:bCs/>
          <w:kern w:val="0"/>
          <w:sz w:val="28"/>
          <w:szCs w:val="28"/>
          <w:highlight w:val="none"/>
        </w:rPr>
        <w:t xml:space="preserve">      </w:t>
      </w:r>
      <w:r>
        <w:rPr>
          <w:rFonts w:cs="Arial"/>
          <w:bCs/>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rFonts w:hint="default"/>
          <w:b/>
          <w:sz w:val="24"/>
          <w:highlight w:val="none"/>
          <w:lang w:val="en-US" w:eastAsia="zh-CN"/>
        </w:rPr>
        <w:t xml:space="preserve"> UE Capability for QoE</w:t>
      </w:r>
      <w:r>
        <w:rPr>
          <w:rFonts w:hint="eastAsia"/>
          <w:b/>
          <w:sz w:val="24"/>
          <w:highlight w:val="none"/>
          <w:lang w:val="en-US" w:eastAsia="zh-CN"/>
        </w:rPr>
        <w:t xml:space="preserve">  </w:t>
      </w:r>
    </w:p>
    <w:p>
      <w:pPr>
        <w:overflowPunct w:val="0"/>
        <w:autoSpaceDE w:val="0"/>
        <w:autoSpaceDN w:val="0"/>
        <w:adjustRightInd w:val="0"/>
        <w:snapToGrid w:val="0"/>
        <w:jc w:val="left"/>
        <w:textAlignment w:val="baseline"/>
        <w:rPr>
          <w:rFonts w:hint="default"/>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z w:val="24"/>
          <w:highlight w:val="none"/>
          <w:lang w:val="en-US" w:eastAsia="zh-CN"/>
        </w:rPr>
        <w:t>8.14.4</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eastAsia="宋体" w:cs="Arial"/>
          <w:lang w:val="en-US" w:eastAsia="zh-CN"/>
        </w:rPr>
      </w:pPr>
      <w:r>
        <w:rPr>
          <w:rFonts w:hint="eastAsia" w:eastAsia="宋体" w:cs="Arial"/>
          <w:lang w:val="en-US" w:eastAsia="zh-CN"/>
        </w:rPr>
        <w:t xml:space="preserve">Below agreements about </w:t>
      </w:r>
      <w:r>
        <w:rPr>
          <w:rFonts w:hint="default" w:eastAsia="宋体" w:cs="Arial"/>
          <w:lang w:val="en-US" w:eastAsia="zh-CN"/>
        </w:rPr>
        <w:t>UE capability for QoE</w:t>
      </w:r>
      <w:r>
        <w:rPr>
          <w:rFonts w:hint="eastAsia" w:eastAsia="宋体" w:cs="Arial"/>
          <w:lang w:val="en-US" w:eastAsia="zh-CN"/>
        </w:rPr>
        <w:t xml:space="preserve"> have been made by companies in RAN2#11</w:t>
      </w:r>
      <w:r>
        <w:rPr>
          <w:rFonts w:hint="default" w:eastAsia="宋体" w:cs="Arial"/>
          <w:lang w:val="en-US" w:eastAsia="zh-CN"/>
        </w:rPr>
        <w:t>6bis</w:t>
      </w:r>
      <w:r>
        <w:rPr>
          <w:rFonts w:eastAsia="宋体" w:cs="Arial"/>
          <w:lang w:val="en-US" w:eastAsia="zh-CN"/>
        </w:rPr>
        <w:t>_</w:t>
      </w:r>
      <w:r>
        <w:rPr>
          <w:rFonts w:hint="eastAsia" w:eastAsia="宋体" w:cs="Arial"/>
          <w:lang w:val="en-US" w:eastAsia="zh-CN"/>
        </w:rPr>
        <w:t>e[1]:</w:t>
      </w:r>
    </w:p>
    <w:p>
      <w:pPr>
        <w:pStyle w:val="187"/>
        <w:pBdr>
          <w:top w:val="single" w:color="auto" w:sz="4" w:space="0"/>
          <w:left w:val="single" w:color="auto" w:sz="4" w:space="0"/>
          <w:bottom w:val="single" w:color="auto" w:sz="4" w:space="0"/>
          <w:right w:val="single" w:color="auto" w:sz="4" w:space="0"/>
        </w:pBdr>
        <w:jc w:val="left"/>
      </w:pPr>
      <w:r>
        <w:t xml:space="preserve">Can continue offline to see if there could be some question to SA4 regarding how to know capabilities of the application (system wide). </w:t>
      </w:r>
      <w:r>
        <w:rPr>
          <w:i/>
        </w:rPr>
        <w:t>(Chair: included in the post discussion on LS out [070])</w:t>
      </w:r>
      <w:r>
        <w:t xml:space="preserve">. </w:t>
      </w:r>
    </w:p>
    <w:p>
      <w:pPr>
        <w:pStyle w:val="187"/>
        <w:pBdr>
          <w:top w:val="single" w:color="auto" w:sz="4" w:space="0"/>
          <w:left w:val="single" w:color="auto" w:sz="4" w:space="0"/>
          <w:bottom w:val="single" w:color="auto" w:sz="4" w:space="0"/>
          <w:right w:val="single" w:color="auto" w:sz="4" w:space="0"/>
        </w:pBdr>
        <w:jc w:val="left"/>
      </w:pPr>
      <w:r>
        <w:t xml:space="preserve">For QoE capable UE, Mandatory to support 16 QoE configs (signalling limitation), include this info in LS out to SA4. </w:t>
      </w:r>
    </w:p>
    <w:p>
      <w:pPr>
        <w:pStyle w:val="187"/>
        <w:pBdr>
          <w:top w:val="single" w:color="auto" w:sz="4" w:space="0"/>
          <w:left w:val="single" w:color="auto" w:sz="4" w:space="0"/>
          <w:bottom w:val="single" w:color="auto" w:sz="4" w:space="0"/>
          <w:right w:val="single" w:color="auto" w:sz="4" w:space="0"/>
        </w:pBdr>
        <w:jc w:val="left"/>
        <w:rPr>
          <w:lang w:eastAsia="zh-CN"/>
        </w:rPr>
      </w:pPr>
      <w:r>
        <w:rPr>
          <w:lang w:eastAsia="zh-CN"/>
        </w:rPr>
        <w:t xml:space="preserve">[031] </w:t>
      </w:r>
      <w:r>
        <w:rPr>
          <w:rFonts w:hint="eastAsia"/>
          <w:lang w:eastAsia="zh-CN"/>
        </w:rPr>
        <w:t>Introduce QoE UE capability parameters for each service type i.e., streaming, MTSI and VR.</w:t>
      </w:r>
    </w:p>
    <w:p>
      <w:pPr>
        <w:pStyle w:val="187"/>
        <w:pBdr>
          <w:top w:val="single" w:color="auto" w:sz="4" w:space="0"/>
          <w:left w:val="single" w:color="auto" w:sz="4" w:space="0"/>
          <w:bottom w:val="single" w:color="auto" w:sz="4" w:space="0"/>
          <w:right w:val="single" w:color="auto" w:sz="4" w:space="0"/>
        </w:pBdr>
        <w:jc w:val="left"/>
        <w:rPr>
          <w:lang w:eastAsia="zh-CN"/>
        </w:rPr>
      </w:pPr>
      <w:r>
        <w:rPr>
          <w:rFonts w:hint="eastAsia"/>
          <w:lang w:eastAsia="zh-CN"/>
        </w:rPr>
        <w:t>[031] Introduce UE capability parameter(s) for RAN visible QoE.</w:t>
      </w:r>
    </w:p>
    <w:p>
      <w:pPr>
        <w:pStyle w:val="187"/>
        <w:pBdr>
          <w:top w:val="single" w:color="auto" w:sz="4" w:space="0"/>
          <w:left w:val="single" w:color="auto" w:sz="4" w:space="0"/>
          <w:bottom w:val="single" w:color="auto" w:sz="4" w:space="0"/>
          <w:right w:val="single" w:color="auto" w:sz="4" w:space="0"/>
        </w:pBdr>
        <w:jc w:val="left"/>
        <w:rPr>
          <w:lang w:eastAsia="zh-CN"/>
        </w:rPr>
      </w:pPr>
      <w:r>
        <w:rPr>
          <w:lang w:eastAsia="zh-CN"/>
        </w:rPr>
        <w:t xml:space="preserve">[031] </w:t>
      </w:r>
      <w:r>
        <w:rPr>
          <w:rFonts w:hint="eastAsia"/>
          <w:lang w:eastAsia="zh-CN"/>
        </w:rPr>
        <w:t>Introduce a new sub-section in TS 38.306 to capture QoE related capabilities.</w:t>
      </w:r>
    </w:p>
    <w:p>
      <w:pPr>
        <w:pStyle w:val="187"/>
        <w:pBdr>
          <w:top w:val="single" w:color="auto" w:sz="4" w:space="0"/>
          <w:left w:val="single" w:color="auto" w:sz="4" w:space="0"/>
          <w:bottom w:val="single" w:color="auto" w:sz="4" w:space="0"/>
          <w:right w:val="single" w:color="auto" w:sz="4" w:space="0"/>
        </w:pBdr>
        <w:jc w:val="left"/>
        <w:rPr>
          <w:rFonts w:cs="Arial"/>
          <w:b/>
          <w:lang w:eastAsia="zh-CN"/>
        </w:rPr>
      </w:pPr>
      <w:r>
        <w:rPr>
          <w:lang w:eastAsia="zh-CN"/>
        </w:rPr>
        <w:t xml:space="preserve">[031] </w:t>
      </w:r>
      <w:r>
        <w:rPr>
          <w:rFonts w:hint="eastAsia"/>
          <w:lang w:eastAsia="zh-CN"/>
        </w:rPr>
        <w:t>Agree that no differentiation for FDD/TDD or FR1/FR2 is needed for QoE related capabilities.</w:t>
      </w:r>
    </w:p>
    <w:p>
      <w:pPr>
        <w:pStyle w:val="187"/>
        <w:pBdr>
          <w:top w:val="single" w:color="auto" w:sz="4" w:space="0"/>
          <w:left w:val="single" w:color="auto" w:sz="4" w:space="0"/>
          <w:bottom w:val="single" w:color="auto" w:sz="4" w:space="0"/>
          <w:right w:val="single" w:color="auto" w:sz="4" w:space="0"/>
        </w:pBdr>
        <w:jc w:val="left"/>
        <w:rPr>
          <w:rFonts w:hint="eastAsia"/>
          <w:lang w:eastAsia="zh-CN"/>
        </w:rPr>
      </w:pPr>
      <w:bookmarkStart w:id="8" w:name="OLE_LINK1"/>
      <w:r>
        <w:rPr>
          <w:rFonts w:hint="eastAsia"/>
          <w:lang w:eastAsia="zh-CN"/>
        </w:rPr>
        <w:t>[031] FFS on whether the Pause and resume capability is one of basic sub-features.</w:t>
      </w:r>
    </w:p>
    <w:bookmarkEnd w:id="8"/>
    <w:p>
      <w:pPr>
        <w:pStyle w:val="187"/>
        <w:pBdr>
          <w:top w:val="single" w:color="auto" w:sz="4" w:space="0"/>
          <w:left w:val="single" w:color="auto" w:sz="4" w:space="0"/>
          <w:bottom w:val="single" w:color="auto" w:sz="4" w:space="0"/>
          <w:right w:val="single" w:color="auto" w:sz="4" w:space="0"/>
        </w:pBdr>
        <w:jc w:val="left"/>
        <w:rPr>
          <w:rFonts w:hint="eastAsia"/>
          <w:lang w:eastAsia="zh-CN"/>
        </w:rPr>
      </w:pPr>
      <w:r>
        <w:rPr>
          <w:rFonts w:hint="eastAsia"/>
          <w:lang w:eastAsia="zh-CN"/>
        </w:rPr>
        <w:t>[031] FFS on which of the following option to choose for RVQoE capability,</w:t>
      </w:r>
    </w:p>
    <w:p>
      <w:pPr>
        <w:pStyle w:val="187"/>
        <w:pBdr>
          <w:top w:val="single" w:color="auto" w:sz="4" w:space="0"/>
          <w:left w:val="single" w:color="auto" w:sz="4" w:space="0"/>
          <w:bottom w:val="single" w:color="auto" w:sz="4" w:space="0"/>
          <w:right w:val="single" w:color="auto" w:sz="4" w:space="0"/>
        </w:pBdr>
        <w:ind w:firstLine="0" w:firstLineChars="0"/>
        <w:jc w:val="left"/>
        <w:rPr>
          <w:rFonts w:hint="eastAsia"/>
          <w:lang w:eastAsia="zh-CN"/>
        </w:rPr>
      </w:pPr>
      <w:r>
        <w:rPr>
          <w:rFonts w:hint="eastAsia"/>
          <w:lang w:eastAsia="zh-CN"/>
        </w:rPr>
        <w:t>Option 1: One parameter indicating whether UE supports RVQoE.</w:t>
      </w:r>
    </w:p>
    <w:p>
      <w:pPr>
        <w:pStyle w:val="187"/>
        <w:pBdr>
          <w:top w:val="single" w:color="auto" w:sz="4" w:space="0"/>
          <w:left w:val="single" w:color="auto" w:sz="4" w:space="0"/>
          <w:bottom w:val="single" w:color="auto" w:sz="4" w:space="0"/>
          <w:right w:val="single" w:color="auto" w:sz="4" w:space="0"/>
        </w:pBdr>
        <w:ind w:firstLine="0" w:firstLineChars="0"/>
        <w:jc w:val="left"/>
        <w:rPr>
          <w:rFonts w:hint="eastAsia"/>
          <w:lang w:eastAsia="zh-CN"/>
        </w:rPr>
      </w:pPr>
      <w:r>
        <w:rPr>
          <w:rFonts w:hint="eastAsia"/>
          <w:lang w:eastAsia="zh-CN"/>
        </w:rPr>
        <w:t>Option 2: Separate parameters indicating whether UE supports RVQoE for each service type.</w:t>
      </w:r>
    </w:p>
    <w:p>
      <w:pPr>
        <w:pStyle w:val="187"/>
        <w:pBdr>
          <w:top w:val="single" w:color="auto" w:sz="4" w:space="0"/>
          <w:left w:val="single" w:color="auto" w:sz="4" w:space="0"/>
          <w:bottom w:val="single" w:color="auto" w:sz="4" w:space="0"/>
          <w:right w:val="single" w:color="auto" w:sz="4" w:space="0"/>
        </w:pBdr>
        <w:jc w:val="left"/>
        <w:rPr>
          <w:rFonts w:hint="eastAsia"/>
          <w:lang w:eastAsia="zh-CN"/>
        </w:rPr>
      </w:pPr>
      <w:r>
        <w:rPr>
          <w:rFonts w:hint="eastAsia"/>
          <w:lang w:eastAsia="zh-CN"/>
        </w:rPr>
        <w:t>[031] FFS on RRC segmentation capability for QoE report, and the following three directions are considered:</w:t>
      </w:r>
    </w:p>
    <w:p>
      <w:pPr>
        <w:pStyle w:val="187"/>
        <w:pBdr>
          <w:top w:val="single" w:color="auto" w:sz="4" w:space="0"/>
          <w:left w:val="single" w:color="auto" w:sz="4" w:space="0"/>
          <w:bottom w:val="single" w:color="auto" w:sz="4" w:space="0"/>
          <w:right w:val="single" w:color="auto" w:sz="4" w:space="0"/>
        </w:pBdr>
        <w:ind w:firstLine="0" w:firstLineChars="0"/>
        <w:jc w:val="left"/>
        <w:rPr>
          <w:rFonts w:hint="eastAsia"/>
          <w:lang w:eastAsia="zh-CN"/>
        </w:rPr>
      </w:pPr>
      <w:r>
        <w:rPr>
          <w:rFonts w:hint="eastAsia"/>
          <w:lang w:eastAsia="zh-CN"/>
        </w:rPr>
        <w:t>Option 1: Conditional mandatory without UE capability parameter (no extra bit)</w:t>
      </w:r>
    </w:p>
    <w:p>
      <w:pPr>
        <w:pStyle w:val="187"/>
        <w:pBdr>
          <w:top w:val="single" w:color="auto" w:sz="4" w:space="0"/>
          <w:left w:val="single" w:color="auto" w:sz="4" w:space="0"/>
          <w:bottom w:val="single" w:color="auto" w:sz="4" w:space="0"/>
          <w:right w:val="single" w:color="auto" w:sz="4" w:space="0"/>
        </w:pBdr>
        <w:ind w:firstLine="0" w:firstLineChars="0"/>
        <w:jc w:val="left"/>
        <w:rPr>
          <w:rFonts w:hint="eastAsia"/>
          <w:lang w:eastAsia="zh-CN"/>
        </w:rPr>
      </w:pPr>
      <w:r>
        <w:rPr>
          <w:rFonts w:hint="eastAsia"/>
          <w:lang w:eastAsia="zh-CN"/>
        </w:rPr>
        <w:t>Option 2: Optional without UE capability parameter (no extra bit)</w:t>
      </w:r>
    </w:p>
    <w:p>
      <w:pPr>
        <w:pStyle w:val="187"/>
        <w:pBdr>
          <w:top w:val="single" w:color="auto" w:sz="4" w:space="0"/>
          <w:left w:val="single" w:color="auto" w:sz="4" w:space="0"/>
          <w:bottom w:val="single" w:color="auto" w:sz="4" w:space="0"/>
          <w:right w:val="single" w:color="auto" w:sz="4" w:space="0"/>
        </w:pBdr>
        <w:ind w:firstLine="0" w:firstLineChars="0"/>
        <w:jc w:val="left"/>
        <w:rPr>
          <w:rFonts w:hint="eastAsia"/>
          <w:lang w:eastAsia="zh-CN"/>
        </w:rPr>
      </w:pPr>
      <w:r>
        <w:rPr>
          <w:rFonts w:hint="eastAsia"/>
          <w:lang w:eastAsia="zh-CN"/>
        </w:rPr>
        <w:t>Option 3: Optional with UE capability parameter (one extra bit)</w:t>
      </w:r>
    </w:p>
    <w:p>
      <w:pPr>
        <w:pStyle w:val="82"/>
        <w:ind w:left="0" w:firstLine="0"/>
      </w:pPr>
    </w:p>
    <w:p>
      <w:pPr>
        <w:pStyle w:val="53"/>
        <w:spacing w:before="75" w:beforeAutospacing="0" w:after="75" w:afterAutospacing="0" w:line="315" w:lineRule="atLeast"/>
        <w:rPr>
          <w:rFonts w:eastAsia="宋体" w:cs="Arial"/>
          <w:color w:val="000000"/>
          <w:sz w:val="21"/>
          <w:lang w:val="en-US" w:eastAsia="zh-CN"/>
        </w:rPr>
      </w:pPr>
      <w:r>
        <w:rPr>
          <w:rFonts w:hint="eastAsia" w:eastAsia="宋体" w:cs="Arial"/>
          <w:color w:val="000000"/>
          <w:sz w:val="21"/>
          <w:lang w:val="en-US" w:eastAsia="zh-CN"/>
        </w:rPr>
        <w:t xml:space="preserve">The intention of this contribution is to share our views on the </w:t>
      </w:r>
      <w:r>
        <w:rPr>
          <w:rFonts w:hint="default" w:eastAsia="宋体" w:cs="Arial"/>
          <w:color w:val="000000"/>
          <w:sz w:val="21"/>
          <w:lang w:val="en-US" w:eastAsia="zh-CN"/>
        </w:rPr>
        <w:t>UE capability for QoE</w:t>
      </w:r>
      <w:r>
        <w:rPr>
          <w:rFonts w:eastAsia="宋体" w:cs="Arial"/>
          <w:color w:val="000000"/>
          <w:sz w:val="21"/>
          <w:lang w:val="en-US" w:eastAsia="zh-CN"/>
        </w:rPr>
        <w: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lang w:val="en-US" w:eastAsia="zh-CN"/>
        </w:rPr>
      </w:pPr>
      <w:r>
        <w:rPr>
          <w:rFonts w:cs="Arial"/>
          <w:b w:val="0"/>
          <w:bCs w:val="0"/>
          <w:kern w:val="0"/>
          <w:sz w:val="32"/>
          <w:szCs w:val="36"/>
          <w:lang w:val="en-US" w:eastAsia="zh-CN"/>
        </w:rPr>
        <w:t xml:space="preserve">Discussion </w:t>
      </w:r>
    </w:p>
    <w:p>
      <w:pPr>
        <w:rPr>
          <w:rFonts w:hint="default"/>
          <w:lang w:val="en-US" w:eastAsia="zh-CN"/>
        </w:rPr>
      </w:pPr>
      <w:r>
        <w:rPr>
          <w:rFonts w:hint="default"/>
          <w:lang w:val="en-US" w:eastAsia="zh-CN"/>
        </w:rPr>
        <w:t>After the post email discussion, the following FFS point has been left:</w:t>
      </w:r>
    </w:p>
    <w:p>
      <w:pPr>
        <w:pStyle w:val="98"/>
        <w:rPr>
          <w:highlight w:val="none"/>
          <w:lang w:val="en-US"/>
        </w:rPr>
      </w:pPr>
      <w:r>
        <w:rPr>
          <w:highlight w:val="none"/>
          <w:lang w:val="en-US"/>
        </w:rPr>
        <w:t>Whether and How AS layer obtains application capability.</w:t>
      </w:r>
    </w:p>
    <w:p>
      <w:pPr>
        <w:rPr>
          <w:rFonts w:hint="default"/>
          <w:b w:val="0"/>
          <w:bCs w:val="0"/>
          <w:lang w:val="en-US" w:eastAsia="zh-CN"/>
        </w:rPr>
      </w:pPr>
      <w:r>
        <w:rPr>
          <w:rFonts w:hint="default"/>
          <w:b w:val="0"/>
          <w:bCs w:val="0"/>
          <w:lang w:val="en-US" w:eastAsia="zh-CN"/>
        </w:rPr>
        <w:t xml:space="preserve">From our point of view, RAN2 is not necessary to discuss how AS layer obtains application capability. This can be based on UE implementation and no specification impact. What RAN2 shall do is to send our agreements on the QoE UE capability and our decision on this issue to related WGs(e.g. SA4, CT1). </w:t>
      </w:r>
    </w:p>
    <w:p>
      <w:pPr>
        <w:rPr>
          <w:rFonts w:hint="default"/>
          <w:b/>
          <w:bCs/>
          <w:lang w:val="en-US" w:eastAsia="zh-CN"/>
        </w:rPr>
      </w:pPr>
      <w:r>
        <w:rPr>
          <w:rFonts w:hint="default"/>
          <w:b/>
          <w:bCs/>
          <w:lang w:val="en-US" w:eastAsia="zh-CN"/>
        </w:rPr>
        <w:t>Proposal 1: It is based on UE implementation on how AS layer obtains application capability.</w:t>
      </w:r>
    </w:p>
    <w:p>
      <w:pPr>
        <w:rPr>
          <w:rFonts w:hint="eastAsia"/>
          <w:b/>
          <w:bCs/>
          <w:lang w:val="sv-SE" w:eastAsia="zh-CN"/>
        </w:rPr>
      </w:pPr>
      <w:r>
        <w:rPr>
          <w:rFonts w:hint="default"/>
          <w:b/>
          <w:bCs/>
          <w:lang w:val="en-US" w:eastAsia="zh-CN"/>
        </w:rPr>
        <w:t>Proposal 2: RAN2 shall send the RAN2 agreements on QoE UE capability to SA4 and CT1 after this meeting. Detail content can be FFS.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rPr>
          <w:rFonts w:hint="default"/>
          <w:lang w:val="en-US" w:eastAsia="zh-CN"/>
        </w:rPr>
      </w:pPr>
      <w:r>
        <w:rPr>
          <w:rFonts w:hint="eastAsia"/>
          <w:lang w:val="en-US" w:eastAsia="zh-CN"/>
        </w:rPr>
        <w:t>Based on the discussions above, we have the following proposal</w:t>
      </w:r>
      <w:r>
        <w:rPr>
          <w:rFonts w:hint="default"/>
          <w:lang w:val="en-US" w:eastAsia="zh-CN"/>
        </w:rPr>
        <w:t>s:</w:t>
      </w:r>
    </w:p>
    <w:p>
      <w:pPr>
        <w:rPr>
          <w:rFonts w:hint="default"/>
          <w:b/>
          <w:bCs/>
          <w:lang w:val="en-US" w:eastAsia="zh-CN"/>
        </w:rPr>
      </w:pPr>
      <w:bookmarkStart w:id="9" w:name="_Toc18404543"/>
      <w:bookmarkStart w:id="10" w:name="_Toc18403976"/>
      <w:bookmarkStart w:id="11" w:name="_Toc18413612"/>
      <w:bookmarkStart w:id="12" w:name="OLE_LINK4"/>
      <w:r>
        <w:rPr>
          <w:rFonts w:hint="default"/>
          <w:b/>
          <w:bCs/>
          <w:lang w:val="en-US" w:eastAsia="zh-CN"/>
        </w:rPr>
        <w:t>Proposal 1: It is based on UE implementation on how AS layer obtains application capability.</w:t>
      </w:r>
    </w:p>
    <w:p>
      <w:pPr>
        <w:rPr>
          <w:rFonts w:eastAsia="宋体"/>
          <w:b/>
          <w:bCs/>
          <w:lang w:val="en-US" w:eastAsia="zh-CN"/>
        </w:rPr>
      </w:pPr>
      <w:r>
        <w:rPr>
          <w:rFonts w:hint="default"/>
          <w:b/>
          <w:bCs/>
          <w:lang w:val="en-US" w:eastAsia="zh-CN"/>
        </w:rPr>
        <w:t>Proposal 2: RAN2 shall send the RAN2 agreements on QoE UE capability to SA4 and CT1 after this meeting. Detail content can be FFS.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9"/>
      <w:bookmarkEnd w:id="10"/>
      <w:bookmarkEnd w:id="11"/>
    </w:p>
    <w:p>
      <w:pPr>
        <w:numPr>
          <w:ilvl w:val="0"/>
          <w:numId w:val="6"/>
        </w:numPr>
        <w:spacing w:line="240" w:lineRule="auto"/>
        <w:rPr>
          <w:rFonts w:cs="Arial"/>
          <w:color w:val="000000"/>
          <w:highlight w:val="none"/>
        </w:rPr>
      </w:pPr>
      <w:bookmarkStart w:id="13" w:name="OLE_LINK3"/>
      <w:r>
        <w:rPr>
          <w:rFonts w:hint="eastAsia" w:eastAsia="宋体" w:cs="Arial"/>
          <w:highlight w:val="none"/>
          <w:lang w:val="en-US" w:eastAsia="zh-CN"/>
        </w:rPr>
        <w:t>Chairman note for RAN2-11</w:t>
      </w:r>
      <w:r>
        <w:rPr>
          <w:rFonts w:hint="default" w:eastAsia="宋体" w:cs="Arial"/>
          <w:highlight w:val="none"/>
          <w:lang w:val="en-US" w:eastAsia="zh-CN"/>
        </w:rPr>
        <w:t>6bis</w:t>
      </w:r>
      <w:r>
        <w:rPr>
          <w:rFonts w:hint="eastAsia" w:eastAsia="宋体" w:cs="Arial"/>
          <w:highlight w:val="none"/>
          <w:lang w:val="en-US" w:eastAsia="zh-CN"/>
        </w:rPr>
        <w:t>-e.</w:t>
      </w:r>
      <w:bookmarkEnd w:id="12"/>
      <w:bookmarkEnd w:id="13"/>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hyphenationZone w:val="425"/>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187B"/>
    <w:rsid w:val="00042E6F"/>
    <w:rsid w:val="00043923"/>
    <w:rsid w:val="00043FCA"/>
    <w:rsid w:val="00044EB3"/>
    <w:rsid w:val="00045EDE"/>
    <w:rsid w:val="00046E3D"/>
    <w:rsid w:val="000513C0"/>
    <w:rsid w:val="000563ED"/>
    <w:rsid w:val="000603D6"/>
    <w:rsid w:val="00063276"/>
    <w:rsid w:val="0007093A"/>
    <w:rsid w:val="00071D0A"/>
    <w:rsid w:val="0007205B"/>
    <w:rsid w:val="00072B7E"/>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413"/>
    <w:rsid w:val="0009587E"/>
    <w:rsid w:val="00095918"/>
    <w:rsid w:val="000969D7"/>
    <w:rsid w:val="00097209"/>
    <w:rsid w:val="00097368"/>
    <w:rsid w:val="0009777E"/>
    <w:rsid w:val="000A04A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2F19"/>
    <w:rsid w:val="000D46DC"/>
    <w:rsid w:val="000E1125"/>
    <w:rsid w:val="000E1993"/>
    <w:rsid w:val="000E1EF3"/>
    <w:rsid w:val="000E3B8A"/>
    <w:rsid w:val="000F0A49"/>
    <w:rsid w:val="000F0A7B"/>
    <w:rsid w:val="000F4CFF"/>
    <w:rsid w:val="000F4D2A"/>
    <w:rsid w:val="000F5C94"/>
    <w:rsid w:val="00100030"/>
    <w:rsid w:val="00101A67"/>
    <w:rsid w:val="00111739"/>
    <w:rsid w:val="00111C96"/>
    <w:rsid w:val="00111CE0"/>
    <w:rsid w:val="00111DF0"/>
    <w:rsid w:val="001135C5"/>
    <w:rsid w:val="00114117"/>
    <w:rsid w:val="0011413B"/>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608C"/>
    <w:rsid w:val="00147740"/>
    <w:rsid w:val="00150BAB"/>
    <w:rsid w:val="00153725"/>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054"/>
    <w:rsid w:val="001A6AFD"/>
    <w:rsid w:val="001B1C33"/>
    <w:rsid w:val="001B21A1"/>
    <w:rsid w:val="001B337C"/>
    <w:rsid w:val="001B5AE5"/>
    <w:rsid w:val="001B7027"/>
    <w:rsid w:val="001B7C67"/>
    <w:rsid w:val="001C0CED"/>
    <w:rsid w:val="001C1105"/>
    <w:rsid w:val="001C17C6"/>
    <w:rsid w:val="001C22DE"/>
    <w:rsid w:val="001C2385"/>
    <w:rsid w:val="001C2AF5"/>
    <w:rsid w:val="001C2B3C"/>
    <w:rsid w:val="001C3C4C"/>
    <w:rsid w:val="001C6C39"/>
    <w:rsid w:val="001C7F10"/>
    <w:rsid w:val="001D2914"/>
    <w:rsid w:val="001D2FB0"/>
    <w:rsid w:val="001D75F3"/>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788"/>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87136"/>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3F00"/>
    <w:rsid w:val="002F5517"/>
    <w:rsid w:val="00300EE0"/>
    <w:rsid w:val="003031CE"/>
    <w:rsid w:val="003043E2"/>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6B5"/>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31C6"/>
    <w:rsid w:val="003546A6"/>
    <w:rsid w:val="00354915"/>
    <w:rsid w:val="00354E6F"/>
    <w:rsid w:val="00355E51"/>
    <w:rsid w:val="003577BE"/>
    <w:rsid w:val="00362FCF"/>
    <w:rsid w:val="003645A1"/>
    <w:rsid w:val="0036468F"/>
    <w:rsid w:val="003658D8"/>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62F8"/>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C6742"/>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5E14"/>
    <w:rsid w:val="003E6BF7"/>
    <w:rsid w:val="003E6F50"/>
    <w:rsid w:val="003E7C95"/>
    <w:rsid w:val="003E7D68"/>
    <w:rsid w:val="003F1437"/>
    <w:rsid w:val="003F20AF"/>
    <w:rsid w:val="003F3365"/>
    <w:rsid w:val="003F37FF"/>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159BF"/>
    <w:rsid w:val="004228A3"/>
    <w:rsid w:val="004229AC"/>
    <w:rsid w:val="00423CC3"/>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542"/>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060"/>
    <w:rsid w:val="0049176F"/>
    <w:rsid w:val="00492EA5"/>
    <w:rsid w:val="00493247"/>
    <w:rsid w:val="00493650"/>
    <w:rsid w:val="00494495"/>
    <w:rsid w:val="00494981"/>
    <w:rsid w:val="00495E19"/>
    <w:rsid w:val="0049613E"/>
    <w:rsid w:val="0049650D"/>
    <w:rsid w:val="004A0053"/>
    <w:rsid w:val="004A014A"/>
    <w:rsid w:val="004A0572"/>
    <w:rsid w:val="004A1051"/>
    <w:rsid w:val="004A1B41"/>
    <w:rsid w:val="004A2687"/>
    <w:rsid w:val="004A402F"/>
    <w:rsid w:val="004A59EE"/>
    <w:rsid w:val="004A759D"/>
    <w:rsid w:val="004B12D7"/>
    <w:rsid w:val="004B2B05"/>
    <w:rsid w:val="004B2BBA"/>
    <w:rsid w:val="004B3CCE"/>
    <w:rsid w:val="004B5502"/>
    <w:rsid w:val="004B71F4"/>
    <w:rsid w:val="004B76B6"/>
    <w:rsid w:val="004C09FF"/>
    <w:rsid w:val="004C0B5E"/>
    <w:rsid w:val="004C16C3"/>
    <w:rsid w:val="004C16F8"/>
    <w:rsid w:val="004C21A1"/>
    <w:rsid w:val="004C6041"/>
    <w:rsid w:val="004C6366"/>
    <w:rsid w:val="004C63EE"/>
    <w:rsid w:val="004C7E8F"/>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00FF"/>
    <w:rsid w:val="005214BE"/>
    <w:rsid w:val="005219AA"/>
    <w:rsid w:val="005223EA"/>
    <w:rsid w:val="00522736"/>
    <w:rsid w:val="00522F3B"/>
    <w:rsid w:val="00524965"/>
    <w:rsid w:val="00525585"/>
    <w:rsid w:val="00525811"/>
    <w:rsid w:val="00525BAC"/>
    <w:rsid w:val="0052657B"/>
    <w:rsid w:val="00534869"/>
    <w:rsid w:val="0053653D"/>
    <w:rsid w:val="005371D2"/>
    <w:rsid w:val="00537528"/>
    <w:rsid w:val="005417DB"/>
    <w:rsid w:val="00542A44"/>
    <w:rsid w:val="00542ED7"/>
    <w:rsid w:val="00545A76"/>
    <w:rsid w:val="005505EB"/>
    <w:rsid w:val="005506C7"/>
    <w:rsid w:val="005514AA"/>
    <w:rsid w:val="00553234"/>
    <w:rsid w:val="00553A61"/>
    <w:rsid w:val="0055402E"/>
    <w:rsid w:val="0055689F"/>
    <w:rsid w:val="005604D2"/>
    <w:rsid w:val="00560AD9"/>
    <w:rsid w:val="00561349"/>
    <w:rsid w:val="00561E2F"/>
    <w:rsid w:val="00562D9C"/>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555"/>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5C8E"/>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4760"/>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514"/>
    <w:rsid w:val="006C2D21"/>
    <w:rsid w:val="006C5CB0"/>
    <w:rsid w:val="006C60A2"/>
    <w:rsid w:val="006C60B2"/>
    <w:rsid w:val="006C6193"/>
    <w:rsid w:val="006D0533"/>
    <w:rsid w:val="006D5430"/>
    <w:rsid w:val="006D63EF"/>
    <w:rsid w:val="006D783C"/>
    <w:rsid w:val="006D79B7"/>
    <w:rsid w:val="006D7C19"/>
    <w:rsid w:val="006D7CA8"/>
    <w:rsid w:val="006E133C"/>
    <w:rsid w:val="006E2FE4"/>
    <w:rsid w:val="006E36C6"/>
    <w:rsid w:val="006E3B73"/>
    <w:rsid w:val="006E4123"/>
    <w:rsid w:val="006E7570"/>
    <w:rsid w:val="006F0E3E"/>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509"/>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4D0B"/>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31A2"/>
    <w:rsid w:val="00803B06"/>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09D"/>
    <w:rsid w:val="0085338A"/>
    <w:rsid w:val="00853419"/>
    <w:rsid w:val="00855CBD"/>
    <w:rsid w:val="00856F99"/>
    <w:rsid w:val="00857F63"/>
    <w:rsid w:val="008609B3"/>
    <w:rsid w:val="00860FE6"/>
    <w:rsid w:val="00864140"/>
    <w:rsid w:val="00864D17"/>
    <w:rsid w:val="008702BF"/>
    <w:rsid w:val="008707C6"/>
    <w:rsid w:val="008719DB"/>
    <w:rsid w:val="00871FA9"/>
    <w:rsid w:val="00872250"/>
    <w:rsid w:val="008731B8"/>
    <w:rsid w:val="00873D16"/>
    <w:rsid w:val="008757FA"/>
    <w:rsid w:val="008768D2"/>
    <w:rsid w:val="00876B45"/>
    <w:rsid w:val="00880F6C"/>
    <w:rsid w:val="0088223F"/>
    <w:rsid w:val="00883BE3"/>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8F7F38"/>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2F6"/>
    <w:rsid w:val="0096459F"/>
    <w:rsid w:val="009647C5"/>
    <w:rsid w:val="0096604F"/>
    <w:rsid w:val="00966280"/>
    <w:rsid w:val="009663C5"/>
    <w:rsid w:val="00970E5A"/>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C6A61"/>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48E"/>
    <w:rsid w:val="00A04BEB"/>
    <w:rsid w:val="00A04DE2"/>
    <w:rsid w:val="00A05412"/>
    <w:rsid w:val="00A117FD"/>
    <w:rsid w:val="00A11A20"/>
    <w:rsid w:val="00A11DFB"/>
    <w:rsid w:val="00A11F1E"/>
    <w:rsid w:val="00A14BA5"/>
    <w:rsid w:val="00A14E89"/>
    <w:rsid w:val="00A15C80"/>
    <w:rsid w:val="00A15DA4"/>
    <w:rsid w:val="00A20607"/>
    <w:rsid w:val="00A20B6F"/>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61EA"/>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67E69"/>
    <w:rsid w:val="00A727DA"/>
    <w:rsid w:val="00A72A3A"/>
    <w:rsid w:val="00A72A62"/>
    <w:rsid w:val="00A73D12"/>
    <w:rsid w:val="00A7440B"/>
    <w:rsid w:val="00A74F48"/>
    <w:rsid w:val="00A756EC"/>
    <w:rsid w:val="00A815A9"/>
    <w:rsid w:val="00A81A3A"/>
    <w:rsid w:val="00A831D7"/>
    <w:rsid w:val="00A83E6C"/>
    <w:rsid w:val="00A84AFB"/>
    <w:rsid w:val="00A84D8D"/>
    <w:rsid w:val="00A854F8"/>
    <w:rsid w:val="00A857D2"/>
    <w:rsid w:val="00A900AE"/>
    <w:rsid w:val="00A9330E"/>
    <w:rsid w:val="00A93FD6"/>
    <w:rsid w:val="00A9447A"/>
    <w:rsid w:val="00A95040"/>
    <w:rsid w:val="00A95088"/>
    <w:rsid w:val="00A957EB"/>
    <w:rsid w:val="00A960AC"/>
    <w:rsid w:val="00AA3298"/>
    <w:rsid w:val="00AA41AA"/>
    <w:rsid w:val="00AA435D"/>
    <w:rsid w:val="00AA4C99"/>
    <w:rsid w:val="00AA6892"/>
    <w:rsid w:val="00AA72CC"/>
    <w:rsid w:val="00AA76B7"/>
    <w:rsid w:val="00AB049C"/>
    <w:rsid w:val="00AB1D7B"/>
    <w:rsid w:val="00AB1EA3"/>
    <w:rsid w:val="00AB3399"/>
    <w:rsid w:val="00AB3D67"/>
    <w:rsid w:val="00AB770B"/>
    <w:rsid w:val="00AC173D"/>
    <w:rsid w:val="00AC3ACD"/>
    <w:rsid w:val="00AC4276"/>
    <w:rsid w:val="00AC464D"/>
    <w:rsid w:val="00AC51E8"/>
    <w:rsid w:val="00AC70FC"/>
    <w:rsid w:val="00AD0CA9"/>
    <w:rsid w:val="00AD1C5F"/>
    <w:rsid w:val="00AD2407"/>
    <w:rsid w:val="00AD374C"/>
    <w:rsid w:val="00AD3E16"/>
    <w:rsid w:val="00AD5FBC"/>
    <w:rsid w:val="00AD62D8"/>
    <w:rsid w:val="00AD6B6A"/>
    <w:rsid w:val="00AD7273"/>
    <w:rsid w:val="00AE5146"/>
    <w:rsid w:val="00AE55C5"/>
    <w:rsid w:val="00AE5A4F"/>
    <w:rsid w:val="00AE7B16"/>
    <w:rsid w:val="00AF0B65"/>
    <w:rsid w:val="00AF31BD"/>
    <w:rsid w:val="00AF5FFE"/>
    <w:rsid w:val="00AF75DB"/>
    <w:rsid w:val="00AF7EEF"/>
    <w:rsid w:val="00B002E0"/>
    <w:rsid w:val="00B0053F"/>
    <w:rsid w:val="00B0132A"/>
    <w:rsid w:val="00B029C1"/>
    <w:rsid w:val="00B0354C"/>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36502"/>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449B"/>
    <w:rsid w:val="00B87D03"/>
    <w:rsid w:val="00B909E8"/>
    <w:rsid w:val="00B916CC"/>
    <w:rsid w:val="00B9259A"/>
    <w:rsid w:val="00B928EE"/>
    <w:rsid w:val="00B92AD5"/>
    <w:rsid w:val="00B94BA4"/>
    <w:rsid w:val="00B96D07"/>
    <w:rsid w:val="00B97DB5"/>
    <w:rsid w:val="00BA27F3"/>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683D"/>
    <w:rsid w:val="00C67235"/>
    <w:rsid w:val="00C67382"/>
    <w:rsid w:val="00C720C8"/>
    <w:rsid w:val="00C72471"/>
    <w:rsid w:val="00C72B4C"/>
    <w:rsid w:val="00C73AE5"/>
    <w:rsid w:val="00C76180"/>
    <w:rsid w:val="00C76F2B"/>
    <w:rsid w:val="00C77BC1"/>
    <w:rsid w:val="00C8086B"/>
    <w:rsid w:val="00C82D97"/>
    <w:rsid w:val="00C84D14"/>
    <w:rsid w:val="00C91C45"/>
    <w:rsid w:val="00C9369C"/>
    <w:rsid w:val="00C93EDD"/>
    <w:rsid w:val="00C953EF"/>
    <w:rsid w:val="00C953F6"/>
    <w:rsid w:val="00C96816"/>
    <w:rsid w:val="00C97FD3"/>
    <w:rsid w:val="00CA0363"/>
    <w:rsid w:val="00CA06A4"/>
    <w:rsid w:val="00CA1C15"/>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80F"/>
    <w:rsid w:val="00D029CB"/>
    <w:rsid w:val="00D0330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3B1"/>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82D"/>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BC8"/>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2D68"/>
    <w:rsid w:val="00DD34DF"/>
    <w:rsid w:val="00DD34FE"/>
    <w:rsid w:val="00DD42F9"/>
    <w:rsid w:val="00DE1B4A"/>
    <w:rsid w:val="00DE26EF"/>
    <w:rsid w:val="00DE2CFF"/>
    <w:rsid w:val="00DE3330"/>
    <w:rsid w:val="00DE5939"/>
    <w:rsid w:val="00DE5E57"/>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2DC5"/>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0C0E"/>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3C23"/>
    <w:rsid w:val="00E943EE"/>
    <w:rsid w:val="00E94456"/>
    <w:rsid w:val="00E94FE2"/>
    <w:rsid w:val="00E95E39"/>
    <w:rsid w:val="00E9727E"/>
    <w:rsid w:val="00E97B23"/>
    <w:rsid w:val="00EA0385"/>
    <w:rsid w:val="00EA3791"/>
    <w:rsid w:val="00EA3FC2"/>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CB"/>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4A89"/>
    <w:rsid w:val="00F15414"/>
    <w:rsid w:val="00F16AB3"/>
    <w:rsid w:val="00F202B4"/>
    <w:rsid w:val="00F25BEF"/>
    <w:rsid w:val="00F270BA"/>
    <w:rsid w:val="00F308AF"/>
    <w:rsid w:val="00F32911"/>
    <w:rsid w:val="00F32B9B"/>
    <w:rsid w:val="00F33320"/>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1BCA"/>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39BF"/>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1819"/>
    <w:rsid w:val="00FB25A0"/>
    <w:rsid w:val="00FB2D7C"/>
    <w:rsid w:val="00FB412F"/>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E7DCD"/>
    <w:rsid w:val="00FF0471"/>
    <w:rsid w:val="00FF0771"/>
    <w:rsid w:val="00FF0AAD"/>
    <w:rsid w:val="00FF29CE"/>
    <w:rsid w:val="00FF2E7C"/>
    <w:rsid w:val="00FF33F4"/>
    <w:rsid w:val="00FF3A1B"/>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44F0676"/>
    <w:rsid w:val="0473134F"/>
    <w:rsid w:val="04F16D92"/>
    <w:rsid w:val="052848EA"/>
    <w:rsid w:val="05AE40A8"/>
    <w:rsid w:val="05D1293B"/>
    <w:rsid w:val="06270E5D"/>
    <w:rsid w:val="06301129"/>
    <w:rsid w:val="065A1065"/>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A3638E"/>
    <w:rsid w:val="09AC5B6F"/>
    <w:rsid w:val="09CB5A6C"/>
    <w:rsid w:val="09F00BD8"/>
    <w:rsid w:val="09F318B6"/>
    <w:rsid w:val="09FD6E02"/>
    <w:rsid w:val="0A1A74F5"/>
    <w:rsid w:val="0A1D73FF"/>
    <w:rsid w:val="0A697E61"/>
    <w:rsid w:val="0A750F68"/>
    <w:rsid w:val="0ADE36D7"/>
    <w:rsid w:val="0AE61C59"/>
    <w:rsid w:val="0AEC356E"/>
    <w:rsid w:val="0B545B44"/>
    <w:rsid w:val="0BC81D14"/>
    <w:rsid w:val="0C34609D"/>
    <w:rsid w:val="0C4A196E"/>
    <w:rsid w:val="0C681373"/>
    <w:rsid w:val="0CBA1583"/>
    <w:rsid w:val="0CBC415D"/>
    <w:rsid w:val="0CD249CC"/>
    <w:rsid w:val="0CE47597"/>
    <w:rsid w:val="0D6B368B"/>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3F01C1F"/>
    <w:rsid w:val="141842FE"/>
    <w:rsid w:val="14352831"/>
    <w:rsid w:val="146B64E1"/>
    <w:rsid w:val="14993B21"/>
    <w:rsid w:val="14B77E4B"/>
    <w:rsid w:val="14D73601"/>
    <w:rsid w:val="15014A40"/>
    <w:rsid w:val="156B4B8B"/>
    <w:rsid w:val="15890495"/>
    <w:rsid w:val="15E03D6F"/>
    <w:rsid w:val="15EF5060"/>
    <w:rsid w:val="163643CD"/>
    <w:rsid w:val="169C366A"/>
    <w:rsid w:val="16DA1E4D"/>
    <w:rsid w:val="16E245BC"/>
    <w:rsid w:val="16FB015A"/>
    <w:rsid w:val="17003574"/>
    <w:rsid w:val="17535B24"/>
    <w:rsid w:val="17A31370"/>
    <w:rsid w:val="17B06B1C"/>
    <w:rsid w:val="17D92C65"/>
    <w:rsid w:val="17F53DC6"/>
    <w:rsid w:val="180B4FFB"/>
    <w:rsid w:val="18211C57"/>
    <w:rsid w:val="1842664F"/>
    <w:rsid w:val="18543673"/>
    <w:rsid w:val="186B7D0B"/>
    <w:rsid w:val="189D065F"/>
    <w:rsid w:val="18BC6F6C"/>
    <w:rsid w:val="18F32BCE"/>
    <w:rsid w:val="18FF4ABB"/>
    <w:rsid w:val="19343406"/>
    <w:rsid w:val="195B2085"/>
    <w:rsid w:val="1992641B"/>
    <w:rsid w:val="19BF0200"/>
    <w:rsid w:val="1A45032B"/>
    <w:rsid w:val="1A640E62"/>
    <w:rsid w:val="1A713779"/>
    <w:rsid w:val="1A84217D"/>
    <w:rsid w:val="1A9B1F53"/>
    <w:rsid w:val="1ABB54B3"/>
    <w:rsid w:val="1AE025B8"/>
    <w:rsid w:val="1B3D4012"/>
    <w:rsid w:val="1B481AFB"/>
    <w:rsid w:val="1B7A1663"/>
    <w:rsid w:val="1B8F6978"/>
    <w:rsid w:val="1BA23557"/>
    <w:rsid w:val="1BC27038"/>
    <w:rsid w:val="1BC73993"/>
    <w:rsid w:val="1BD24B16"/>
    <w:rsid w:val="1BF62321"/>
    <w:rsid w:val="1C130C67"/>
    <w:rsid w:val="1C2D5D31"/>
    <w:rsid w:val="1C5D6CC2"/>
    <w:rsid w:val="1C696E9C"/>
    <w:rsid w:val="1CBD093F"/>
    <w:rsid w:val="1CC83450"/>
    <w:rsid w:val="1CE21C50"/>
    <w:rsid w:val="1CE9601A"/>
    <w:rsid w:val="1D235F66"/>
    <w:rsid w:val="1D665A9E"/>
    <w:rsid w:val="1D667D51"/>
    <w:rsid w:val="1D8D3AB3"/>
    <w:rsid w:val="1DC566C0"/>
    <w:rsid w:val="1DE501D0"/>
    <w:rsid w:val="1DFC74E5"/>
    <w:rsid w:val="1E21472F"/>
    <w:rsid w:val="1E2804C4"/>
    <w:rsid w:val="1E2C49A1"/>
    <w:rsid w:val="1E3722FA"/>
    <w:rsid w:val="1E8146DA"/>
    <w:rsid w:val="1EA46EA2"/>
    <w:rsid w:val="1EAA39F6"/>
    <w:rsid w:val="1EB2633F"/>
    <w:rsid w:val="1EB847E9"/>
    <w:rsid w:val="1F3F2A3D"/>
    <w:rsid w:val="1F8E0455"/>
    <w:rsid w:val="1FA76059"/>
    <w:rsid w:val="1FAF272D"/>
    <w:rsid w:val="1FD0672A"/>
    <w:rsid w:val="1FE374E8"/>
    <w:rsid w:val="1FFC5344"/>
    <w:rsid w:val="204934AB"/>
    <w:rsid w:val="20573F56"/>
    <w:rsid w:val="20705710"/>
    <w:rsid w:val="20840318"/>
    <w:rsid w:val="20930DFA"/>
    <w:rsid w:val="20CE5836"/>
    <w:rsid w:val="20D02BC7"/>
    <w:rsid w:val="20F0405B"/>
    <w:rsid w:val="210637EE"/>
    <w:rsid w:val="210948AE"/>
    <w:rsid w:val="21161C59"/>
    <w:rsid w:val="211E529B"/>
    <w:rsid w:val="213A5E32"/>
    <w:rsid w:val="214425B4"/>
    <w:rsid w:val="215B24B5"/>
    <w:rsid w:val="21D36B48"/>
    <w:rsid w:val="21D93ECC"/>
    <w:rsid w:val="221B7641"/>
    <w:rsid w:val="222E4F94"/>
    <w:rsid w:val="224F5646"/>
    <w:rsid w:val="22666B0B"/>
    <w:rsid w:val="229A0A46"/>
    <w:rsid w:val="22D5441E"/>
    <w:rsid w:val="22D61F71"/>
    <w:rsid w:val="232660FF"/>
    <w:rsid w:val="23BE01FF"/>
    <w:rsid w:val="23DF27A5"/>
    <w:rsid w:val="2410019C"/>
    <w:rsid w:val="2418652F"/>
    <w:rsid w:val="245A1846"/>
    <w:rsid w:val="248512BD"/>
    <w:rsid w:val="24E51B39"/>
    <w:rsid w:val="25173A41"/>
    <w:rsid w:val="252D5DCC"/>
    <w:rsid w:val="255B75CB"/>
    <w:rsid w:val="25811635"/>
    <w:rsid w:val="25841D88"/>
    <w:rsid w:val="25A45302"/>
    <w:rsid w:val="25A94E88"/>
    <w:rsid w:val="25E135DF"/>
    <w:rsid w:val="261E413F"/>
    <w:rsid w:val="263E633F"/>
    <w:rsid w:val="267E599C"/>
    <w:rsid w:val="26C17FC8"/>
    <w:rsid w:val="27B132D6"/>
    <w:rsid w:val="27FF1FDA"/>
    <w:rsid w:val="2837799D"/>
    <w:rsid w:val="28915210"/>
    <w:rsid w:val="28937E74"/>
    <w:rsid w:val="29095102"/>
    <w:rsid w:val="293E1B9C"/>
    <w:rsid w:val="29A81AA0"/>
    <w:rsid w:val="29B32846"/>
    <w:rsid w:val="29ED63D5"/>
    <w:rsid w:val="2A275682"/>
    <w:rsid w:val="2A275D46"/>
    <w:rsid w:val="2A9376BC"/>
    <w:rsid w:val="2AA14025"/>
    <w:rsid w:val="2B2348E2"/>
    <w:rsid w:val="2B5D0645"/>
    <w:rsid w:val="2B907720"/>
    <w:rsid w:val="2BCD0751"/>
    <w:rsid w:val="2C7F2EA6"/>
    <w:rsid w:val="2C8C2358"/>
    <w:rsid w:val="2C8E4E6A"/>
    <w:rsid w:val="2C9927E7"/>
    <w:rsid w:val="2CA56F60"/>
    <w:rsid w:val="2CAF2767"/>
    <w:rsid w:val="2CBF636A"/>
    <w:rsid w:val="2CFB59F1"/>
    <w:rsid w:val="2D125EB2"/>
    <w:rsid w:val="2D1E05D5"/>
    <w:rsid w:val="2D5627A8"/>
    <w:rsid w:val="2D8D29A8"/>
    <w:rsid w:val="2D9A6090"/>
    <w:rsid w:val="2D9D4CC1"/>
    <w:rsid w:val="2DBD4FAF"/>
    <w:rsid w:val="2E09336F"/>
    <w:rsid w:val="2E615D6D"/>
    <w:rsid w:val="2E8A3EC1"/>
    <w:rsid w:val="2EC27772"/>
    <w:rsid w:val="2ED0428B"/>
    <w:rsid w:val="2EFF20DE"/>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17193"/>
    <w:rsid w:val="32891F62"/>
    <w:rsid w:val="328C1583"/>
    <w:rsid w:val="32C9080C"/>
    <w:rsid w:val="32CA0CF4"/>
    <w:rsid w:val="334275F5"/>
    <w:rsid w:val="33617E72"/>
    <w:rsid w:val="33636F14"/>
    <w:rsid w:val="33670485"/>
    <w:rsid w:val="33B72E78"/>
    <w:rsid w:val="33C54618"/>
    <w:rsid w:val="34211C7C"/>
    <w:rsid w:val="34342DEB"/>
    <w:rsid w:val="34343451"/>
    <w:rsid w:val="344C7B1B"/>
    <w:rsid w:val="347A4EB8"/>
    <w:rsid w:val="35183D8B"/>
    <w:rsid w:val="35387D52"/>
    <w:rsid w:val="356926AE"/>
    <w:rsid w:val="35746D1B"/>
    <w:rsid w:val="357860DF"/>
    <w:rsid w:val="358E0757"/>
    <w:rsid w:val="35AE7101"/>
    <w:rsid w:val="35BB43C3"/>
    <w:rsid w:val="35F9212A"/>
    <w:rsid w:val="36281B26"/>
    <w:rsid w:val="36336C04"/>
    <w:rsid w:val="366043F8"/>
    <w:rsid w:val="366626F2"/>
    <w:rsid w:val="366F5A51"/>
    <w:rsid w:val="374F6194"/>
    <w:rsid w:val="377F6041"/>
    <w:rsid w:val="37BC7D72"/>
    <w:rsid w:val="37CC4781"/>
    <w:rsid w:val="37E15A1B"/>
    <w:rsid w:val="382E42A6"/>
    <w:rsid w:val="38626E95"/>
    <w:rsid w:val="38A75F14"/>
    <w:rsid w:val="38BD2C6C"/>
    <w:rsid w:val="38FA0996"/>
    <w:rsid w:val="39467E4B"/>
    <w:rsid w:val="396E02FE"/>
    <w:rsid w:val="3982272C"/>
    <w:rsid w:val="399133F9"/>
    <w:rsid w:val="399648C1"/>
    <w:rsid w:val="39BB3B43"/>
    <w:rsid w:val="3A156CE0"/>
    <w:rsid w:val="3A277789"/>
    <w:rsid w:val="3A2D66D3"/>
    <w:rsid w:val="3A891A0E"/>
    <w:rsid w:val="3A9620D1"/>
    <w:rsid w:val="3AA26C9B"/>
    <w:rsid w:val="3ADC5E36"/>
    <w:rsid w:val="3AFC2B33"/>
    <w:rsid w:val="3AFC41BB"/>
    <w:rsid w:val="3B7F2802"/>
    <w:rsid w:val="3B8B43E4"/>
    <w:rsid w:val="3BBC5ED5"/>
    <w:rsid w:val="3BC33F8E"/>
    <w:rsid w:val="3BCE7F95"/>
    <w:rsid w:val="3BCF4A46"/>
    <w:rsid w:val="3C087392"/>
    <w:rsid w:val="3C3F7E0E"/>
    <w:rsid w:val="3C851465"/>
    <w:rsid w:val="3C893061"/>
    <w:rsid w:val="3C8C09A7"/>
    <w:rsid w:val="3CB674D9"/>
    <w:rsid w:val="3CC4206D"/>
    <w:rsid w:val="3CC937E3"/>
    <w:rsid w:val="3D0F30FA"/>
    <w:rsid w:val="3D3F1E49"/>
    <w:rsid w:val="3D634A82"/>
    <w:rsid w:val="3D9210CE"/>
    <w:rsid w:val="3DAC0E95"/>
    <w:rsid w:val="3E08361A"/>
    <w:rsid w:val="3E7A082F"/>
    <w:rsid w:val="3E926EC3"/>
    <w:rsid w:val="3E93478A"/>
    <w:rsid w:val="3E9F10BF"/>
    <w:rsid w:val="3EC40624"/>
    <w:rsid w:val="3EC708AB"/>
    <w:rsid w:val="3EC74949"/>
    <w:rsid w:val="3F0875E3"/>
    <w:rsid w:val="3F09726C"/>
    <w:rsid w:val="3F0F2BD0"/>
    <w:rsid w:val="3F1F25CF"/>
    <w:rsid w:val="3F495E7B"/>
    <w:rsid w:val="3F5B21D1"/>
    <w:rsid w:val="3FB60A94"/>
    <w:rsid w:val="3FBD74AC"/>
    <w:rsid w:val="402D7D95"/>
    <w:rsid w:val="402F67F2"/>
    <w:rsid w:val="402F7D1A"/>
    <w:rsid w:val="405E7B10"/>
    <w:rsid w:val="411531A3"/>
    <w:rsid w:val="414B0A93"/>
    <w:rsid w:val="415723A1"/>
    <w:rsid w:val="41643432"/>
    <w:rsid w:val="41CE480C"/>
    <w:rsid w:val="421B0E01"/>
    <w:rsid w:val="42481B2A"/>
    <w:rsid w:val="42B049D2"/>
    <w:rsid w:val="431C2961"/>
    <w:rsid w:val="437906BF"/>
    <w:rsid w:val="43945CC5"/>
    <w:rsid w:val="43CE3BC6"/>
    <w:rsid w:val="43FB5AF0"/>
    <w:rsid w:val="440B4BBE"/>
    <w:rsid w:val="44211E9A"/>
    <w:rsid w:val="4454633F"/>
    <w:rsid w:val="44555A83"/>
    <w:rsid w:val="446A1C8A"/>
    <w:rsid w:val="44B04CDA"/>
    <w:rsid w:val="44C70D28"/>
    <w:rsid w:val="44EB2E62"/>
    <w:rsid w:val="44EE2D37"/>
    <w:rsid w:val="452946FD"/>
    <w:rsid w:val="45465A74"/>
    <w:rsid w:val="457210D8"/>
    <w:rsid w:val="459C31A4"/>
    <w:rsid w:val="45E30915"/>
    <w:rsid w:val="45E40321"/>
    <w:rsid w:val="4625557D"/>
    <w:rsid w:val="464F0E9C"/>
    <w:rsid w:val="465173C0"/>
    <w:rsid w:val="46540242"/>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8F75F7E"/>
    <w:rsid w:val="48F87DDE"/>
    <w:rsid w:val="490E3A5E"/>
    <w:rsid w:val="49374149"/>
    <w:rsid w:val="49613924"/>
    <w:rsid w:val="496D0F3E"/>
    <w:rsid w:val="49E12571"/>
    <w:rsid w:val="49E378C6"/>
    <w:rsid w:val="4A834EBE"/>
    <w:rsid w:val="4A84625B"/>
    <w:rsid w:val="4AC742EB"/>
    <w:rsid w:val="4B222F19"/>
    <w:rsid w:val="4B3040AF"/>
    <w:rsid w:val="4B55574A"/>
    <w:rsid w:val="4B8B3072"/>
    <w:rsid w:val="4BA90131"/>
    <w:rsid w:val="4BB36285"/>
    <w:rsid w:val="4BD35EC5"/>
    <w:rsid w:val="4BF55CE7"/>
    <w:rsid w:val="4C1B3C0A"/>
    <w:rsid w:val="4C4846F9"/>
    <w:rsid w:val="4CA517A6"/>
    <w:rsid w:val="4CBC728A"/>
    <w:rsid w:val="4CC550D0"/>
    <w:rsid w:val="4CFB69A6"/>
    <w:rsid w:val="4D2316EA"/>
    <w:rsid w:val="4D267491"/>
    <w:rsid w:val="4D331FE6"/>
    <w:rsid w:val="4D7D1D33"/>
    <w:rsid w:val="4D830955"/>
    <w:rsid w:val="4DD76DA8"/>
    <w:rsid w:val="4DF641D3"/>
    <w:rsid w:val="4E3C2C54"/>
    <w:rsid w:val="4E3E017D"/>
    <w:rsid w:val="4E43407C"/>
    <w:rsid w:val="4E5F59DA"/>
    <w:rsid w:val="4EA44C2A"/>
    <w:rsid w:val="4EF23E87"/>
    <w:rsid w:val="4F2941D5"/>
    <w:rsid w:val="4FF955FD"/>
    <w:rsid w:val="4FFC0A94"/>
    <w:rsid w:val="50081059"/>
    <w:rsid w:val="50341B66"/>
    <w:rsid w:val="504F4E51"/>
    <w:rsid w:val="509E2AE6"/>
    <w:rsid w:val="50F36CD9"/>
    <w:rsid w:val="512E641B"/>
    <w:rsid w:val="517D059D"/>
    <w:rsid w:val="51FA56D9"/>
    <w:rsid w:val="521723B7"/>
    <w:rsid w:val="523F7F97"/>
    <w:rsid w:val="52576EC5"/>
    <w:rsid w:val="53047529"/>
    <w:rsid w:val="53133561"/>
    <w:rsid w:val="535D658C"/>
    <w:rsid w:val="53B9060B"/>
    <w:rsid w:val="54107975"/>
    <w:rsid w:val="5451551D"/>
    <w:rsid w:val="548C2C0D"/>
    <w:rsid w:val="54D6790A"/>
    <w:rsid w:val="55205953"/>
    <w:rsid w:val="55237443"/>
    <w:rsid w:val="553970EE"/>
    <w:rsid w:val="553A4CBA"/>
    <w:rsid w:val="557E6857"/>
    <w:rsid w:val="55E15918"/>
    <w:rsid w:val="55E65C45"/>
    <w:rsid w:val="55EA2DA9"/>
    <w:rsid w:val="55F9753C"/>
    <w:rsid w:val="55FA344A"/>
    <w:rsid w:val="5616542D"/>
    <w:rsid w:val="563A460F"/>
    <w:rsid w:val="565A7710"/>
    <w:rsid w:val="566B6C45"/>
    <w:rsid w:val="56975E59"/>
    <w:rsid w:val="569C350B"/>
    <w:rsid w:val="56BF0EA2"/>
    <w:rsid w:val="56EA3918"/>
    <w:rsid w:val="57460503"/>
    <w:rsid w:val="575272DC"/>
    <w:rsid w:val="575370FA"/>
    <w:rsid w:val="57B642BC"/>
    <w:rsid w:val="57BD0A78"/>
    <w:rsid w:val="57DC6FDD"/>
    <w:rsid w:val="57FB5F50"/>
    <w:rsid w:val="58984B29"/>
    <w:rsid w:val="589E7340"/>
    <w:rsid w:val="58B03A4A"/>
    <w:rsid w:val="58EF38F2"/>
    <w:rsid w:val="590D5DDF"/>
    <w:rsid w:val="59162031"/>
    <w:rsid w:val="596F34AA"/>
    <w:rsid w:val="59C407FC"/>
    <w:rsid w:val="59C754AB"/>
    <w:rsid w:val="59E079AB"/>
    <w:rsid w:val="5A375749"/>
    <w:rsid w:val="5A726BA0"/>
    <w:rsid w:val="5AD3204F"/>
    <w:rsid w:val="5B071BBA"/>
    <w:rsid w:val="5B3C55BF"/>
    <w:rsid w:val="5B63756F"/>
    <w:rsid w:val="5B725B6B"/>
    <w:rsid w:val="5BBE026D"/>
    <w:rsid w:val="5BD439A7"/>
    <w:rsid w:val="5BDF3319"/>
    <w:rsid w:val="5BEF3BBE"/>
    <w:rsid w:val="5C991133"/>
    <w:rsid w:val="5C995E25"/>
    <w:rsid w:val="5D4709FE"/>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4D1869"/>
    <w:rsid w:val="607F4912"/>
    <w:rsid w:val="60881A7C"/>
    <w:rsid w:val="609751E5"/>
    <w:rsid w:val="60C10976"/>
    <w:rsid w:val="61563C9D"/>
    <w:rsid w:val="61C16E82"/>
    <w:rsid w:val="61D81A5C"/>
    <w:rsid w:val="620D1678"/>
    <w:rsid w:val="629D050C"/>
    <w:rsid w:val="62B8321C"/>
    <w:rsid w:val="62D625D5"/>
    <w:rsid w:val="630962B4"/>
    <w:rsid w:val="63766DF5"/>
    <w:rsid w:val="63B6206D"/>
    <w:rsid w:val="63BE6B4B"/>
    <w:rsid w:val="63E41E32"/>
    <w:rsid w:val="6406254B"/>
    <w:rsid w:val="643636FB"/>
    <w:rsid w:val="64522BD2"/>
    <w:rsid w:val="646766DC"/>
    <w:rsid w:val="64894B6D"/>
    <w:rsid w:val="64E010F2"/>
    <w:rsid w:val="6503009D"/>
    <w:rsid w:val="651E5E20"/>
    <w:rsid w:val="65535A1B"/>
    <w:rsid w:val="657E2D0B"/>
    <w:rsid w:val="65817DB1"/>
    <w:rsid w:val="65FE510C"/>
    <w:rsid w:val="660E507B"/>
    <w:rsid w:val="66373410"/>
    <w:rsid w:val="664D4AB5"/>
    <w:rsid w:val="66576902"/>
    <w:rsid w:val="668D6BED"/>
    <w:rsid w:val="669369C9"/>
    <w:rsid w:val="66943B2D"/>
    <w:rsid w:val="66CA61B4"/>
    <w:rsid w:val="67165E6D"/>
    <w:rsid w:val="675A1CF7"/>
    <w:rsid w:val="6761194F"/>
    <w:rsid w:val="677F7400"/>
    <w:rsid w:val="67A01566"/>
    <w:rsid w:val="67A63D55"/>
    <w:rsid w:val="67A84465"/>
    <w:rsid w:val="67AB3B49"/>
    <w:rsid w:val="68384317"/>
    <w:rsid w:val="685F312A"/>
    <w:rsid w:val="68603781"/>
    <w:rsid w:val="68CC70D7"/>
    <w:rsid w:val="69291ACC"/>
    <w:rsid w:val="6933530D"/>
    <w:rsid w:val="693F57CE"/>
    <w:rsid w:val="69433D4A"/>
    <w:rsid w:val="696B32FD"/>
    <w:rsid w:val="69797C2C"/>
    <w:rsid w:val="69AB78DD"/>
    <w:rsid w:val="69D171A3"/>
    <w:rsid w:val="69D74CDC"/>
    <w:rsid w:val="6A206938"/>
    <w:rsid w:val="6A2F1F48"/>
    <w:rsid w:val="6A6C5A40"/>
    <w:rsid w:val="6A6E55B8"/>
    <w:rsid w:val="6A9B47A1"/>
    <w:rsid w:val="6AFF14C0"/>
    <w:rsid w:val="6B0E13E7"/>
    <w:rsid w:val="6B1301B0"/>
    <w:rsid w:val="6B29781B"/>
    <w:rsid w:val="6B5068BA"/>
    <w:rsid w:val="6BFF0085"/>
    <w:rsid w:val="6C6D4AB7"/>
    <w:rsid w:val="6D17028B"/>
    <w:rsid w:val="6D2552D8"/>
    <w:rsid w:val="6D302D5D"/>
    <w:rsid w:val="6D3C235D"/>
    <w:rsid w:val="6D935AB0"/>
    <w:rsid w:val="6DA62403"/>
    <w:rsid w:val="6DF5498C"/>
    <w:rsid w:val="6E087119"/>
    <w:rsid w:val="6E0A3A07"/>
    <w:rsid w:val="6E372360"/>
    <w:rsid w:val="6E4F724A"/>
    <w:rsid w:val="6E60770D"/>
    <w:rsid w:val="6F037853"/>
    <w:rsid w:val="6F712D24"/>
    <w:rsid w:val="6F7B3028"/>
    <w:rsid w:val="6FA027BC"/>
    <w:rsid w:val="6FC55DFE"/>
    <w:rsid w:val="70020A66"/>
    <w:rsid w:val="700B0E5F"/>
    <w:rsid w:val="701A03F2"/>
    <w:rsid w:val="701B6FD8"/>
    <w:rsid w:val="70206DE6"/>
    <w:rsid w:val="704266E6"/>
    <w:rsid w:val="704822BF"/>
    <w:rsid w:val="706A7B0F"/>
    <w:rsid w:val="7080412D"/>
    <w:rsid w:val="7127456D"/>
    <w:rsid w:val="712914EF"/>
    <w:rsid w:val="717C199B"/>
    <w:rsid w:val="71A06A03"/>
    <w:rsid w:val="71EF2FA5"/>
    <w:rsid w:val="7210341D"/>
    <w:rsid w:val="72C12A96"/>
    <w:rsid w:val="73624F26"/>
    <w:rsid w:val="736B7306"/>
    <w:rsid w:val="736C6888"/>
    <w:rsid w:val="737F4DAF"/>
    <w:rsid w:val="739169DE"/>
    <w:rsid w:val="739B1EBD"/>
    <w:rsid w:val="73AF18CB"/>
    <w:rsid w:val="73B9425D"/>
    <w:rsid w:val="73ED4A58"/>
    <w:rsid w:val="73F12374"/>
    <w:rsid w:val="740422B3"/>
    <w:rsid w:val="74796ABE"/>
    <w:rsid w:val="74A87093"/>
    <w:rsid w:val="74C80433"/>
    <w:rsid w:val="74E229B4"/>
    <w:rsid w:val="74E9694C"/>
    <w:rsid w:val="74EC26A7"/>
    <w:rsid w:val="75034CF7"/>
    <w:rsid w:val="756F302F"/>
    <w:rsid w:val="757946EE"/>
    <w:rsid w:val="75DF32A0"/>
    <w:rsid w:val="75ED010F"/>
    <w:rsid w:val="760A43BF"/>
    <w:rsid w:val="761321E0"/>
    <w:rsid w:val="761450E8"/>
    <w:rsid w:val="764A52E7"/>
    <w:rsid w:val="765D589D"/>
    <w:rsid w:val="76A133C0"/>
    <w:rsid w:val="76D36025"/>
    <w:rsid w:val="772F2936"/>
    <w:rsid w:val="776B6DA8"/>
    <w:rsid w:val="77930FF3"/>
    <w:rsid w:val="77AF6C41"/>
    <w:rsid w:val="77B21E06"/>
    <w:rsid w:val="77D85450"/>
    <w:rsid w:val="780F0912"/>
    <w:rsid w:val="784F6AB7"/>
    <w:rsid w:val="78D61CB2"/>
    <w:rsid w:val="78F104FB"/>
    <w:rsid w:val="79493EB1"/>
    <w:rsid w:val="797C66CF"/>
    <w:rsid w:val="7A7550A6"/>
    <w:rsid w:val="7AAF3771"/>
    <w:rsid w:val="7AEC001A"/>
    <w:rsid w:val="7B0D7B96"/>
    <w:rsid w:val="7B475761"/>
    <w:rsid w:val="7B49298E"/>
    <w:rsid w:val="7B7B57F5"/>
    <w:rsid w:val="7B7D3C44"/>
    <w:rsid w:val="7BE208A5"/>
    <w:rsid w:val="7BE3068E"/>
    <w:rsid w:val="7C150EF5"/>
    <w:rsid w:val="7C3133CB"/>
    <w:rsid w:val="7C465BE7"/>
    <w:rsid w:val="7C665A9A"/>
    <w:rsid w:val="7C6731A8"/>
    <w:rsid w:val="7CAF51D0"/>
    <w:rsid w:val="7CAF6655"/>
    <w:rsid w:val="7D2A73BF"/>
    <w:rsid w:val="7D6E224F"/>
    <w:rsid w:val="7D850A77"/>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99"/>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989840-1E72-4244-ACB6-FF4BE60B79F2}">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5</Pages>
  <Words>1534</Words>
  <Characters>8750</Characters>
  <Lines>72</Lines>
  <Paragraphs>20</Paragraphs>
  <TotalTime>5</TotalTime>
  <ScaleCrop>false</ScaleCrop>
  <LinksUpToDate>false</LinksUpToDate>
  <CharactersWithSpaces>10264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2022-01-04T00:07:00Z</dcterms:created>
  <dc:creator>10033860</dc:creator>
  <cp:lastModifiedBy>ZTE</cp:lastModifiedBy>
  <cp:lastPrinted>2113-01-01T00:00:00Z</cp:lastPrinted>
  <dcterms:modified xsi:type="dcterms:W3CDTF">2022-02-14T02:26:09Z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