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[AT116bis-e][044][NR17] RRC resume security (NTT DOCOMO)</w:t>
      </w:r>
      <w:r w:rsidR="0007138F">
        <w:t xml:space="preserve"> </w:t>
      </w:r>
    </w:p>
    <w:p w14:paraId="25FD2219" w14:textId="77777777" w:rsidR="00B97703" w:rsidRDefault="00284052" w:rsidP="00E82B46">
      <w:pPr>
        <w:pStyle w:val="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[AT116bis-e][044][NR17]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1"/>
      </w:pPr>
      <w:r>
        <w:t>Contact Points</w:t>
      </w:r>
    </w:p>
    <w:tbl>
      <w:tblPr>
        <w:tblStyle w:val="af3"/>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CD7CFC" w:rsidP="00866DCD">
            <w:pPr>
              <w:rPr>
                <w:lang w:eastAsia="ja-JP"/>
              </w:rPr>
            </w:pPr>
            <w:hyperlink r:id="rId8" w:history="1">
              <w:r w:rsidR="002211BF" w:rsidRPr="003C7891">
                <w:rPr>
                  <w:rStyle w:val="af0"/>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E844F4" w14:paraId="0DCE6431" w14:textId="77777777" w:rsidTr="00866DCD">
        <w:tc>
          <w:tcPr>
            <w:tcW w:w="1980" w:type="dxa"/>
          </w:tcPr>
          <w:p w14:paraId="636825B0" w14:textId="6CBFDEA1" w:rsidR="00E844F4" w:rsidRDefault="00E844F4" w:rsidP="00E844F4">
            <w:pPr>
              <w:rPr>
                <w:lang w:eastAsia="ja-JP"/>
              </w:rPr>
            </w:pPr>
            <w:r>
              <w:rPr>
                <w:lang w:eastAsia="ja-JP"/>
              </w:rPr>
              <w:t>Google</w:t>
            </w:r>
          </w:p>
        </w:tc>
        <w:tc>
          <w:tcPr>
            <w:tcW w:w="2410" w:type="dxa"/>
          </w:tcPr>
          <w:p w14:paraId="2D7AB711" w14:textId="17CCA93F" w:rsidR="00E844F4" w:rsidRDefault="00E844F4" w:rsidP="00E844F4">
            <w:pPr>
              <w:rPr>
                <w:lang w:eastAsia="ja-JP"/>
              </w:rPr>
            </w:pPr>
            <w:r>
              <w:rPr>
                <w:lang w:eastAsia="ja-JP"/>
              </w:rPr>
              <w:t>Frank Wu</w:t>
            </w:r>
          </w:p>
        </w:tc>
        <w:tc>
          <w:tcPr>
            <w:tcW w:w="5465" w:type="dxa"/>
          </w:tcPr>
          <w:p w14:paraId="57CDD0C1" w14:textId="218598F3" w:rsidR="00E844F4" w:rsidRDefault="00E844F4" w:rsidP="00E844F4">
            <w:pPr>
              <w:rPr>
                <w:lang w:eastAsia="ja-JP"/>
              </w:rPr>
            </w:pPr>
            <w:r>
              <w:rPr>
                <w:lang w:eastAsia="ja-JP"/>
              </w:rPr>
              <w:t>frankwu@google.com</w:t>
            </w:r>
          </w:p>
        </w:tc>
      </w:tr>
      <w:tr w:rsidR="00E844F4" w14:paraId="6E3D7F02" w14:textId="77777777" w:rsidTr="00866DCD">
        <w:tc>
          <w:tcPr>
            <w:tcW w:w="1980" w:type="dxa"/>
          </w:tcPr>
          <w:p w14:paraId="41E66ABE" w14:textId="73EFA8EB" w:rsidR="00E844F4" w:rsidRDefault="00B47BCF" w:rsidP="00E844F4">
            <w:pPr>
              <w:rPr>
                <w:lang w:eastAsia="ja-JP"/>
              </w:rPr>
            </w:pPr>
            <w:r>
              <w:rPr>
                <w:lang w:eastAsia="ja-JP"/>
              </w:rPr>
              <w:t>vivo</w:t>
            </w:r>
          </w:p>
        </w:tc>
        <w:tc>
          <w:tcPr>
            <w:tcW w:w="2410" w:type="dxa"/>
          </w:tcPr>
          <w:p w14:paraId="3F99C4AE" w14:textId="781E16A7" w:rsidR="00E844F4" w:rsidRDefault="00B47BCF" w:rsidP="00E844F4">
            <w:pPr>
              <w:rPr>
                <w:lang w:eastAsia="ja-JP"/>
              </w:rPr>
            </w:pPr>
            <w:r>
              <w:rPr>
                <w:lang w:eastAsia="ja-JP"/>
              </w:rPr>
              <w:t>Boubacar Kimba</w:t>
            </w:r>
          </w:p>
        </w:tc>
        <w:tc>
          <w:tcPr>
            <w:tcW w:w="5465" w:type="dxa"/>
          </w:tcPr>
          <w:p w14:paraId="091B0FE5" w14:textId="6729AEDE" w:rsidR="00E844F4" w:rsidRDefault="00B47BCF" w:rsidP="00E844F4">
            <w:pPr>
              <w:rPr>
                <w:lang w:eastAsia="ja-JP"/>
              </w:rPr>
            </w:pPr>
            <w:r>
              <w:rPr>
                <w:lang w:eastAsia="ja-JP"/>
              </w:rPr>
              <w:t>kimba@vivo.com</w:t>
            </w:r>
          </w:p>
        </w:tc>
      </w:tr>
      <w:tr w:rsidR="00E844F4" w14:paraId="381B4077" w14:textId="77777777" w:rsidTr="00866DCD">
        <w:tc>
          <w:tcPr>
            <w:tcW w:w="1980" w:type="dxa"/>
          </w:tcPr>
          <w:p w14:paraId="483E601E" w14:textId="5F638B8F" w:rsidR="00E844F4" w:rsidRDefault="00D033B9" w:rsidP="00E844F4">
            <w:pPr>
              <w:rPr>
                <w:lang w:eastAsia="ja-JP"/>
              </w:rPr>
            </w:pPr>
            <w:r>
              <w:rPr>
                <w:lang w:eastAsia="ja-JP"/>
              </w:rPr>
              <w:t>Qualcomm</w:t>
            </w:r>
          </w:p>
        </w:tc>
        <w:tc>
          <w:tcPr>
            <w:tcW w:w="2410" w:type="dxa"/>
          </w:tcPr>
          <w:p w14:paraId="1BFA4A6C" w14:textId="668CCE20" w:rsidR="00E844F4" w:rsidRDefault="00D033B9" w:rsidP="00E844F4">
            <w:pPr>
              <w:rPr>
                <w:lang w:eastAsia="ja-JP"/>
              </w:rPr>
            </w:pPr>
            <w:r>
              <w:rPr>
                <w:lang w:eastAsia="ja-JP"/>
              </w:rPr>
              <w:t>Ozcan Ozturk</w:t>
            </w:r>
          </w:p>
        </w:tc>
        <w:tc>
          <w:tcPr>
            <w:tcW w:w="5465" w:type="dxa"/>
          </w:tcPr>
          <w:p w14:paraId="6C05DDCF" w14:textId="0AE098ED" w:rsidR="00E844F4" w:rsidRDefault="00D033B9" w:rsidP="00E844F4">
            <w:pPr>
              <w:rPr>
                <w:lang w:eastAsia="ja-JP"/>
              </w:rPr>
            </w:pPr>
            <w:r>
              <w:rPr>
                <w:lang w:eastAsia="ja-JP"/>
              </w:rPr>
              <w:t>oozturk@qti.qualcomm.com</w:t>
            </w:r>
          </w:p>
        </w:tc>
      </w:tr>
      <w:tr w:rsidR="002F4057" w14:paraId="47D21910" w14:textId="77777777" w:rsidTr="005A380F">
        <w:tc>
          <w:tcPr>
            <w:tcW w:w="1980" w:type="dxa"/>
          </w:tcPr>
          <w:p w14:paraId="3ED1A5ED" w14:textId="77777777" w:rsidR="002F4057" w:rsidRPr="008E6839" w:rsidRDefault="002F4057" w:rsidP="005A380F">
            <w:pPr>
              <w:rPr>
                <w:lang w:val="en-US" w:eastAsia="zh-CN"/>
              </w:rPr>
            </w:pPr>
            <w:r>
              <w:rPr>
                <w:lang w:val="en-US" w:eastAsia="zh-CN"/>
              </w:rPr>
              <w:t>Apple</w:t>
            </w:r>
          </w:p>
        </w:tc>
        <w:tc>
          <w:tcPr>
            <w:tcW w:w="2410" w:type="dxa"/>
          </w:tcPr>
          <w:p w14:paraId="0BD74DBE" w14:textId="77777777" w:rsidR="002F4057" w:rsidRDefault="002F4057" w:rsidP="005A380F">
            <w:pPr>
              <w:rPr>
                <w:lang w:eastAsia="ja-JP"/>
              </w:rPr>
            </w:pPr>
            <w:r>
              <w:rPr>
                <w:lang w:eastAsia="ja-JP"/>
              </w:rPr>
              <w:t>Fangli XU</w:t>
            </w:r>
          </w:p>
        </w:tc>
        <w:tc>
          <w:tcPr>
            <w:tcW w:w="5465" w:type="dxa"/>
          </w:tcPr>
          <w:p w14:paraId="5DCE20ED" w14:textId="77777777" w:rsidR="002F4057" w:rsidRDefault="002F4057" w:rsidP="005A380F">
            <w:pPr>
              <w:rPr>
                <w:lang w:eastAsia="ja-JP"/>
              </w:rPr>
            </w:pPr>
            <w:r>
              <w:rPr>
                <w:lang w:eastAsia="ja-JP"/>
              </w:rPr>
              <w:t>fangli_xu@apple.com</w:t>
            </w:r>
          </w:p>
        </w:tc>
      </w:tr>
      <w:tr w:rsidR="002753BD" w14:paraId="45FA976F" w14:textId="77777777" w:rsidTr="00866DCD">
        <w:tc>
          <w:tcPr>
            <w:tcW w:w="1980" w:type="dxa"/>
          </w:tcPr>
          <w:p w14:paraId="0884EF39" w14:textId="6302C2AC" w:rsidR="002753BD" w:rsidRDefault="002753BD" w:rsidP="002753BD">
            <w:pPr>
              <w:rPr>
                <w:lang w:eastAsia="ja-JP"/>
              </w:rPr>
            </w:pPr>
            <w:r>
              <w:rPr>
                <w:rFonts w:eastAsia="宋体" w:hint="eastAsia"/>
                <w:lang w:eastAsia="zh-CN"/>
              </w:rPr>
              <w:t>H</w:t>
            </w:r>
            <w:r>
              <w:rPr>
                <w:rFonts w:eastAsia="宋体"/>
                <w:lang w:eastAsia="zh-CN"/>
              </w:rPr>
              <w:t>uawei, HiSilicon</w:t>
            </w:r>
          </w:p>
        </w:tc>
        <w:tc>
          <w:tcPr>
            <w:tcW w:w="2410" w:type="dxa"/>
          </w:tcPr>
          <w:p w14:paraId="6EDA16F3" w14:textId="7BF31A78" w:rsidR="002753BD" w:rsidRDefault="002753BD" w:rsidP="002753BD">
            <w:pPr>
              <w:rPr>
                <w:lang w:eastAsia="ja-JP"/>
              </w:rPr>
            </w:pPr>
            <w:r>
              <w:rPr>
                <w:rFonts w:eastAsia="宋体" w:hint="eastAsia"/>
                <w:lang w:eastAsia="zh-CN"/>
              </w:rPr>
              <w:t>R</w:t>
            </w:r>
            <w:r>
              <w:rPr>
                <w:rFonts w:eastAsia="宋体"/>
                <w:lang w:eastAsia="zh-CN"/>
              </w:rPr>
              <w:t>ui Wang</w:t>
            </w:r>
          </w:p>
        </w:tc>
        <w:tc>
          <w:tcPr>
            <w:tcW w:w="5465" w:type="dxa"/>
          </w:tcPr>
          <w:p w14:paraId="3FAF5FCA" w14:textId="384B7391" w:rsidR="002753BD" w:rsidRDefault="002753BD" w:rsidP="002753BD">
            <w:pPr>
              <w:rPr>
                <w:lang w:eastAsia="ja-JP"/>
              </w:rPr>
            </w:pPr>
            <w:r>
              <w:rPr>
                <w:rFonts w:eastAsia="宋体"/>
                <w:lang w:eastAsia="zh-CN"/>
              </w:rPr>
              <w:t>wangrui46@huawei.com</w:t>
            </w:r>
          </w:p>
        </w:tc>
      </w:tr>
      <w:tr w:rsidR="00E844F4" w14:paraId="1A5E891A" w14:textId="77777777" w:rsidTr="00866DCD">
        <w:tc>
          <w:tcPr>
            <w:tcW w:w="1980" w:type="dxa"/>
          </w:tcPr>
          <w:p w14:paraId="39904901" w14:textId="77777777" w:rsidR="00E844F4" w:rsidRDefault="00E844F4" w:rsidP="00E844F4">
            <w:pPr>
              <w:rPr>
                <w:lang w:eastAsia="ja-JP"/>
              </w:rPr>
            </w:pPr>
          </w:p>
        </w:tc>
        <w:tc>
          <w:tcPr>
            <w:tcW w:w="2410" w:type="dxa"/>
          </w:tcPr>
          <w:p w14:paraId="6F4D705F" w14:textId="77777777" w:rsidR="00E844F4" w:rsidRDefault="00E844F4" w:rsidP="00E844F4">
            <w:pPr>
              <w:rPr>
                <w:lang w:eastAsia="ja-JP"/>
              </w:rPr>
            </w:pPr>
          </w:p>
        </w:tc>
        <w:tc>
          <w:tcPr>
            <w:tcW w:w="5465" w:type="dxa"/>
          </w:tcPr>
          <w:p w14:paraId="08DCD185" w14:textId="77777777" w:rsidR="00E844F4" w:rsidRDefault="00E844F4" w:rsidP="00E844F4">
            <w:pPr>
              <w:rPr>
                <w:lang w:eastAsia="ja-JP"/>
              </w:rPr>
            </w:pPr>
          </w:p>
        </w:tc>
      </w:tr>
      <w:tr w:rsidR="00E844F4" w14:paraId="71A3065B" w14:textId="77777777" w:rsidTr="00866DCD">
        <w:tc>
          <w:tcPr>
            <w:tcW w:w="1980" w:type="dxa"/>
          </w:tcPr>
          <w:p w14:paraId="754C36FA" w14:textId="77777777" w:rsidR="00E844F4" w:rsidRDefault="00E844F4" w:rsidP="00E844F4">
            <w:pPr>
              <w:rPr>
                <w:lang w:eastAsia="ja-JP"/>
              </w:rPr>
            </w:pPr>
          </w:p>
        </w:tc>
        <w:tc>
          <w:tcPr>
            <w:tcW w:w="2410" w:type="dxa"/>
          </w:tcPr>
          <w:p w14:paraId="07E610FB" w14:textId="77777777" w:rsidR="00E844F4" w:rsidRDefault="00E844F4" w:rsidP="00E844F4">
            <w:pPr>
              <w:rPr>
                <w:lang w:eastAsia="ja-JP"/>
              </w:rPr>
            </w:pPr>
          </w:p>
        </w:tc>
        <w:tc>
          <w:tcPr>
            <w:tcW w:w="5465" w:type="dxa"/>
          </w:tcPr>
          <w:p w14:paraId="20261FEA" w14:textId="77777777" w:rsidR="00E844F4" w:rsidRDefault="00E844F4" w:rsidP="00E844F4">
            <w:pPr>
              <w:rPr>
                <w:lang w:eastAsia="ja-JP"/>
              </w:rPr>
            </w:pPr>
          </w:p>
        </w:tc>
      </w:tr>
      <w:tr w:rsidR="00E844F4" w14:paraId="56CA1A70" w14:textId="77777777" w:rsidTr="00866DCD">
        <w:tc>
          <w:tcPr>
            <w:tcW w:w="1980" w:type="dxa"/>
          </w:tcPr>
          <w:p w14:paraId="1637D3A9" w14:textId="77777777" w:rsidR="00E844F4" w:rsidRDefault="00E844F4" w:rsidP="00E844F4">
            <w:pPr>
              <w:rPr>
                <w:lang w:eastAsia="ja-JP"/>
              </w:rPr>
            </w:pPr>
          </w:p>
        </w:tc>
        <w:tc>
          <w:tcPr>
            <w:tcW w:w="2410" w:type="dxa"/>
          </w:tcPr>
          <w:p w14:paraId="76BFC4F2" w14:textId="77777777" w:rsidR="00E844F4" w:rsidRDefault="00E844F4" w:rsidP="00E844F4">
            <w:pPr>
              <w:rPr>
                <w:lang w:eastAsia="ja-JP"/>
              </w:rPr>
            </w:pPr>
          </w:p>
        </w:tc>
        <w:tc>
          <w:tcPr>
            <w:tcW w:w="5465" w:type="dxa"/>
          </w:tcPr>
          <w:p w14:paraId="35F36DDA" w14:textId="77777777" w:rsidR="00E844F4" w:rsidRDefault="00E844F4" w:rsidP="00E844F4">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1"/>
      </w:pPr>
      <w:r>
        <w:t>References</w:t>
      </w:r>
    </w:p>
    <w:p w14:paraId="3CB9C647" w14:textId="79AF1F4C" w:rsidR="00295100" w:rsidRDefault="00295100" w:rsidP="00295100">
      <w:pPr>
        <w:pStyle w:val="Doc-title"/>
      </w:pPr>
      <w:r>
        <w:t xml:space="preserve">[1] </w:t>
      </w:r>
      <w:hyperlink r:id="rId9" w:tooltip="D:Documents3GPPtsg_ranWG2TSGR2_116bis-eDocsR2-2200154.zip" w:history="1">
        <w:r w:rsidRPr="001E7D9D">
          <w:rPr>
            <w:rStyle w:val="af0"/>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0" w:history="1">
        <w:r w:rsidRPr="00ED6272">
          <w:rPr>
            <w:rStyle w:val="af0"/>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1" w:history="1">
        <w:r w:rsidRPr="00ED6272">
          <w:rPr>
            <w:rStyle w:val="af0"/>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2" w:history="1">
        <w:r w:rsidRPr="00ED6272">
          <w:rPr>
            <w:rStyle w:val="af0"/>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1"/>
      </w:pPr>
      <w:r>
        <w:t>Discussions</w:t>
      </w:r>
    </w:p>
    <w:p w14:paraId="2B73E0E4" w14:textId="54DE4F37" w:rsidR="00515475" w:rsidRDefault="00295100" w:rsidP="00D06875">
      <w:pPr>
        <w:pStyle w:val="2"/>
      </w:pPr>
      <w:r>
        <w:t>Error cases that can lead to deletion of context</w:t>
      </w:r>
    </w:p>
    <w:p w14:paraId="7B5DC5C5" w14:textId="77777777" w:rsidR="00640BDD" w:rsidRDefault="00D06875" w:rsidP="00640BDD">
      <w:pPr>
        <w:rPr>
          <w:rFonts w:eastAsia="宋体"/>
          <w:bCs/>
          <w:lang w:eastAsia="zh-CN"/>
        </w:rPr>
      </w:pPr>
      <w:r>
        <w:rPr>
          <w:lang w:eastAsia="ja-JP"/>
        </w:rPr>
        <w:t xml:space="preserve">The first question from SA3 is on </w:t>
      </w:r>
      <w:r>
        <w:t>error cases that can lead to deletion of context.</w:t>
      </w:r>
      <w:r w:rsidR="00640BDD">
        <w:t xml:space="preserve"> </w:t>
      </w:r>
      <w:r w:rsidR="00640BDD">
        <w:rPr>
          <w:rFonts w:eastAsia="宋体"/>
          <w:bCs/>
          <w:lang w:eastAsia="zh-CN"/>
        </w:rPr>
        <w:t>Two contributions analysed the cases.</w:t>
      </w:r>
    </w:p>
    <w:p w14:paraId="644B57DE" w14:textId="0038B9C6" w:rsidR="00640BDD" w:rsidRDefault="00640BDD" w:rsidP="00640BDD">
      <w:pPr>
        <w:rPr>
          <w:rFonts w:eastAsia="宋体"/>
          <w:b/>
          <w:lang w:eastAsia="zh-CN"/>
        </w:rPr>
      </w:pPr>
      <w:r>
        <w:rPr>
          <w:rFonts w:eastAsia="宋体"/>
          <w:bCs/>
          <w:lang w:eastAsia="zh-CN"/>
        </w:rPr>
        <w:t xml:space="preserve">In [2], Huawei makes the following proposal (as </w:t>
      </w:r>
      <w:r w:rsidR="00D06875" w:rsidRPr="00640BDD">
        <w:rPr>
          <w:rFonts w:eastAsia="宋体"/>
          <w:bCs/>
          <w:lang w:eastAsia="zh-CN"/>
        </w:rPr>
        <w:t>Proposal 1</w:t>
      </w:r>
      <w:r>
        <w:rPr>
          <w:rFonts w:eastAsia="宋体"/>
          <w:bCs/>
          <w:lang w:eastAsia="zh-CN"/>
        </w:rPr>
        <w:t xml:space="preserve">). </w:t>
      </w:r>
      <w:r w:rsidR="00CF0329">
        <w:rPr>
          <w:rFonts w:eastAsia="宋体"/>
          <w:bCs/>
          <w:lang w:eastAsia="zh-CN"/>
        </w:rPr>
        <w:t>According to t</w:t>
      </w:r>
      <w:r>
        <w:rPr>
          <w:rFonts w:eastAsia="宋体"/>
          <w:bCs/>
          <w:lang w:eastAsia="zh-CN"/>
        </w:rPr>
        <w:t>he contribution</w:t>
      </w:r>
      <w:r w:rsidR="00CF0329">
        <w:rPr>
          <w:rFonts w:eastAsia="宋体"/>
          <w:bCs/>
          <w:lang w:eastAsia="zh-CN"/>
        </w:rPr>
        <w:t>,</w:t>
      </w:r>
      <w:r>
        <w:rPr>
          <w:rFonts w:eastAsia="宋体"/>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宋体"/>
          <w:b/>
          <w:lang w:eastAsia="zh-CN"/>
        </w:rPr>
      </w:pPr>
      <w:r w:rsidRPr="008D4A58">
        <w:rPr>
          <w:rFonts w:eastAsia="宋体"/>
          <w:b/>
          <w:lang w:eastAsia="zh-CN"/>
        </w:rPr>
        <w:t xml:space="preserve">Proposal 1: </w:t>
      </w:r>
      <w:r>
        <w:rPr>
          <w:rFonts w:eastAsia="宋体"/>
          <w:b/>
          <w:lang w:eastAsia="zh-CN"/>
        </w:rPr>
        <w:t>A</w:t>
      </w:r>
      <w:r>
        <w:rPr>
          <w:rFonts w:eastAsia="宋体" w:hint="eastAsia"/>
          <w:b/>
          <w:lang w:eastAsia="zh-CN"/>
        </w:rPr>
        <w:t>nswer</w:t>
      </w:r>
      <w:r>
        <w:rPr>
          <w:rFonts w:eastAsia="宋体"/>
          <w:b/>
          <w:lang w:eastAsia="zh-CN"/>
        </w:rPr>
        <w:t xml:space="preserve"> </w:t>
      </w:r>
      <w:r>
        <w:rPr>
          <w:rFonts w:eastAsia="宋体" w:hint="eastAsia"/>
          <w:b/>
          <w:lang w:eastAsia="zh-CN"/>
        </w:rPr>
        <w:t>to</w:t>
      </w:r>
      <w:r>
        <w:rPr>
          <w:rFonts w:eastAsia="宋体"/>
          <w:b/>
          <w:lang w:eastAsia="zh-CN"/>
        </w:rPr>
        <w:t xml:space="preserve"> Q1: if RRC Resume Request message is modified by attacker, </w:t>
      </w:r>
      <w:r w:rsidRPr="00A0200D">
        <w:rPr>
          <w:rFonts w:eastAsia="宋体"/>
          <w:b/>
          <w:lang w:eastAsia="zh-CN"/>
        </w:rPr>
        <w:t xml:space="preserve">whether </w:t>
      </w:r>
      <w:r>
        <w:rPr>
          <w:rFonts w:eastAsia="宋体"/>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宋体"/>
          <w:bCs/>
          <w:lang w:eastAsia="zh-CN"/>
        </w:rPr>
      </w:pPr>
      <w:r w:rsidRPr="00640BDD">
        <w:rPr>
          <w:rFonts w:eastAsia="宋体"/>
          <w:bCs/>
          <w:lang w:eastAsia="zh-CN"/>
        </w:rPr>
        <w:t>In</w:t>
      </w:r>
      <w:r>
        <w:rPr>
          <w:rFonts w:eastAsia="宋体"/>
          <w:bCs/>
          <w:lang w:eastAsia="zh-CN"/>
        </w:rPr>
        <w:t xml:space="preserve"> [3], Ericsson makes the following proposals</w:t>
      </w:r>
      <w:r w:rsidR="00CF0329">
        <w:rPr>
          <w:rFonts w:eastAsia="宋体"/>
          <w:bCs/>
          <w:lang w:eastAsia="zh-CN"/>
        </w:rPr>
        <w:t>.</w:t>
      </w:r>
      <w:r>
        <w:rPr>
          <w:rFonts w:eastAsia="宋体"/>
          <w:bCs/>
          <w:lang w:eastAsia="zh-CN"/>
        </w:rPr>
        <w:t xml:space="preserve"> The contribution dis</w:t>
      </w:r>
      <w:r w:rsidR="00CF0329">
        <w:rPr>
          <w:rFonts w:eastAsia="宋体"/>
          <w:bCs/>
          <w:lang w:eastAsia="zh-CN"/>
        </w:rPr>
        <w:t xml:space="preserve">cusses that deletion of the UE context may happen in some cases, and if the UE context is deleted, then the old gNB can release the UE and the UE can perform cell (re)selection in order to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宋体"/>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the old gNB can release the UE and this UE can perform a cell (re)selection in order to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宋体"/>
          <w:bCs/>
          <w:lang w:eastAsia="zh-CN"/>
        </w:rPr>
      </w:pPr>
      <w:r w:rsidRPr="00B22F8C">
        <w:rPr>
          <w:bCs/>
          <w:lang w:eastAsia="ja-JP"/>
        </w:rPr>
        <w:t xml:space="preserve">Option 1: </w:t>
      </w:r>
      <w:r w:rsidRPr="00B22F8C">
        <w:rPr>
          <w:rFonts w:eastAsia="宋体"/>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宋体"/>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af3"/>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3" w:history="1">
              <w:r w:rsidRPr="00ED6272">
                <w:rPr>
                  <w:rStyle w:val="af0"/>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E844F4" w14:paraId="7730DD5F" w14:textId="77777777" w:rsidTr="00B22F8C">
        <w:tc>
          <w:tcPr>
            <w:tcW w:w="1555" w:type="dxa"/>
          </w:tcPr>
          <w:p w14:paraId="27AEBD4C" w14:textId="41BC3A69" w:rsidR="00E844F4" w:rsidRDefault="00E844F4" w:rsidP="00E844F4">
            <w:pPr>
              <w:rPr>
                <w:lang w:eastAsia="ja-JP"/>
              </w:rPr>
            </w:pPr>
            <w:r>
              <w:rPr>
                <w:lang w:eastAsia="ja-JP"/>
              </w:rPr>
              <w:t>Google</w:t>
            </w:r>
          </w:p>
        </w:tc>
        <w:tc>
          <w:tcPr>
            <w:tcW w:w="2268" w:type="dxa"/>
          </w:tcPr>
          <w:p w14:paraId="75A0DAC2" w14:textId="6D199686" w:rsidR="00E844F4" w:rsidRDefault="00E844F4" w:rsidP="00E844F4">
            <w:pPr>
              <w:rPr>
                <w:lang w:eastAsia="ja-JP"/>
              </w:rPr>
            </w:pPr>
            <w:r>
              <w:rPr>
                <w:lang w:eastAsia="ja-JP"/>
              </w:rPr>
              <w:t>Other</w:t>
            </w:r>
          </w:p>
        </w:tc>
        <w:tc>
          <w:tcPr>
            <w:tcW w:w="6032" w:type="dxa"/>
          </w:tcPr>
          <w:p w14:paraId="36F52FA0" w14:textId="09B07E5B" w:rsidR="00E844F4" w:rsidRDefault="00E844F4" w:rsidP="00E844F4">
            <w:pPr>
              <w:rPr>
                <w:lang w:eastAsia="ja-JP"/>
              </w:rPr>
            </w:pPr>
            <w:r w:rsidRPr="0097096C">
              <w:rPr>
                <w:lang w:val="en-US" w:eastAsia="ja-JP"/>
              </w:rPr>
              <w:t xml:space="preserve">We understand that </w:t>
            </w:r>
            <w:r w:rsidRPr="00BE4798">
              <w:rPr>
                <w:lang w:val="en-US" w:eastAsia="ja-JP"/>
              </w:rPr>
              <w:t>if the</w:t>
            </w:r>
            <w:r>
              <w:rPr>
                <w:lang w:val="en-US" w:eastAsia="ja-JP"/>
              </w:rPr>
              <w:t xml:space="preserve"> last serving</w:t>
            </w:r>
            <w:r w:rsidRPr="00BE4798">
              <w:rPr>
                <w:lang w:val="en-US" w:eastAsia="ja-JP"/>
              </w:rPr>
              <w:t xml:space="preserve"> gNB </w:t>
            </w:r>
            <w:r>
              <w:rPr>
                <w:lang w:val="en-US" w:eastAsia="ja-JP"/>
              </w:rPr>
              <w:t xml:space="preserve">verifies that </w:t>
            </w:r>
            <w:r w:rsidRPr="00BE4798">
              <w:rPr>
                <w:lang w:val="en-US" w:eastAsia="ja-JP"/>
              </w:rPr>
              <w:t xml:space="preserve">the </w:t>
            </w:r>
            <w:r>
              <w:rPr>
                <w:lang w:val="en-US" w:eastAsia="ja-JP"/>
              </w:rPr>
              <w:t>resume</w:t>
            </w:r>
            <w:r w:rsidRPr="00BE4798">
              <w:rPr>
                <w:lang w:val="en-US" w:eastAsia="ja-JP"/>
              </w:rPr>
              <w:t>MAC-</w:t>
            </w:r>
            <w:r>
              <w:rPr>
                <w:lang w:val="en-US" w:eastAsia="ja-JP"/>
              </w:rPr>
              <w:t xml:space="preserve">I of the UE is invalid, </w:t>
            </w:r>
            <w:r w:rsidRPr="0097096C">
              <w:rPr>
                <w:lang w:val="en-US" w:eastAsia="ja-JP"/>
              </w:rPr>
              <w:t>the</w:t>
            </w:r>
            <w:r>
              <w:rPr>
                <w:lang w:val="en-US" w:eastAsia="ja-JP"/>
              </w:rPr>
              <w:t xml:space="preserve"> last serving </w:t>
            </w:r>
            <w:r w:rsidRPr="00BE4798">
              <w:rPr>
                <w:lang w:val="en-US" w:eastAsia="ja-JP"/>
              </w:rPr>
              <w:t>gNB can delete the UE context</w:t>
            </w:r>
            <w:r>
              <w:rPr>
                <w:lang w:val="en-US" w:eastAsia="ja-JP"/>
              </w:rPr>
              <w:t xml:space="preserve"> and transmit a RRCSetup message to the UE. The resumeMAC-I can be invalid, because the RRC Resume Request </w:t>
            </w:r>
            <w:r>
              <w:rPr>
                <w:lang w:val="en-US" w:eastAsia="ja-JP"/>
              </w:rPr>
              <w:lastRenderedPageBreak/>
              <w:t xml:space="preserve">message is modified by attacker or the last serving gNB is reset due to a crash. </w:t>
            </w:r>
            <w:r w:rsidRPr="0097096C">
              <w:rPr>
                <w:lang w:val="en-US" w:eastAsia="ja-JP"/>
              </w:rPr>
              <w:t>However, we</w:t>
            </w:r>
            <w:r>
              <w:rPr>
                <w:lang w:val="en-US" w:eastAsia="ja-JP"/>
              </w:rPr>
              <w:t xml:space="preserve"> think Q1 is about gNB implementations so it </w:t>
            </w:r>
            <w:r w:rsidRPr="0097096C">
              <w:rPr>
                <w:lang w:val="en-US" w:eastAsia="ja-JP"/>
              </w:rPr>
              <w:t>is more in the RAN3 domain</w:t>
            </w:r>
            <w:r>
              <w:rPr>
                <w:lang w:val="en-US" w:eastAsia="ja-JP"/>
              </w:rPr>
              <w:t>.</w:t>
            </w:r>
            <w:r w:rsidRPr="0097096C">
              <w:rPr>
                <w:lang w:val="en-US" w:eastAsia="ja-JP"/>
              </w:rPr>
              <w:t xml:space="preserve"> </w:t>
            </w:r>
            <w:r>
              <w:rPr>
                <w:lang w:val="en-US" w:eastAsia="ja-JP"/>
              </w:rPr>
              <w:t>Therefore,</w:t>
            </w:r>
            <w:r w:rsidRPr="0097096C">
              <w:rPr>
                <w:lang w:val="en-US" w:eastAsia="ja-JP"/>
              </w:rPr>
              <w:t xml:space="preserve"> we prefer to let RAN3 answer </w:t>
            </w:r>
            <w:r>
              <w:rPr>
                <w:lang w:val="en-US" w:eastAsia="ja-JP"/>
              </w:rPr>
              <w:t>Q1</w:t>
            </w:r>
            <w:r w:rsidRPr="0097096C">
              <w:rPr>
                <w:lang w:val="en-US" w:eastAsia="ja-JP"/>
              </w:rPr>
              <w:t>.</w:t>
            </w:r>
          </w:p>
        </w:tc>
      </w:tr>
      <w:tr w:rsidR="00E844F4" w14:paraId="2AAF63E7" w14:textId="77777777" w:rsidTr="00B22F8C">
        <w:tc>
          <w:tcPr>
            <w:tcW w:w="1555" w:type="dxa"/>
          </w:tcPr>
          <w:p w14:paraId="28A973F5" w14:textId="24E2123B" w:rsidR="00E844F4" w:rsidRDefault="00B47BCF" w:rsidP="00E844F4">
            <w:pPr>
              <w:rPr>
                <w:lang w:eastAsia="ja-JP"/>
              </w:rPr>
            </w:pPr>
            <w:r>
              <w:rPr>
                <w:lang w:eastAsia="ja-JP"/>
              </w:rPr>
              <w:lastRenderedPageBreak/>
              <w:t>vivo</w:t>
            </w:r>
          </w:p>
        </w:tc>
        <w:tc>
          <w:tcPr>
            <w:tcW w:w="2268" w:type="dxa"/>
          </w:tcPr>
          <w:p w14:paraId="07D24DF5" w14:textId="2629C9A5" w:rsidR="00E844F4" w:rsidRDefault="00B47BCF" w:rsidP="00E844F4">
            <w:pPr>
              <w:rPr>
                <w:lang w:eastAsia="ja-JP"/>
              </w:rPr>
            </w:pPr>
            <w:r>
              <w:rPr>
                <w:lang w:eastAsia="ja-JP"/>
              </w:rPr>
              <w:t>Option 2</w:t>
            </w:r>
          </w:p>
        </w:tc>
        <w:tc>
          <w:tcPr>
            <w:tcW w:w="6032" w:type="dxa"/>
          </w:tcPr>
          <w:p w14:paraId="2A055C37" w14:textId="5544B242" w:rsidR="00E844F4" w:rsidRDefault="00B47BCF" w:rsidP="00E844F4">
            <w:pPr>
              <w:rPr>
                <w:lang w:eastAsia="ja-JP"/>
              </w:rPr>
            </w:pPr>
            <w:r>
              <w:rPr>
                <w:lang w:eastAsia="ja-JP"/>
              </w:rPr>
              <w:t>Wait for a reply from RAN3</w:t>
            </w:r>
          </w:p>
        </w:tc>
      </w:tr>
      <w:tr w:rsidR="00E844F4" w14:paraId="234207F4" w14:textId="77777777" w:rsidTr="00B22F8C">
        <w:tc>
          <w:tcPr>
            <w:tcW w:w="1555" w:type="dxa"/>
          </w:tcPr>
          <w:p w14:paraId="2598580E" w14:textId="4706C686" w:rsidR="00E844F4" w:rsidRDefault="007E424F" w:rsidP="00E844F4">
            <w:pPr>
              <w:rPr>
                <w:lang w:eastAsia="ja-JP"/>
              </w:rPr>
            </w:pPr>
            <w:r>
              <w:rPr>
                <w:lang w:eastAsia="ja-JP"/>
              </w:rPr>
              <w:t>Qualcomm</w:t>
            </w:r>
          </w:p>
        </w:tc>
        <w:tc>
          <w:tcPr>
            <w:tcW w:w="2268" w:type="dxa"/>
          </w:tcPr>
          <w:p w14:paraId="6076E155" w14:textId="2E4B69C0" w:rsidR="00E844F4" w:rsidRDefault="005566C6" w:rsidP="00E844F4">
            <w:pPr>
              <w:rPr>
                <w:lang w:eastAsia="ja-JP"/>
              </w:rPr>
            </w:pPr>
            <w:r>
              <w:rPr>
                <w:lang w:eastAsia="ja-JP"/>
              </w:rPr>
              <w:t>Other</w:t>
            </w:r>
          </w:p>
        </w:tc>
        <w:tc>
          <w:tcPr>
            <w:tcW w:w="6032" w:type="dxa"/>
          </w:tcPr>
          <w:p w14:paraId="4BAF6853" w14:textId="40E60EC9" w:rsidR="00E844F4" w:rsidRDefault="005566C6" w:rsidP="00E844F4">
            <w:pPr>
              <w:rPr>
                <w:lang w:eastAsia="ja-JP"/>
              </w:rPr>
            </w:pPr>
            <w:r>
              <w:rPr>
                <w:lang w:eastAsia="ja-JP"/>
              </w:rPr>
              <w:t xml:space="preserve">Also think RRC Setup procedure can work but better wait for RAN3 since </w:t>
            </w:r>
            <w:r w:rsidR="00C442B6">
              <w:rPr>
                <w:lang w:eastAsia="ja-JP"/>
              </w:rPr>
              <w:t>th</w:t>
            </w:r>
            <w:r w:rsidR="008F4013">
              <w:rPr>
                <w:lang w:eastAsia="ja-JP"/>
              </w:rPr>
              <w:t>is also involves</w:t>
            </w:r>
            <w:r w:rsidR="00C442B6">
              <w:rPr>
                <w:lang w:eastAsia="ja-JP"/>
              </w:rPr>
              <w:t xml:space="preserve"> interaction between the gNBs</w:t>
            </w:r>
            <w:r w:rsidR="008F4013">
              <w:rPr>
                <w:lang w:eastAsia="ja-JP"/>
              </w:rPr>
              <w:t>, which</w:t>
            </w:r>
            <w:r w:rsidR="00C442B6">
              <w:rPr>
                <w:lang w:eastAsia="ja-JP"/>
              </w:rPr>
              <w:t xml:space="preserve"> is in </w:t>
            </w:r>
            <w:r w:rsidR="008F4013">
              <w:rPr>
                <w:lang w:eastAsia="ja-JP"/>
              </w:rPr>
              <w:t>RAN3</w:t>
            </w:r>
            <w:r w:rsidR="00C442B6">
              <w:rPr>
                <w:lang w:eastAsia="ja-JP"/>
              </w:rPr>
              <w:t xml:space="preserve"> domain.</w:t>
            </w:r>
          </w:p>
        </w:tc>
      </w:tr>
      <w:tr w:rsidR="00E449F7" w14:paraId="714BB3ED" w14:textId="77777777" w:rsidTr="005A380F">
        <w:tc>
          <w:tcPr>
            <w:tcW w:w="1555" w:type="dxa"/>
          </w:tcPr>
          <w:p w14:paraId="5C9146EA" w14:textId="77777777" w:rsidR="00E449F7" w:rsidRPr="009859D4" w:rsidRDefault="00E449F7" w:rsidP="005A380F">
            <w:pPr>
              <w:rPr>
                <w:lang w:val="en-US" w:eastAsia="zh-CN"/>
              </w:rPr>
            </w:pPr>
            <w:r>
              <w:rPr>
                <w:lang w:val="en-US" w:eastAsia="zh-CN"/>
              </w:rPr>
              <w:t>Apple</w:t>
            </w:r>
          </w:p>
        </w:tc>
        <w:tc>
          <w:tcPr>
            <w:tcW w:w="2268" w:type="dxa"/>
          </w:tcPr>
          <w:p w14:paraId="4C5A62A9" w14:textId="77777777" w:rsidR="00E449F7" w:rsidRDefault="00E449F7" w:rsidP="005A380F">
            <w:pPr>
              <w:rPr>
                <w:lang w:eastAsia="ja-JP"/>
              </w:rPr>
            </w:pPr>
            <w:r>
              <w:rPr>
                <w:lang w:eastAsia="ja-JP"/>
              </w:rPr>
              <w:t>Option 2</w:t>
            </w:r>
          </w:p>
        </w:tc>
        <w:tc>
          <w:tcPr>
            <w:tcW w:w="6032" w:type="dxa"/>
          </w:tcPr>
          <w:p w14:paraId="4287DD90" w14:textId="77777777" w:rsidR="00E449F7" w:rsidRDefault="00E449F7" w:rsidP="005A380F">
            <w:pPr>
              <w:rPr>
                <w:lang w:eastAsia="ja-JP"/>
              </w:rPr>
            </w:pPr>
            <w:r>
              <w:rPr>
                <w:lang w:eastAsia="ja-JP"/>
              </w:rPr>
              <w:t xml:space="preserve">We can also leave this question to RAN3. </w:t>
            </w:r>
          </w:p>
        </w:tc>
      </w:tr>
      <w:tr w:rsidR="002753BD" w14:paraId="151175C6" w14:textId="77777777" w:rsidTr="00B22F8C">
        <w:tc>
          <w:tcPr>
            <w:tcW w:w="1555" w:type="dxa"/>
          </w:tcPr>
          <w:p w14:paraId="3737E047" w14:textId="5C5DBCFB" w:rsidR="002753BD" w:rsidRDefault="002753BD" w:rsidP="002753BD">
            <w:pPr>
              <w:rPr>
                <w:lang w:eastAsia="ja-JP"/>
              </w:rPr>
            </w:pPr>
            <w:r>
              <w:rPr>
                <w:rFonts w:eastAsia="宋体" w:hint="eastAsia"/>
                <w:lang w:eastAsia="zh-CN"/>
              </w:rPr>
              <w:t>H</w:t>
            </w:r>
            <w:r>
              <w:rPr>
                <w:rFonts w:eastAsia="宋体"/>
                <w:lang w:eastAsia="zh-CN"/>
              </w:rPr>
              <w:t>uawei, HiSilicon</w:t>
            </w:r>
          </w:p>
        </w:tc>
        <w:tc>
          <w:tcPr>
            <w:tcW w:w="2268" w:type="dxa"/>
          </w:tcPr>
          <w:p w14:paraId="75A3C5F4" w14:textId="1327CB45" w:rsidR="002753BD" w:rsidRDefault="002753BD" w:rsidP="002753BD">
            <w:pPr>
              <w:rPr>
                <w:lang w:eastAsia="ja-JP"/>
              </w:rPr>
            </w:pPr>
            <w:r>
              <w:rPr>
                <w:rFonts w:eastAsia="宋体"/>
                <w:lang w:eastAsia="zh-CN"/>
              </w:rPr>
              <w:t xml:space="preserve">Proponent of </w:t>
            </w:r>
            <w:r>
              <w:rPr>
                <w:rFonts w:eastAsia="宋体" w:hint="eastAsia"/>
                <w:lang w:eastAsia="zh-CN"/>
              </w:rPr>
              <w:t>O</w:t>
            </w:r>
            <w:r>
              <w:rPr>
                <w:rFonts w:eastAsia="宋体"/>
                <w:lang w:eastAsia="zh-CN"/>
              </w:rPr>
              <w:t>ption 1</w:t>
            </w:r>
          </w:p>
        </w:tc>
        <w:tc>
          <w:tcPr>
            <w:tcW w:w="6032" w:type="dxa"/>
          </w:tcPr>
          <w:p w14:paraId="26EE0A64" w14:textId="78ADC09F" w:rsidR="002753BD" w:rsidRDefault="002753BD" w:rsidP="002753BD">
            <w:pPr>
              <w:rPr>
                <w:lang w:eastAsia="ja-JP"/>
              </w:rPr>
            </w:pPr>
            <w:r>
              <w:rPr>
                <w:rFonts w:eastAsia="宋体"/>
                <w:lang w:eastAsia="zh-CN"/>
              </w:rPr>
              <w:t>After reading above company’s comments, we feel they are quite aligned, i.e. RAN2 procedure of RRC setup responding RRCResumeRequest could work in case of the RRCResumeRequest is modified by attacker, as the last serving gNB can consider this is a security context check failure. But UE context release is relevant to RAN3 as well, so it would better to leave to RAN3.</w:t>
            </w:r>
          </w:p>
        </w:tc>
      </w:tr>
      <w:tr w:rsidR="00E844F4" w14:paraId="29B5CAFF" w14:textId="77777777" w:rsidTr="00B22F8C">
        <w:tc>
          <w:tcPr>
            <w:tcW w:w="1555" w:type="dxa"/>
          </w:tcPr>
          <w:p w14:paraId="59DFDF6E" w14:textId="77777777" w:rsidR="00E844F4" w:rsidRDefault="00E844F4" w:rsidP="00E844F4">
            <w:pPr>
              <w:rPr>
                <w:lang w:eastAsia="ja-JP"/>
              </w:rPr>
            </w:pPr>
          </w:p>
        </w:tc>
        <w:tc>
          <w:tcPr>
            <w:tcW w:w="2268" w:type="dxa"/>
          </w:tcPr>
          <w:p w14:paraId="7C8B6922" w14:textId="77777777" w:rsidR="00E844F4" w:rsidRDefault="00E844F4" w:rsidP="00E844F4">
            <w:pPr>
              <w:rPr>
                <w:lang w:eastAsia="ja-JP"/>
              </w:rPr>
            </w:pPr>
          </w:p>
        </w:tc>
        <w:tc>
          <w:tcPr>
            <w:tcW w:w="6032" w:type="dxa"/>
          </w:tcPr>
          <w:p w14:paraId="0B4D25F4" w14:textId="77777777" w:rsidR="00E844F4" w:rsidRDefault="00E844F4" w:rsidP="00E844F4">
            <w:pPr>
              <w:rPr>
                <w:lang w:eastAsia="ja-JP"/>
              </w:rPr>
            </w:pPr>
          </w:p>
        </w:tc>
      </w:tr>
      <w:tr w:rsidR="00E844F4" w14:paraId="5BC1E5EF" w14:textId="77777777" w:rsidTr="00B22F8C">
        <w:trPr>
          <w:trHeight w:val="60"/>
        </w:trPr>
        <w:tc>
          <w:tcPr>
            <w:tcW w:w="1555" w:type="dxa"/>
          </w:tcPr>
          <w:p w14:paraId="3E396BCF" w14:textId="77777777" w:rsidR="00E844F4" w:rsidRDefault="00E844F4" w:rsidP="00E844F4">
            <w:pPr>
              <w:rPr>
                <w:lang w:eastAsia="ja-JP"/>
              </w:rPr>
            </w:pPr>
          </w:p>
        </w:tc>
        <w:tc>
          <w:tcPr>
            <w:tcW w:w="2268" w:type="dxa"/>
          </w:tcPr>
          <w:p w14:paraId="3BE9AF81" w14:textId="77777777" w:rsidR="00E844F4" w:rsidRDefault="00E844F4" w:rsidP="00E844F4">
            <w:pPr>
              <w:rPr>
                <w:lang w:eastAsia="ja-JP"/>
              </w:rPr>
            </w:pPr>
          </w:p>
        </w:tc>
        <w:tc>
          <w:tcPr>
            <w:tcW w:w="6032" w:type="dxa"/>
          </w:tcPr>
          <w:p w14:paraId="0EFEB066" w14:textId="77777777" w:rsidR="00E844F4" w:rsidRDefault="00E844F4" w:rsidP="00E844F4">
            <w:pPr>
              <w:rPr>
                <w:lang w:eastAsia="ja-JP"/>
              </w:rPr>
            </w:pPr>
          </w:p>
        </w:tc>
      </w:tr>
    </w:tbl>
    <w:p w14:paraId="761A8217" w14:textId="7AC2AB4B" w:rsidR="00D06875" w:rsidRDefault="00D06875" w:rsidP="00D06875">
      <w:pPr>
        <w:rPr>
          <w:lang w:eastAsia="ja-JP"/>
        </w:rPr>
      </w:pPr>
    </w:p>
    <w:p w14:paraId="23B22623" w14:textId="482391E4" w:rsidR="004477AA" w:rsidRPr="004477AA" w:rsidRDefault="004477AA" w:rsidP="004477AA">
      <w:pPr>
        <w:pStyle w:val="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he old gNB can release the UE and this UE can perform a cell (re)selection in order to resume in a different (new) gNB</w:t>
      </w:r>
    </w:p>
    <w:tbl>
      <w:tblPr>
        <w:tblStyle w:val="af3"/>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When the retrieve of the UE context fail the source gNB may send an RRC release to the UE that is delivered transparently by the target gNB. According to this, the UE may perform RRCSetup, or eventually do a cell (re)selection and select a new target gNB. This is already quite clear from TS 38.423.</w:t>
            </w:r>
          </w:p>
        </w:tc>
      </w:tr>
      <w:tr w:rsidR="00E844F4" w14:paraId="5D8C6A17" w14:textId="77777777" w:rsidTr="00004886">
        <w:tc>
          <w:tcPr>
            <w:tcW w:w="1696" w:type="dxa"/>
          </w:tcPr>
          <w:p w14:paraId="6B56E364" w14:textId="31BD36B5" w:rsidR="00E844F4" w:rsidRDefault="00E844F4" w:rsidP="00E844F4">
            <w:pPr>
              <w:rPr>
                <w:lang w:eastAsia="ja-JP"/>
              </w:rPr>
            </w:pPr>
            <w:r>
              <w:rPr>
                <w:lang w:eastAsia="ja-JP"/>
              </w:rPr>
              <w:t>Google</w:t>
            </w:r>
          </w:p>
        </w:tc>
        <w:tc>
          <w:tcPr>
            <w:tcW w:w="1418" w:type="dxa"/>
          </w:tcPr>
          <w:p w14:paraId="7F5E5DF3" w14:textId="42E8816A" w:rsidR="00E844F4" w:rsidRDefault="00E844F4" w:rsidP="00E844F4">
            <w:pPr>
              <w:rPr>
                <w:lang w:eastAsia="ja-JP"/>
              </w:rPr>
            </w:pPr>
            <w:r>
              <w:rPr>
                <w:lang w:eastAsia="ja-JP"/>
              </w:rPr>
              <w:t>Yes</w:t>
            </w:r>
          </w:p>
        </w:tc>
        <w:tc>
          <w:tcPr>
            <w:tcW w:w="1417" w:type="dxa"/>
          </w:tcPr>
          <w:p w14:paraId="0E73D2F4" w14:textId="6CB99A2B" w:rsidR="00E844F4" w:rsidRDefault="00E844F4" w:rsidP="00E844F4">
            <w:pPr>
              <w:rPr>
                <w:lang w:eastAsia="ja-JP"/>
              </w:rPr>
            </w:pPr>
            <w:r>
              <w:rPr>
                <w:lang w:eastAsia="ja-JP"/>
              </w:rPr>
              <w:t>No</w:t>
            </w:r>
          </w:p>
        </w:tc>
        <w:tc>
          <w:tcPr>
            <w:tcW w:w="5324" w:type="dxa"/>
          </w:tcPr>
          <w:p w14:paraId="275C5B95" w14:textId="32E6AC08" w:rsidR="00E844F4" w:rsidRDefault="00E844F4" w:rsidP="00E844F4">
            <w:pPr>
              <w:rPr>
                <w:lang w:eastAsia="ja-JP"/>
              </w:rPr>
            </w:pPr>
            <w:r>
              <w:rPr>
                <w:lang w:eastAsia="ja-JP"/>
              </w:rPr>
              <w:t xml:space="preserve">RRC release message is transmitted via SRB1 with security protection. In case the old gNB (i.e., the last serving gNB) deletes the UE Context because of the invalid resumeMAC-I, security keys (i.e., </w:t>
            </w:r>
            <w:r w:rsidRPr="00BD4B32">
              <w:rPr>
                <w:lang w:eastAsia="ja-JP"/>
              </w:rPr>
              <w:t>K</w:t>
            </w:r>
            <w:r w:rsidRPr="00BD4B32">
              <w:rPr>
                <w:vertAlign w:val="subscript"/>
                <w:lang w:eastAsia="ja-JP"/>
              </w:rPr>
              <w:t>RRCenc</w:t>
            </w:r>
            <w:r>
              <w:rPr>
                <w:lang w:eastAsia="ja-JP"/>
              </w:rPr>
              <w:t xml:space="preserve"> and K</w:t>
            </w:r>
            <w:r w:rsidRPr="00BD4B32">
              <w:rPr>
                <w:vertAlign w:val="subscript"/>
                <w:lang w:eastAsia="ja-JP"/>
              </w:rPr>
              <w:t>RRCint</w:t>
            </w:r>
            <w:r>
              <w:rPr>
                <w:lang w:eastAsia="ja-JP"/>
              </w:rPr>
              <w:t>) derived by the old gNB may not be the same as security keys derived by the UE.  In this case, the UE may not be able to correctly obtain the RRC release message from the PDCP PDU received on SRB1.</w:t>
            </w:r>
          </w:p>
          <w:p w14:paraId="62471F66" w14:textId="442388F9" w:rsidR="00E844F4" w:rsidRDefault="00E844F4" w:rsidP="00E844F4">
            <w:pPr>
              <w:rPr>
                <w:lang w:eastAsia="ja-JP"/>
              </w:rPr>
            </w:pPr>
            <w:r>
              <w:rPr>
                <w:lang w:eastAsia="ja-JP"/>
              </w:rPr>
              <w:t>RRC setup message is transmitted via SRB0 without security protection.  Therefore, the UE can always receive the RRC setup message in the case described above.</w:t>
            </w:r>
          </w:p>
        </w:tc>
      </w:tr>
      <w:tr w:rsidR="00E844F4" w14:paraId="17449E31" w14:textId="77777777" w:rsidTr="00004886">
        <w:tc>
          <w:tcPr>
            <w:tcW w:w="1696" w:type="dxa"/>
          </w:tcPr>
          <w:p w14:paraId="6ECECC9E" w14:textId="4989E972" w:rsidR="00E844F4" w:rsidRDefault="00B47BCF" w:rsidP="00E844F4">
            <w:pPr>
              <w:rPr>
                <w:lang w:eastAsia="ja-JP"/>
              </w:rPr>
            </w:pPr>
            <w:r>
              <w:rPr>
                <w:lang w:eastAsia="ja-JP"/>
              </w:rPr>
              <w:t>vivo</w:t>
            </w:r>
          </w:p>
        </w:tc>
        <w:tc>
          <w:tcPr>
            <w:tcW w:w="1418" w:type="dxa"/>
          </w:tcPr>
          <w:p w14:paraId="0E8CC88E" w14:textId="6F8C1A0C" w:rsidR="00E844F4" w:rsidRDefault="00B47BCF" w:rsidP="00E844F4">
            <w:pPr>
              <w:rPr>
                <w:lang w:eastAsia="ja-JP"/>
              </w:rPr>
            </w:pPr>
            <w:r>
              <w:rPr>
                <w:lang w:eastAsia="ja-JP"/>
              </w:rPr>
              <w:t>Agree</w:t>
            </w:r>
          </w:p>
        </w:tc>
        <w:tc>
          <w:tcPr>
            <w:tcW w:w="1417" w:type="dxa"/>
          </w:tcPr>
          <w:p w14:paraId="562299E5" w14:textId="7B1B2885" w:rsidR="00E844F4" w:rsidRDefault="00B47BCF" w:rsidP="00E844F4">
            <w:pPr>
              <w:rPr>
                <w:lang w:eastAsia="ja-JP"/>
              </w:rPr>
            </w:pPr>
            <w:r>
              <w:rPr>
                <w:lang w:eastAsia="ja-JP"/>
              </w:rPr>
              <w:t>Agree</w:t>
            </w:r>
          </w:p>
        </w:tc>
        <w:tc>
          <w:tcPr>
            <w:tcW w:w="5324" w:type="dxa"/>
          </w:tcPr>
          <w:p w14:paraId="49F6AC81" w14:textId="0D70F774" w:rsidR="00E844F4" w:rsidRDefault="00B47BCF" w:rsidP="00E844F4">
            <w:pPr>
              <w:rPr>
                <w:lang w:eastAsia="ja-JP"/>
              </w:rPr>
            </w:pPr>
            <w:r>
              <w:rPr>
                <w:lang w:eastAsia="ja-JP"/>
              </w:rPr>
              <w:t>UE can perform RRCSetup, or cell (re)selection and select a new target gNB</w:t>
            </w:r>
          </w:p>
        </w:tc>
      </w:tr>
      <w:tr w:rsidR="00E844F4" w14:paraId="7DA59906" w14:textId="77777777" w:rsidTr="00004886">
        <w:tc>
          <w:tcPr>
            <w:tcW w:w="1696" w:type="dxa"/>
          </w:tcPr>
          <w:p w14:paraId="3E7582A9" w14:textId="6F40888E" w:rsidR="00E844F4" w:rsidRDefault="00C442B6" w:rsidP="00E844F4">
            <w:pPr>
              <w:rPr>
                <w:lang w:eastAsia="ja-JP"/>
              </w:rPr>
            </w:pPr>
            <w:r>
              <w:rPr>
                <w:lang w:eastAsia="ja-JP"/>
              </w:rPr>
              <w:t>Qualcomm</w:t>
            </w:r>
          </w:p>
        </w:tc>
        <w:tc>
          <w:tcPr>
            <w:tcW w:w="1418" w:type="dxa"/>
          </w:tcPr>
          <w:p w14:paraId="3D226476" w14:textId="61049243" w:rsidR="00E844F4" w:rsidRDefault="00C63E21" w:rsidP="00E844F4">
            <w:pPr>
              <w:rPr>
                <w:lang w:eastAsia="ja-JP"/>
              </w:rPr>
            </w:pPr>
            <w:r>
              <w:rPr>
                <w:lang w:eastAsia="ja-JP"/>
              </w:rPr>
              <w:t>Yes</w:t>
            </w:r>
            <w:r w:rsidR="00FA659D">
              <w:rPr>
                <w:lang w:eastAsia="ja-JP"/>
              </w:rPr>
              <w:t xml:space="preserve"> but</w:t>
            </w:r>
          </w:p>
        </w:tc>
        <w:tc>
          <w:tcPr>
            <w:tcW w:w="1417" w:type="dxa"/>
          </w:tcPr>
          <w:p w14:paraId="5158260E" w14:textId="57070204" w:rsidR="00E844F4" w:rsidRDefault="00C63E21" w:rsidP="00E844F4">
            <w:pPr>
              <w:rPr>
                <w:lang w:eastAsia="ja-JP"/>
              </w:rPr>
            </w:pPr>
            <w:r>
              <w:rPr>
                <w:lang w:eastAsia="ja-JP"/>
              </w:rPr>
              <w:t>No</w:t>
            </w:r>
          </w:p>
        </w:tc>
        <w:tc>
          <w:tcPr>
            <w:tcW w:w="5324" w:type="dxa"/>
          </w:tcPr>
          <w:p w14:paraId="6B74DF40" w14:textId="46F24A21" w:rsidR="00E844F4" w:rsidRDefault="00FA659D" w:rsidP="00E844F4">
            <w:pPr>
              <w:rPr>
                <w:lang w:eastAsia="ja-JP"/>
              </w:rPr>
            </w:pPr>
            <w:r>
              <w:rPr>
                <w:lang w:eastAsia="ja-JP"/>
              </w:rPr>
              <w:t xml:space="preserve">Better wait for RAN3 confirmation on using RRC Setup. </w:t>
            </w:r>
            <w:r w:rsidR="007116B0">
              <w:rPr>
                <w:lang w:eastAsia="ja-JP"/>
              </w:rPr>
              <w:t>Agree with Google</w:t>
            </w:r>
            <w:r>
              <w:rPr>
                <w:lang w:eastAsia="ja-JP"/>
              </w:rPr>
              <w:t xml:space="preserve"> on RRC Release.</w:t>
            </w:r>
          </w:p>
        </w:tc>
      </w:tr>
      <w:tr w:rsidR="0041173C" w14:paraId="26C02F8C" w14:textId="77777777" w:rsidTr="005A380F">
        <w:tc>
          <w:tcPr>
            <w:tcW w:w="1696" w:type="dxa"/>
          </w:tcPr>
          <w:p w14:paraId="0F9869DA" w14:textId="77777777" w:rsidR="0041173C" w:rsidRDefault="0041173C" w:rsidP="005A380F">
            <w:pPr>
              <w:rPr>
                <w:lang w:eastAsia="ja-JP"/>
              </w:rPr>
            </w:pPr>
            <w:r>
              <w:rPr>
                <w:lang w:eastAsia="ja-JP"/>
              </w:rPr>
              <w:t>Apple</w:t>
            </w:r>
          </w:p>
        </w:tc>
        <w:tc>
          <w:tcPr>
            <w:tcW w:w="1418" w:type="dxa"/>
          </w:tcPr>
          <w:p w14:paraId="6521786E" w14:textId="77777777" w:rsidR="0041173C" w:rsidRDefault="0041173C" w:rsidP="005A380F">
            <w:pPr>
              <w:rPr>
                <w:lang w:eastAsia="ja-JP"/>
              </w:rPr>
            </w:pPr>
            <w:r>
              <w:rPr>
                <w:lang w:eastAsia="ja-JP"/>
              </w:rPr>
              <w:t>Agree</w:t>
            </w:r>
          </w:p>
        </w:tc>
        <w:tc>
          <w:tcPr>
            <w:tcW w:w="1417" w:type="dxa"/>
          </w:tcPr>
          <w:p w14:paraId="5016028E" w14:textId="77777777" w:rsidR="0041173C" w:rsidRDefault="0041173C" w:rsidP="005A380F">
            <w:pPr>
              <w:rPr>
                <w:lang w:eastAsia="ja-JP"/>
              </w:rPr>
            </w:pPr>
            <w:r>
              <w:rPr>
                <w:lang w:eastAsia="ja-JP"/>
              </w:rPr>
              <w:t>Agree</w:t>
            </w:r>
          </w:p>
        </w:tc>
        <w:tc>
          <w:tcPr>
            <w:tcW w:w="5324" w:type="dxa"/>
          </w:tcPr>
          <w:p w14:paraId="776CDF51" w14:textId="77777777" w:rsidR="0041173C" w:rsidRPr="00C42282" w:rsidRDefault="0041173C" w:rsidP="005A380F">
            <w:pPr>
              <w:rPr>
                <w:lang w:val="en-US" w:eastAsia="zh-CN"/>
              </w:rPr>
            </w:pPr>
            <w:r>
              <w:rPr>
                <w:lang w:eastAsia="ja-JP"/>
              </w:rPr>
              <w:t>Both have been covered by current specs.</w:t>
            </w:r>
          </w:p>
        </w:tc>
      </w:tr>
      <w:tr w:rsidR="002753BD" w14:paraId="2E828148" w14:textId="77777777" w:rsidTr="00004886">
        <w:tc>
          <w:tcPr>
            <w:tcW w:w="1696" w:type="dxa"/>
          </w:tcPr>
          <w:p w14:paraId="54EC8845" w14:textId="7E117590" w:rsidR="002753BD" w:rsidRDefault="002753BD" w:rsidP="002753BD">
            <w:pPr>
              <w:rPr>
                <w:lang w:eastAsia="ja-JP"/>
              </w:rPr>
            </w:pPr>
            <w:r>
              <w:rPr>
                <w:rFonts w:eastAsia="宋体" w:hint="eastAsia"/>
                <w:lang w:eastAsia="zh-CN"/>
              </w:rPr>
              <w:t>H</w:t>
            </w:r>
            <w:r>
              <w:rPr>
                <w:rFonts w:eastAsia="宋体"/>
                <w:lang w:eastAsia="zh-CN"/>
              </w:rPr>
              <w:t>uawei, HiSilicon</w:t>
            </w:r>
          </w:p>
        </w:tc>
        <w:tc>
          <w:tcPr>
            <w:tcW w:w="1418" w:type="dxa"/>
          </w:tcPr>
          <w:p w14:paraId="11349A1C" w14:textId="7ED816B6" w:rsidR="002753BD" w:rsidRDefault="002753BD" w:rsidP="002753BD">
            <w:pPr>
              <w:rPr>
                <w:lang w:eastAsia="ja-JP"/>
              </w:rPr>
            </w:pPr>
            <w:r>
              <w:rPr>
                <w:rFonts w:eastAsia="宋体" w:hint="eastAsia"/>
                <w:lang w:eastAsia="zh-CN"/>
              </w:rPr>
              <w:t>Y</w:t>
            </w:r>
            <w:r>
              <w:rPr>
                <w:rFonts w:eastAsia="宋体"/>
                <w:lang w:eastAsia="zh-CN"/>
              </w:rPr>
              <w:t>es</w:t>
            </w:r>
          </w:p>
        </w:tc>
        <w:tc>
          <w:tcPr>
            <w:tcW w:w="1417" w:type="dxa"/>
          </w:tcPr>
          <w:p w14:paraId="77772B9B" w14:textId="42EC38A1" w:rsidR="002753BD" w:rsidRDefault="002753BD" w:rsidP="002753BD">
            <w:pPr>
              <w:rPr>
                <w:lang w:eastAsia="ja-JP"/>
              </w:rPr>
            </w:pPr>
            <w:r>
              <w:rPr>
                <w:rFonts w:eastAsia="宋体" w:hint="eastAsia"/>
                <w:lang w:eastAsia="zh-CN"/>
              </w:rPr>
              <w:t>N</w:t>
            </w:r>
            <w:r>
              <w:rPr>
                <w:rFonts w:eastAsia="宋体"/>
                <w:lang w:eastAsia="zh-CN"/>
              </w:rPr>
              <w:t>o</w:t>
            </w:r>
          </w:p>
        </w:tc>
        <w:tc>
          <w:tcPr>
            <w:tcW w:w="5324" w:type="dxa"/>
          </w:tcPr>
          <w:p w14:paraId="2A08CBE3" w14:textId="7B4563B5" w:rsidR="002753BD" w:rsidRDefault="002753BD" w:rsidP="002753BD">
            <w:pPr>
              <w:rPr>
                <w:lang w:eastAsia="ja-JP"/>
              </w:rPr>
            </w:pPr>
            <w:r>
              <w:rPr>
                <w:rFonts w:eastAsia="宋体" w:hint="eastAsia"/>
                <w:lang w:eastAsia="zh-CN"/>
              </w:rPr>
              <w:t>A</w:t>
            </w:r>
            <w:r>
              <w:rPr>
                <w:rFonts w:eastAsia="宋体"/>
                <w:lang w:eastAsia="zh-CN"/>
              </w:rPr>
              <w:t>gree with Google about the issue on sending RRC release.</w:t>
            </w:r>
          </w:p>
        </w:tc>
      </w:tr>
      <w:tr w:rsidR="00E844F4" w14:paraId="18067960" w14:textId="77777777" w:rsidTr="00004886">
        <w:tc>
          <w:tcPr>
            <w:tcW w:w="1696" w:type="dxa"/>
          </w:tcPr>
          <w:p w14:paraId="5FA67B60" w14:textId="77777777" w:rsidR="00E844F4" w:rsidRDefault="00E844F4" w:rsidP="00E844F4">
            <w:pPr>
              <w:rPr>
                <w:lang w:eastAsia="ja-JP"/>
              </w:rPr>
            </w:pPr>
          </w:p>
        </w:tc>
        <w:tc>
          <w:tcPr>
            <w:tcW w:w="1418" w:type="dxa"/>
          </w:tcPr>
          <w:p w14:paraId="10D7F203" w14:textId="77777777" w:rsidR="00E844F4" w:rsidRDefault="00E844F4" w:rsidP="00E844F4">
            <w:pPr>
              <w:rPr>
                <w:lang w:eastAsia="ja-JP"/>
              </w:rPr>
            </w:pPr>
          </w:p>
        </w:tc>
        <w:tc>
          <w:tcPr>
            <w:tcW w:w="1417" w:type="dxa"/>
          </w:tcPr>
          <w:p w14:paraId="34074A68" w14:textId="77777777" w:rsidR="00E844F4" w:rsidRDefault="00E844F4" w:rsidP="00E844F4">
            <w:pPr>
              <w:rPr>
                <w:lang w:eastAsia="ja-JP"/>
              </w:rPr>
            </w:pPr>
          </w:p>
        </w:tc>
        <w:tc>
          <w:tcPr>
            <w:tcW w:w="5324" w:type="dxa"/>
          </w:tcPr>
          <w:p w14:paraId="476C124A" w14:textId="31D0D850" w:rsidR="00E844F4" w:rsidRDefault="00E844F4" w:rsidP="00E844F4">
            <w:pPr>
              <w:rPr>
                <w:lang w:eastAsia="ja-JP"/>
              </w:rPr>
            </w:pPr>
          </w:p>
        </w:tc>
      </w:tr>
      <w:tr w:rsidR="00E844F4" w14:paraId="6D4FCA17" w14:textId="77777777" w:rsidTr="00004886">
        <w:trPr>
          <w:trHeight w:val="60"/>
        </w:trPr>
        <w:tc>
          <w:tcPr>
            <w:tcW w:w="1696" w:type="dxa"/>
          </w:tcPr>
          <w:p w14:paraId="4B6B1F35" w14:textId="77777777" w:rsidR="00E844F4" w:rsidRDefault="00E844F4" w:rsidP="00E844F4">
            <w:pPr>
              <w:rPr>
                <w:lang w:eastAsia="ja-JP"/>
              </w:rPr>
            </w:pPr>
          </w:p>
        </w:tc>
        <w:tc>
          <w:tcPr>
            <w:tcW w:w="1418" w:type="dxa"/>
          </w:tcPr>
          <w:p w14:paraId="67990B18" w14:textId="77777777" w:rsidR="00E844F4" w:rsidRDefault="00E844F4" w:rsidP="00E844F4">
            <w:pPr>
              <w:rPr>
                <w:lang w:eastAsia="ja-JP"/>
              </w:rPr>
            </w:pPr>
          </w:p>
        </w:tc>
        <w:tc>
          <w:tcPr>
            <w:tcW w:w="1417" w:type="dxa"/>
          </w:tcPr>
          <w:p w14:paraId="1DAA39CF" w14:textId="77777777" w:rsidR="00E844F4" w:rsidRDefault="00E844F4" w:rsidP="00E844F4">
            <w:pPr>
              <w:rPr>
                <w:lang w:eastAsia="ja-JP"/>
              </w:rPr>
            </w:pPr>
          </w:p>
        </w:tc>
        <w:tc>
          <w:tcPr>
            <w:tcW w:w="5324" w:type="dxa"/>
          </w:tcPr>
          <w:p w14:paraId="754B8590" w14:textId="16BE4D5A" w:rsidR="00E844F4" w:rsidRDefault="00E844F4" w:rsidP="00E844F4">
            <w:pPr>
              <w:rPr>
                <w:lang w:eastAsia="ja-JP"/>
              </w:rPr>
            </w:pP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2"/>
      </w:pPr>
      <w:r>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behaviour of UE with suspended RRC connections in case this feature is activated or deactivated in gNB</w:t>
      </w:r>
      <w:r>
        <w:rPr>
          <w:lang w:eastAsia="ja-JP"/>
        </w:rPr>
        <w:t>s.</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宋体"/>
          <w:b/>
          <w:lang w:eastAsia="zh-CN"/>
        </w:rPr>
      </w:pPr>
      <w:r w:rsidRPr="0026419C">
        <w:rPr>
          <w:rFonts w:eastAsia="宋体"/>
          <w:b/>
          <w:lang w:eastAsia="zh-CN"/>
        </w:rPr>
        <w:t>Observation 1: capability negotiation between UE and network are supported in solution from SA3.</w:t>
      </w:r>
    </w:p>
    <w:p w14:paraId="7BD3C812" w14:textId="77777777" w:rsidR="00EF1247" w:rsidRDefault="00EF1247" w:rsidP="00EF1247">
      <w:pPr>
        <w:widowControl w:val="0"/>
        <w:spacing w:afterLines="50" w:after="120"/>
        <w:rPr>
          <w:rFonts w:eastAsia="宋体"/>
          <w:lang w:eastAsia="zh-CN"/>
        </w:rPr>
      </w:pPr>
      <w:r w:rsidRPr="008D4A58">
        <w:rPr>
          <w:rFonts w:eastAsia="宋体"/>
          <w:b/>
          <w:lang w:eastAsia="zh-CN"/>
        </w:rPr>
        <w:t>Proposal 2:</w:t>
      </w:r>
      <w:r w:rsidRPr="00D26FA6">
        <w:rPr>
          <w:rFonts w:eastAsia="宋体"/>
          <w:b/>
          <w:lang w:eastAsia="zh-CN"/>
        </w:rPr>
        <w:t xml:space="preserve"> </w:t>
      </w:r>
      <w:r>
        <w:rPr>
          <w:rFonts w:eastAsia="宋体"/>
          <w:b/>
          <w:lang w:eastAsia="zh-CN"/>
        </w:rPr>
        <w:t xml:space="preserve">Answer to Q2: </w:t>
      </w:r>
      <w:r w:rsidRPr="00A14159">
        <w:rPr>
          <w:rFonts w:eastAsia="宋体"/>
          <w:b/>
          <w:lang w:eastAsia="zh-CN"/>
        </w:rPr>
        <w:t xml:space="preserve">there is no additional </w:t>
      </w:r>
      <w:r>
        <w:rPr>
          <w:rFonts w:eastAsia="宋体"/>
          <w:b/>
          <w:lang w:eastAsia="zh-CN"/>
        </w:rPr>
        <w:t xml:space="preserve">RAN2 spec </w:t>
      </w:r>
      <w:r w:rsidRPr="00A14159">
        <w:rPr>
          <w:rFonts w:eastAsia="宋体"/>
          <w:b/>
          <w:lang w:eastAsia="zh-CN"/>
        </w:rPr>
        <w:t>impact</w:t>
      </w:r>
      <w:r>
        <w:rPr>
          <w:rFonts w:eastAsia="宋体"/>
          <w:b/>
          <w:lang w:eastAsia="zh-CN"/>
        </w:rPr>
        <w:t xml:space="preserve"> foreseen</w:t>
      </w:r>
      <w:r w:rsidRPr="00A14159">
        <w:rPr>
          <w:rFonts w:eastAsia="宋体"/>
          <w:b/>
          <w:lang w:eastAsia="zh-CN"/>
        </w:rPr>
        <w:t xml:space="preserve"> </w:t>
      </w:r>
      <w:r>
        <w:rPr>
          <w:rFonts w:eastAsia="宋体"/>
          <w:b/>
          <w:lang w:eastAsia="zh-CN"/>
        </w:rPr>
        <w:t xml:space="preserve">assuming </w:t>
      </w:r>
      <w:r w:rsidRPr="00A14159">
        <w:rPr>
          <w:rFonts w:eastAsia="宋体"/>
          <w:b/>
          <w:lang w:eastAsia="zh-CN"/>
        </w:rPr>
        <w:t xml:space="preserve">this feature </w:t>
      </w:r>
      <w:r>
        <w:rPr>
          <w:rFonts w:eastAsia="宋体"/>
          <w:b/>
          <w:lang w:eastAsia="zh-CN"/>
        </w:rPr>
        <w:t>could be</w:t>
      </w:r>
      <w:r w:rsidRPr="00A14159">
        <w:rPr>
          <w:rFonts w:eastAsia="宋体"/>
          <w:b/>
          <w:lang w:eastAsia="zh-CN"/>
        </w:rPr>
        <w:t xml:space="preserve"> activated or deactivated in gNBs dynamically</w:t>
      </w:r>
      <w:r w:rsidRPr="00D26FA6">
        <w:rPr>
          <w:rFonts w:eastAsia="宋体"/>
          <w:b/>
          <w:lang w:eastAsia="zh-CN"/>
        </w:rPr>
        <w:t xml:space="preserve">. </w:t>
      </w:r>
    </w:p>
    <w:p w14:paraId="539FDF08" w14:textId="594FF884" w:rsidR="00EF1247" w:rsidRDefault="005D21E9" w:rsidP="00BE5CE2">
      <w:pPr>
        <w:rPr>
          <w:lang w:eastAsia="ja-JP"/>
        </w:rPr>
      </w:pPr>
      <w:r>
        <w:rPr>
          <w:lang w:eastAsia="ja-JP"/>
        </w:rPr>
        <w:t>In [3], Ericsson also analyses the interoperability and sees no issue if the UE has the system information of both gNBs.</w:t>
      </w:r>
      <w:r w:rsidR="001636C6">
        <w:rPr>
          <w:lang w:eastAsia="ja-JP"/>
        </w:rPr>
        <w:t xml:space="preserve"> Accordingly, they have prepared a reply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RRCResumeRequest message with the new or old version of the </w:t>
      </w:r>
      <w:r w:rsidRPr="00BA4325">
        <w:t>ResumeMAC-I/shortResumeMAC-I</w:t>
      </w:r>
      <w:r>
        <w:t xml:space="preserve"> needs to have stored latest system information of the gNBs in order to check whether both support the new version of the </w:t>
      </w:r>
      <w:r w:rsidRPr="00BA4325">
        <w:t>ResumeMAC-I/shortResumeMAC-I</w:t>
      </w:r>
      <w:r>
        <w:t xml:space="preserve"> or not.</w:t>
      </w:r>
      <w:bookmarkEnd w:id="5"/>
    </w:p>
    <w:p w14:paraId="21BD98E3" w14:textId="33D1FB0D" w:rsidR="001636C6" w:rsidRPr="004477AA" w:rsidRDefault="001636C6" w:rsidP="001636C6">
      <w:pPr>
        <w:pStyle w:val="3"/>
        <w:numPr>
          <w:ilvl w:val="0"/>
          <w:numId w:val="0"/>
        </w:numPr>
        <w:ind w:left="767" w:hanging="767"/>
        <w:rPr>
          <w:b/>
          <w:bCs/>
          <w:sz w:val="20"/>
          <w:szCs w:val="12"/>
        </w:rPr>
      </w:pPr>
      <w:r w:rsidRPr="004477AA">
        <w:rPr>
          <w:b/>
          <w:bCs/>
          <w:sz w:val="20"/>
          <w:szCs w:val="12"/>
        </w:rPr>
        <w:t>Q</w:t>
      </w:r>
      <w:r>
        <w:rPr>
          <w:b/>
          <w:bCs/>
          <w:sz w:val="20"/>
          <w:szCs w:val="12"/>
        </w:rPr>
        <w:t>3</w:t>
      </w:r>
      <w:r w:rsidRPr="004477AA">
        <w:rPr>
          <w:b/>
          <w:bCs/>
          <w:sz w:val="20"/>
          <w:szCs w:val="12"/>
        </w:rPr>
        <w:t>:</w:t>
      </w:r>
      <w:r>
        <w:rPr>
          <w:b/>
          <w:bCs/>
          <w:sz w:val="20"/>
          <w:szCs w:val="12"/>
        </w:rPr>
        <w:t>Which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af3"/>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We think that [2] and [4] basically reach the same conclusion i.e., there is no RAN2 impact foreseen if the feature can be activated/deactivated or not by the gNB.</w:t>
            </w:r>
          </w:p>
          <w:p w14:paraId="6A71D9F3" w14:textId="77777777" w:rsidR="000B2FFA" w:rsidRDefault="000B2FFA" w:rsidP="00EE7113">
            <w:pPr>
              <w:rPr>
                <w:lang w:eastAsia="ja-JP"/>
              </w:rPr>
            </w:pPr>
            <w:r>
              <w:rPr>
                <w:lang w:eastAsia="ja-JP"/>
              </w:rPr>
              <w:t>This is because when sending the RRCResumeRequest the UE needs to have anyway the latest version of SIB1 from the target gNB and, eventually, also from the source gNB.</w:t>
            </w:r>
          </w:p>
          <w:p w14:paraId="27119537" w14:textId="1D0A1E20" w:rsidR="000B2FFA" w:rsidRDefault="000B2FFA" w:rsidP="00EE7113">
            <w:pPr>
              <w:rPr>
                <w:lang w:eastAsia="ja-JP"/>
              </w:rPr>
            </w:pPr>
            <w:r>
              <w:rPr>
                <w:lang w:eastAsia="ja-JP"/>
              </w:rPr>
              <w:t>Further, if the gNB cannot activate/deactivate this feature, we see that there is no issue at all.</w:t>
            </w:r>
          </w:p>
        </w:tc>
      </w:tr>
      <w:tr w:rsidR="00FE3600" w14:paraId="3666E2DF" w14:textId="77777777" w:rsidTr="00EE7113">
        <w:tc>
          <w:tcPr>
            <w:tcW w:w="1555" w:type="dxa"/>
          </w:tcPr>
          <w:p w14:paraId="65DDC428" w14:textId="712D24AE" w:rsidR="00FE3600" w:rsidRDefault="00FE3600" w:rsidP="00FE3600">
            <w:pPr>
              <w:rPr>
                <w:lang w:eastAsia="ja-JP"/>
              </w:rPr>
            </w:pPr>
            <w:r>
              <w:rPr>
                <w:lang w:eastAsia="ja-JP"/>
              </w:rPr>
              <w:t>Google</w:t>
            </w:r>
          </w:p>
        </w:tc>
        <w:tc>
          <w:tcPr>
            <w:tcW w:w="2268" w:type="dxa"/>
          </w:tcPr>
          <w:p w14:paraId="07BB2B9E" w14:textId="6BE50D43" w:rsidR="00FE3600" w:rsidRDefault="00FE3600" w:rsidP="00FE3600">
            <w:pPr>
              <w:rPr>
                <w:lang w:eastAsia="ja-JP"/>
              </w:rPr>
            </w:pPr>
            <w:r>
              <w:rPr>
                <w:lang w:eastAsia="ja-JP"/>
              </w:rPr>
              <w:t>[2]</w:t>
            </w:r>
          </w:p>
        </w:tc>
        <w:tc>
          <w:tcPr>
            <w:tcW w:w="6032" w:type="dxa"/>
          </w:tcPr>
          <w:p w14:paraId="4D3AAC77" w14:textId="77777777" w:rsidR="00FE3600" w:rsidRDefault="00FE3600" w:rsidP="00FE3600">
            <w:pPr>
              <w:rPr>
                <w:lang w:eastAsia="ja-JP"/>
              </w:rPr>
            </w:pPr>
            <w:r>
              <w:rPr>
                <w:lang w:eastAsia="ja-JP"/>
              </w:rPr>
              <w:t>The following is excerpted from TR 33.809</w:t>
            </w:r>
          </w:p>
          <w:p w14:paraId="5EF72513" w14:textId="77777777" w:rsidR="00FE3600" w:rsidRPr="00C63946" w:rsidRDefault="00FE3600" w:rsidP="00FE3600">
            <w:pPr>
              <w:rPr>
                <w:i/>
                <w:iCs/>
              </w:rPr>
            </w:pPr>
            <w:r w:rsidRPr="00C63946">
              <w:rPr>
                <w:i/>
                <w:iCs/>
              </w:rPr>
              <w:t>The UE and the network negotiate/learn each other's capability/support of using the newer version of ResumeMAC-I/shortResumeMAC-I</w:t>
            </w:r>
            <w:r w:rsidRPr="00C63946" w:rsidDel="00814940">
              <w:rPr>
                <w:i/>
                <w:iCs/>
              </w:rPr>
              <w:t xml:space="preserve"> </w:t>
            </w:r>
            <w:r w:rsidRPr="00C63946">
              <w:rPr>
                <w:i/>
                <w:iCs/>
              </w:rPr>
              <w:t>as below:</w:t>
            </w:r>
          </w:p>
          <w:p w14:paraId="4A562D8F" w14:textId="77777777" w:rsidR="00FE3600" w:rsidRPr="00C63946" w:rsidRDefault="00FE3600" w:rsidP="00FE3600">
            <w:pPr>
              <w:pStyle w:val="B1"/>
              <w:rPr>
                <w:i/>
                <w:iCs/>
              </w:rPr>
            </w:pPr>
            <w:r w:rsidRPr="00C63946">
              <w:rPr>
                <w:i/>
                <w:iCs/>
              </w:rPr>
              <w:t>-</w:t>
            </w:r>
            <w:r w:rsidRPr="00C63946">
              <w:rPr>
                <w:i/>
                <w:iCs/>
              </w:rPr>
              <w:tab/>
              <w:t>UE's capability is part of an RRC message (i.e., AS SMComplete).</w:t>
            </w:r>
          </w:p>
          <w:p w14:paraId="671E90C0" w14:textId="77777777" w:rsidR="00FE3600" w:rsidRPr="00C63946" w:rsidRDefault="00FE3600" w:rsidP="00FE3600">
            <w:pPr>
              <w:pStyle w:val="B1"/>
              <w:rPr>
                <w:i/>
                <w:iCs/>
                <w:lang w:val="en-US"/>
              </w:rPr>
            </w:pPr>
            <w:r w:rsidRPr="00C63946">
              <w:rPr>
                <w:i/>
                <w:iCs/>
              </w:rPr>
              <w:t>-</w:t>
            </w:r>
            <w:r w:rsidRPr="00C63946">
              <w:rPr>
                <w:i/>
                <w:iCs/>
              </w:rPr>
              <w:tab/>
              <w:t xml:space="preserve">gNB/ng-eNB </w:t>
            </w:r>
            <w:r w:rsidRPr="00C63946">
              <w:rPr>
                <w:i/>
                <w:iCs/>
                <w:lang w:val="en-US"/>
              </w:rPr>
              <w:t xml:space="preserve">should indicate its capability of supporting the new version of ResumeMAC-I in </w:t>
            </w:r>
            <w:r w:rsidRPr="00C63946">
              <w:rPr>
                <w:i/>
                <w:iCs/>
              </w:rPr>
              <w:t xml:space="preserve"> SI message (i.e., SIB1, refer to a closely related feature called useFullResumeID in SIB1).</w:t>
            </w:r>
            <w:r w:rsidRPr="00C63946">
              <w:rPr>
                <w:i/>
                <w:iCs/>
                <w:lang w:val="en-US"/>
              </w:rPr>
              <w:t xml:space="preserve"> </w:t>
            </w:r>
          </w:p>
          <w:p w14:paraId="1AA412BC" w14:textId="77777777" w:rsidR="00FE3600" w:rsidRPr="00C63946" w:rsidRDefault="00FE3600" w:rsidP="00FE3600">
            <w:pPr>
              <w:pStyle w:val="B1"/>
              <w:rPr>
                <w:i/>
                <w:iCs/>
              </w:rPr>
            </w:pPr>
            <w:r w:rsidRPr="00C63946">
              <w:rPr>
                <w:i/>
                <w:iCs/>
                <w:lang w:val="en-US"/>
              </w:rPr>
              <w:t xml:space="preserve">- </w:t>
            </w:r>
            <w:r w:rsidRPr="00C63946">
              <w:rPr>
                <w:i/>
                <w:iCs/>
                <w:lang w:val="en-US"/>
              </w:rPr>
              <w:tab/>
              <w:t>gNB/ng-eNB should also indicate its capability of supporting the new version of ResumeMAC-I in RRCRelease message with SuspendConfig, which is sent after AS SMC thus protected.</w:t>
            </w:r>
          </w:p>
          <w:p w14:paraId="32851441" w14:textId="236F68E0" w:rsidR="00FE3600" w:rsidRDefault="00FE3600" w:rsidP="00FE3600">
            <w:pPr>
              <w:rPr>
                <w:lang w:eastAsia="ja-JP"/>
              </w:rPr>
            </w:pPr>
            <w:r>
              <w:rPr>
                <w:lang w:eastAsia="ja-JP"/>
              </w:rPr>
              <w:t>The SA3’s solution (i.e., solution 17) is clear so we can simply indicate that there is no issue foreseen with solution 17 in TR 33.809 in case this feature is activated or deactivated in gNBs.</w:t>
            </w:r>
          </w:p>
        </w:tc>
      </w:tr>
      <w:tr w:rsidR="00FE3600" w14:paraId="054C6DEF" w14:textId="77777777" w:rsidTr="00EE7113">
        <w:tc>
          <w:tcPr>
            <w:tcW w:w="1555" w:type="dxa"/>
          </w:tcPr>
          <w:p w14:paraId="241A5603" w14:textId="1CB84ACD" w:rsidR="00FE3600" w:rsidRDefault="00B47BCF" w:rsidP="00FE3600">
            <w:pPr>
              <w:rPr>
                <w:lang w:eastAsia="ja-JP"/>
              </w:rPr>
            </w:pPr>
            <w:r>
              <w:rPr>
                <w:lang w:eastAsia="ja-JP"/>
              </w:rPr>
              <w:t>vivo</w:t>
            </w:r>
          </w:p>
        </w:tc>
        <w:tc>
          <w:tcPr>
            <w:tcW w:w="2268" w:type="dxa"/>
          </w:tcPr>
          <w:p w14:paraId="21627221" w14:textId="651A4960" w:rsidR="00FE3600" w:rsidRDefault="00B47BCF" w:rsidP="00FE3600">
            <w:pPr>
              <w:rPr>
                <w:lang w:eastAsia="ja-JP"/>
              </w:rPr>
            </w:pPr>
            <w:r>
              <w:rPr>
                <w:lang w:eastAsia="ja-JP"/>
              </w:rPr>
              <w:t>2</w:t>
            </w:r>
          </w:p>
        </w:tc>
        <w:tc>
          <w:tcPr>
            <w:tcW w:w="6032" w:type="dxa"/>
          </w:tcPr>
          <w:p w14:paraId="58C128F0" w14:textId="4F5F2FFD" w:rsidR="00FE3600" w:rsidRDefault="00B47BCF" w:rsidP="00FE3600">
            <w:pPr>
              <w:rPr>
                <w:lang w:eastAsia="ja-JP"/>
              </w:rPr>
            </w:pPr>
            <w:r>
              <w:rPr>
                <w:lang w:eastAsia="ja-JP"/>
              </w:rPr>
              <w:t>2 is enough</w:t>
            </w:r>
          </w:p>
        </w:tc>
      </w:tr>
      <w:tr w:rsidR="00FE3600" w14:paraId="3125865D" w14:textId="77777777" w:rsidTr="00EE7113">
        <w:tc>
          <w:tcPr>
            <w:tcW w:w="1555" w:type="dxa"/>
          </w:tcPr>
          <w:p w14:paraId="60222F22" w14:textId="22EC1EB3" w:rsidR="00FE3600" w:rsidRDefault="0032629E" w:rsidP="00FE3600">
            <w:pPr>
              <w:rPr>
                <w:lang w:eastAsia="ja-JP"/>
              </w:rPr>
            </w:pPr>
            <w:r>
              <w:rPr>
                <w:lang w:eastAsia="ja-JP"/>
              </w:rPr>
              <w:lastRenderedPageBreak/>
              <w:t>Qualcomm</w:t>
            </w:r>
          </w:p>
        </w:tc>
        <w:tc>
          <w:tcPr>
            <w:tcW w:w="2268" w:type="dxa"/>
          </w:tcPr>
          <w:p w14:paraId="1A7705DE" w14:textId="488A3266" w:rsidR="00FE3600" w:rsidRDefault="009A4A0B" w:rsidP="00FE3600">
            <w:pPr>
              <w:rPr>
                <w:lang w:eastAsia="ja-JP"/>
              </w:rPr>
            </w:pPr>
            <w:r>
              <w:rPr>
                <w:lang w:eastAsia="ja-JP"/>
              </w:rPr>
              <w:t>Comments</w:t>
            </w:r>
          </w:p>
        </w:tc>
        <w:tc>
          <w:tcPr>
            <w:tcW w:w="6032" w:type="dxa"/>
          </w:tcPr>
          <w:p w14:paraId="6328D94F" w14:textId="0F878126" w:rsidR="00FE3600" w:rsidRDefault="005F209C" w:rsidP="00FE3600">
            <w:pPr>
              <w:rPr>
                <w:lang w:eastAsia="ja-JP"/>
              </w:rPr>
            </w:pPr>
            <w:r>
              <w:rPr>
                <w:lang w:eastAsia="ja-JP"/>
              </w:rPr>
              <w:t>Both 2 and 4 seem to consider the case</w:t>
            </w:r>
            <w:r w:rsidR="00BF0097">
              <w:rPr>
                <w:lang w:eastAsia="ja-JP"/>
              </w:rPr>
              <w:t xml:space="preserve"> when the feature is activated/de-activated at the </w:t>
            </w:r>
            <w:r w:rsidR="005863D1">
              <w:rPr>
                <w:lang w:eastAsia="ja-JP"/>
              </w:rPr>
              <w:t>resume</w:t>
            </w:r>
            <w:r w:rsidR="00BF0097">
              <w:rPr>
                <w:lang w:eastAsia="ja-JP"/>
              </w:rPr>
              <w:t xml:space="preserve"> cell. We should also analyse the case of </w:t>
            </w:r>
            <w:r w:rsidR="005863D1">
              <w:rPr>
                <w:lang w:eastAsia="ja-JP"/>
              </w:rPr>
              <w:t>last serving cell.</w:t>
            </w:r>
          </w:p>
        </w:tc>
      </w:tr>
      <w:tr w:rsidR="00DE4483" w14:paraId="4287EEC9" w14:textId="77777777" w:rsidTr="005A380F">
        <w:tc>
          <w:tcPr>
            <w:tcW w:w="1555" w:type="dxa"/>
          </w:tcPr>
          <w:p w14:paraId="0CC2EF38" w14:textId="77777777" w:rsidR="00DE4483" w:rsidRDefault="00DE4483" w:rsidP="005A380F">
            <w:pPr>
              <w:rPr>
                <w:lang w:eastAsia="ja-JP"/>
              </w:rPr>
            </w:pPr>
            <w:r>
              <w:rPr>
                <w:lang w:eastAsia="ja-JP"/>
              </w:rPr>
              <w:t>Apple</w:t>
            </w:r>
          </w:p>
        </w:tc>
        <w:tc>
          <w:tcPr>
            <w:tcW w:w="2268" w:type="dxa"/>
          </w:tcPr>
          <w:p w14:paraId="2D5FE760" w14:textId="77777777" w:rsidR="00DE4483" w:rsidRDefault="00DE4483" w:rsidP="005A380F">
            <w:pPr>
              <w:rPr>
                <w:lang w:eastAsia="ja-JP"/>
              </w:rPr>
            </w:pPr>
            <w:r>
              <w:rPr>
                <w:lang w:eastAsia="ja-JP"/>
              </w:rPr>
              <w:t>[2]</w:t>
            </w:r>
          </w:p>
        </w:tc>
        <w:tc>
          <w:tcPr>
            <w:tcW w:w="6032" w:type="dxa"/>
          </w:tcPr>
          <w:p w14:paraId="533C11E9" w14:textId="2AD4A518" w:rsidR="00DE4483" w:rsidRPr="00537DB4" w:rsidRDefault="00DE4483" w:rsidP="005A380F">
            <w:pPr>
              <w:rPr>
                <w:lang w:val="en-US" w:eastAsia="ja-JP"/>
              </w:rPr>
            </w:pPr>
            <w:r>
              <w:rPr>
                <w:lang w:val="en-US" w:eastAsia="ja-JP"/>
              </w:rPr>
              <w:t>This case can be covered by the capability negotiation between UE and gNB, which has been captured in SA3 TR on the solution#17 description.</w:t>
            </w:r>
            <w:r w:rsidR="00A64442">
              <w:rPr>
                <w:lang w:val="en-US" w:eastAsia="ja-JP"/>
              </w:rPr>
              <w:t xml:space="preserve"> </w:t>
            </w:r>
          </w:p>
        </w:tc>
      </w:tr>
      <w:tr w:rsidR="002753BD" w14:paraId="07DA1B6D" w14:textId="77777777" w:rsidTr="00EE7113">
        <w:tc>
          <w:tcPr>
            <w:tcW w:w="1555" w:type="dxa"/>
          </w:tcPr>
          <w:p w14:paraId="07A06F63" w14:textId="5E5A404F" w:rsidR="002753BD" w:rsidRDefault="002753BD" w:rsidP="002753BD">
            <w:pPr>
              <w:rPr>
                <w:lang w:eastAsia="ja-JP"/>
              </w:rPr>
            </w:pPr>
            <w:r>
              <w:rPr>
                <w:rFonts w:eastAsia="宋体" w:hint="eastAsia"/>
                <w:lang w:eastAsia="zh-CN"/>
              </w:rPr>
              <w:t>H</w:t>
            </w:r>
            <w:r>
              <w:rPr>
                <w:rFonts w:eastAsia="宋体"/>
                <w:lang w:eastAsia="zh-CN"/>
              </w:rPr>
              <w:t>uawei, HiSilicon</w:t>
            </w:r>
          </w:p>
        </w:tc>
        <w:tc>
          <w:tcPr>
            <w:tcW w:w="2268" w:type="dxa"/>
          </w:tcPr>
          <w:p w14:paraId="30DDD506" w14:textId="4762000C" w:rsidR="002753BD" w:rsidRDefault="002753BD" w:rsidP="002753BD">
            <w:pPr>
              <w:rPr>
                <w:lang w:eastAsia="ja-JP"/>
              </w:rPr>
            </w:pPr>
            <w:r>
              <w:rPr>
                <w:rFonts w:eastAsia="宋体" w:hint="eastAsia"/>
                <w:lang w:eastAsia="zh-CN"/>
              </w:rPr>
              <w:t>P</w:t>
            </w:r>
            <w:r>
              <w:rPr>
                <w:rFonts w:eastAsia="宋体"/>
                <w:lang w:eastAsia="zh-CN"/>
              </w:rPr>
              <w:t>roponent of 2</w:t>
            </w:r>
          </w:p>
        </w:tc>
        <w:tc>
          <w:tcPr>
            <w:tcW w:w="6032" w:type="dxa"/>
          </w:tcPr>
          <w:p w14:paraId="49421987" w14:textId="15A8B509" w:rsidR="002753BD" w:rsidRDefault="002753BD" w:rsidP="002753BD">
            <w:pPr>
              <w:rPr>
                <w:lang w:eastAsia="ja-JP"/>
              </w:rPr>
            </w:pPr>
            <w:r>
              <w:rPr>
                <w:rFonts w:eastAsia="宋体"/>
                <w:lang w:eastAsia="zh-CN"/>
              </w:rPr>
              <w:t>On Qualcomm’s comment, we have discussed the case that last serving gNB deactivate this feature after releasing the UE with the configuration of this feature in [2]. In our understand, the UE configuration is supposed to be stored in the UE AS inactive context, and the last serving gNB is aware of the configuration of this feature from the UE context even though the gNB has disabled this feature and changed the network capability in SIB, thus the last gNB should be able to check the shortMAC-I using new method. And even though we assume the last gNB cannot perform the new method after it disable the feature, the worst case is security check failure which leads to fallback to RRC setup. No big issue.</w:t>
            </w:r>
          </w:p>
        </w:tc>
      </w:tr>
      <w:tr w:rsidR="00FE3600" w14:paraId="2E480FFE" w14:textId="77777777" w:rsidTr="00EE7113">
        <w:tc>
          <w:tcPr>
            <w:tcW w:w="1555" w:type="dxa"/>
          </w:tcPr>
          <w:p w14:paraId="555ACDBB" w14:textId="77777777" w:rsidR="00FE3600" w:rsidRDefault="00FE3600" w:rsidP="00FE3600">
            <w:pPr>
              <w:rPr>
                <w:lang w:eastAsia="ja-JP"/>
              </w:rPr>
            </w:pPr>
          </w:p>
        </w:tc>
        <w:tc>
          <w:tcPr>
            <w:tcW w:w="2268" w:type="dxa"/>
          </w:tcPr>
          <w:p w14:paraId="1793746D" w14:textId="77777777" w:rsidR="00FE3600" w:rsidRDefault="00FE3600" w:rsidP="00FE3600">
            <w:pPr>
              <w:rPr>
                <w:lang w:eastAsia="ja-JP"/>
              </w:rPr>
            </w:pPr>
          </w:p>
        </w:tc>
        <w:tc>
          <w:tcPr>
            <w:tcW w:w="6032" w:type="dxa"/>
          </w:tcPr>
          <w:p w14:paraId="0EE625E2" w14:textId="77777777" w:rsidR="00FE3600" w:rsidRDefault="00FE3600" w:rsidP="00FE3600">
            <w:pPr>
              <w:rPr>
                <w:lang w:eastAsia="ja-JP"/>
              </w:rPr>
            </w:pPr>
          </w:p>
        </w:tc>
      </w:tr>
      <w:tr w:rsidR="00FE3600" w14:paraId="011E8C95" w14:textId="77777777" w:rsidTr="00EE7113">
        <w:trPr>
          <w:trHeight w:val="60"/>
        </w:trPr>
        <w:tc>
          <w:tcPr>
            <w:tcW w:w="1555" w:type="dxa"/>
          </w:tcPr>
          <w:p w14:paraId="1D9A424A" w14:textId="77777777" w:rsidR="00FE3600" w:rsidRDefault="00FE3600" w:rsidP="00FE3600">
            <w:pPr>
              <w:rPr>
                <w:lang w:eastAsia="ja-JP"/>
              </w:rPr>
            </w:pPr>
          </w:p>
        </w:tc>
        <w:tc>
          <w:tcPr>
            <w:tcW w:w="2268" w:type="dxa"/>
          </w:tcPr>
          <w:p w14:paraId="41EDE182" w14:textId="77777777" w:rsidR="00FE3600" w:rsidRDefault="00FE3600" w:rsidP="00FE3600">
            <w:pPr>
              <w:rPr>
                <w:lang w:eastAsia="ja-JP"/>
              </w:rPr>
            </w:pPr>
          </w:p>
        </w:tc>
        <w:tc>
          <w:tcPr>
            <w:tcW w:w="6032" w:type="dxa"/>
          </w:tcPr>
          <w:p w14:paraId="5DF0FCC9" w14:textId="77777777" w:rsidR="00FE3600" w:rsidRDefault="00FE3600" w:rsidP="00FE3600">
            <w:pPr>
              <w:rPr>
                <w:lang w:eastAsia="ja-JP"/>
              </w:rPr>
            </w:pPr>
          </w:p>
        </w:tc>
      </w:tr>
    </w:tbl>
    <w:p w14:paraId="2EA96956" w14:textId="77777777" w:rsidR="005D21E9" w:rsidRDefault="005D21E9" w:rsidP="00BE5CE2">
      <w:pPr>
        <w:rPr>
          <w:lang w:eastAsia="ja-JP"/>
        </w:rPr>
      </w:pPr>
    </w:p>
    <w:p w14:paraId="2F781068" w14:textId="757C8EFB" w:rsidR="00D06875" w:rsidRDefault="00D06875" w:rsidP="00D06875">
      <w:pPr>
        <w:pStyle w:val="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等线"/>
          <w:b/>
          <w:lang w:eastAsia="zh-CN"/>
        </w:rPr>
      </w:pPr>
      <w:bookmarkStart w:id="6" w:name="OLE_LINK50"/>
      <w:r w:rsidRPr="008D4A58">
        <w:rPr>
          <w:rFonts w:eastAsia="等线"/>
          <w:b/>
          <w:lang w:eastAsia="zh-CN"/>
        </w:rPr>
        <w:t xml:space="preserve">Proposal 3: </w:t>
      </w:r>
      <w:r>
        <w:rPr>
          <w:rFonts w:eastAsia="等线"/>
          <w:b/>
          <w:lang w:eastAsia="zh-CN"/>
        </w:rPr>
        <w:t xml:space="preserve">Answer to Q3: </w:t>
      </w:r>
      <w:bookmarkEnd w:id="6"/>
      <w:r>
        <w:rPr>
          <w:rFonts w:eastAsia="宋体"/>
          <w:b/>
          <w:lang w:eastAsia="zh-CN"/>
        </w:rPr>
        <w:t>RAN2 does not expect any impact on cell selection/reselection mechanism brought by this feature</w:t>
      </w:r>
      <w:r>
        <w:rPr>
          <w:rFonts w:eastAsia="等线"/>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等线"/>
          <w:b/>
          <w:lang w:eastAsia="zh-CN"/>
        </w:rPr>
      </w:pPr>
      <w:r>
        <w:rPr>
          <w:rFonts w:eastAsia="宋体"/>
          <w:b/>
          <w:lang w:eastAsia="zh-CN"/>
        </w:rPr>
        <w:t xml:space="preserve">- </w:t>
      </w:r>
      <w:r w:rsidR="00866DCD">
        <w:rPr>
          <w:rFonts w:eastAsia="宋体"/>
          <w:b/>
          <w:lang w:eastAsia="zh-CN"/>
        </w:rPr>
        <w:t>RAN2 does not expect any impact on cell selection/reselection mechanism brought by this feature</w:t>
      </w:r>
      <w:r w:rsidR="00866DCD">
        <w:rPr>
          <w:rFonts w:eastAsia="等线"/>
          <w:b/>
          <w:lang w:eastAsia="zh-CN"/>
        </w:rPr>
        <w:t>.</w:t>
      </w:r>
    </w:p>
    <w:tbl>
      <w:tblPr>
        <w:tblStyle w:val="af3"/>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1E8A3ABB" w:rsidR="00866DCD" w:rsidRDefault="00FE3600" w:rsidP="00EE7113">
            <w:pPr>
              <w:rPr>
                <w:lang w:eastAsia="ja-JP"/>
              </w:rPr>
            </w:pPr>
            <w:r>
              <w:rPr>
                <w:lang w:eastAsia="ja-JP"/>
              </w:rPr>
              <w:t>Google</w:t>
            </w:r>
          </w:p>
        </w:tc>
        <w:tc>
          <w:tcPr>
            <w:tcW w:w="1418" w:type="dxa"/>
          </w:tcPr>
          <w:p w14:paraId="1A5C1C4A" w14:textId="6A06F4A6" w:rsidR="00866DCD" w:rsidRDefault="00FE3600" w:rsidP="00EE7113">
            <w:pPr>
              <w:rPr>
                <w:lang w:eastAsia="ja-JP"/>
              </w:rPr>
            </w:pPr>
            <w:r>
              <w:rPr>
                <w:lang w:eastAsia="ja-JP"/>
              </w:rPr>
              <w:t>Yes</w:t>
            </w:r>
          </w:p>
        </w:tc>
        <w:tc>
          <w:tcPr>
            <w:tcW w:w="6804" w:type="dxa"/>
          </w:tcPr>
          <w:p w14:paraId="5AB5F801" w14:textId="6AFEAADB" w:rsidR="00866DCD" w:rsidRPr="00FE3600" w:rsidRDefault="00FE3600" w:rsidP="00EE7113">
            <w:pPr>
              <w:rPr>
                <w:lang w:val="en-US" w:eastAsia="zh-TW"/>
              </w:rPr>
            </w:pPr>
            <w:r>
              <w:rPr>
                <w:lang w:eastAsia="ja-JP"/>
              </w:rPr>
              <w:t>We also don’t see</w:t>
            </w:r>
            <w:r>
              <w:rPr>
                <w:rFonts w:hint="eastAsia"/>
                <w:lang w:val="en-US" w:eastAsia="zh-TW"/>
              </w:rPr>
              <w:t xml:space="preserve"> </w:t>
            </w:r>
            <w:r w:rsidR="008E47FB">
              <w:rPr>
                <w:lang w:val="en-US" w:eastAsia="zh-TW"/>
              </w:rPr>
              <w:t>any impact to the cell selection/reselection procedures.</w:t>
            </w:r>
          </w:p>
        </w:tc>
      </w:tr>
      <w:tr w:rsidR="00866DCD" w14:paraId="001417DD" w14:textId="77777777" w:rsidTr="00EE7113">
        <w:tc>
          <w:tcPr>
            <w:tcW w:w="1696" w:type="dxa"/>
          </w:tcPr>
          <w:p w14:paraId="7A4600B3" w14:textId="2DF80270" w:rsidR="00866DCD" w:rsidRDefault="00B47BCF" w:rsidP="00EE7113">
            <w:pPr>
              <w:rPr>
                <w:lang w:eastAsia="ja-JP"/>
              </w:rPr>
            </w:pPr>
            <w:r>
              <w:rPr>
                <w:lang w:eastAsia="ja-JP"/>
              </w:rPr>
              <w:t>vivo</w:t>
            </w:r>
          </w:p>
        </w:tc>
        <w:tc>
          <w:tcPr>
            <w:tcW w:w="1418" w:type="dxa"/>
          </w:tcPr>
          <w:p w14:paraId="6A95CFDB" w14:textId="5F72A818" w:rsidR="00866DCD" w:rsidRDefault="00B47BCF" w:rsidP="00EE7113">
            <w:pPr>
              <w:rPr>
                <w:lang w:eastAsia="ja-JP"/>
              </w:rPr>
            </w:pPr>
            <w:r>
              <w:rPr>
                <w:lang w:eastAsia="ja-JP"/>
              </w:rPr>
              <w:t>Agree</w:t>
            </w: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6733B0F" w:rsidR="00866DCD" w:rsidRDefault="00114068" w:rsidP="00EE7113">
            <w:pPr>
              <w:rPr>
                <w:lang w:eastAsia="ja-JP"/>
              </w:rPr>
            </w:pPr>
            <w:r>
              <w:rPr>
                <w:lang w:eastAsia="ja-JP"/>
              </w:rPr>
              <w:t>Qualcomm</w:t>
            </w:r>
          </w:p>
        </w:tc>
        <w:tc>
          <w:tcPr>
            <w:tcW w:w="1418" w:type="dxa"/>
          </w:tcPr>
          <w:p w14:paraId="55D543AB" w14:textId="1658DDAC" w:rsidR="00866DCD" w:rsidRDefault="009A4A0B" w:rsidP="00EE7113">
            <w:pPr>
              <w:rPr>
                <w:lang w:eastAsia="ja-JP"/>
              </w:rPr>
            </w:pPr>
            <w:r>
              <w:rPr>
                <w:lang w:eastAsia="ja-JP"/>
              </w:rPr>
              <w:t>Disagree</w:t>
            </w:r>
          </w:p>
        </w:tc>
        <w:tc>
          <w:tcPr>
            <w:tcW w:w="6804" w:type="dxa"/>
          </w:tcPr>
          <w:p w14:paraId="7191D035" w14:textId="2421CF81" w:rsidR="00866DCD" w:rsidRDefault="00C63B0B" w:rsidP="00EE7113">
            <w:pPr>
              <w:rPr>
                <w:lang w:eastAsia="ja-JP"/>
              </w:rPr>
            </w:pPr>
            <w:r>
              <w:rPr>
                <w:lang w:eastAsia="ja-JP"/>
              </w:rPr>
              <w:t xml:space="preserve">If the UE </w:t>
            </w:r>
            <w:r w:rsidR="0036026F">
              <w:rPr>
                <w:lang w:eastAsia="ja-JP"/>
              </w:rPr>
              <w:t>re-selects cells without the feature, the resume will fail. So</w:t>
            </w:r>
            <w:r w:rsidR="009A4A0B">
              <w:rPr>
                <w:lang w:eastAsia="ja-JP"/>
              </w:rPr>
              <w:t>,</w:t>
            </w:r>
            <w:r w:rsidR="0036026F">
              <w:rPr>
                <w:lang w:eastAsia="ja-JP"/>
              </w:rPr>
              <w:t xml:space="preserve"> there should be a way to prioritize these cells</w:t>
            </w:r>
            <w:r w:rsidR="009A4A0B">
              <w:rPr>
                <w:lang w:eastAsia="ja-JP"/>
              </w:rPr>
              <w:t>.</w:t>
            </w:r>
          </w:p>
        </w:tc>
      </w:tr>
      <w:tr w:rsidR="00444F1F" w14:paraId="1670E2B3" w14:textId="77777777" w:rsidTr="005A380F">
        <w:tc>
          <w:tcPr>
            <w:tcW w:w="1696" w:type="dxa"/>
          </w:tcPr>
          <w:p w14:paraId="3252A2B4" w14:textId="77777777" w:rsidR="00444F1F" w:rsidRDefault="00444F1F" w:rsidP="005A380F">
            <w:pPr>
              <w:rPr>
                <w:lang w:eastAsia="ja-JP"/>
              </w:rPr>
            </w:pPr>
            <w:r>
              <w:rPr>
                <w:lang w:eastAsia="ja-JP"/>
              </w:rPr>
              <w:t>Apple</w:t>
            </w:r>
          </w:p>
        </w:tc>
        <w:tc>
          <w:tcPr>
            <w:tcW w:w="1418" w:type="dxa"/>
          </w:tcPr>
          <w:p w14:paraId="2738AAD5" w14:textId="77777777" w:rsidR="00444F1F" w:rsidRDefault="00444F1F" w:rsidP="005A380F">
            <w:pPr>
              <w:rPr>
                <w:lang w:eastAsia="ja-JP"/>
              </w:rPr>
            </w:pPr>
            <w:r>
              <w:rPr>
                <w:lang w:eastAsia="ja-JP"/>
              </w:rPr>
              <w:t>Agree</w:t>
            </w:r>
          </w:p>
        </w:tc>
        <w:tc>
          <w:tcPr>
            <w:tcW w:w="6804" w:type="dxa"/>
          </w:tcPr>
          <w:p w14:paraId="43FE863E" w14:textId="77777777" w:rsidR="00444F1F" w:rsidRDefault="00444F1F" w:rsidP="005A380F">
            <w:pPr>
              <w:rPr>
                <w:lang w:eastAsia="ja-JP"/>
              </w:rPr>
            </w:pPr>
            <w:r>
              <w:rPr>
                <w:lang w:eastAsia="ja-JP"/>
              </w:rPr>
              <w:t>We donot see any impact on the cell (re)selection procedure.</w:t>
            </w:r>
          </w:p>
        </w:tc>
      </w:tr>
      <w:tr w:rsidR="002753BD" w14:paraId="4376EBFB" w14:textId="77777777" w:rsidTr="00EE7113">
        <w:tc>
          <w:tcPr>
            <w:tcW w:w="1696" w:type="dxa"/>
          </w:tcPr>
          <w:p w14:paraId="0F61191E" w14:textId="0163437F" w:rsidR="002753BD" w:rsidRPr="00394A22" w:rsidRDefault="002753BD" w:rsidP="002753BD">
            <w:pPr>
              <w:rPr>
                <w:lang w:eastAsia="ja-JP"/>
              </w:rPr>
            </w:pPr>
            <w:r>
              <w:rPr>
                <w:lang w:eastAsia="ja-JP"/>
              </w:rPr>
              <w:t>Huawei, HiSilicon</w:t>
            </w:r>
          </w:p>
        </w:tc>
        <w:tc>
          <w:tcPr>
            <w:tcW w:w="1418" w:type="dxa"/>
          </w:tcPr>
          <w:p w14:paraId="1B0D5E62" w14:textId="58211562" w:rsidR="002753BD" w:rsidRDefault="002753BD" w:rsidP="002753BD">
            <w:pPr>
              <w:rPr>
                <w:lang w:eastAsia="ja-JP"/>
              </w:rPr>
            </w:pPr>
            <w:r>
              <w:rPr>
                <w:rFonts w:eastAsia="宋体" w:hint="eastAsia"/>
                <w:lang w:eastAsia="zh-CN"/>
              </w:rPr>
              <w:t>A</w:t>
            </w:r>
            <w:r>
              <w:rPr>
                <w:rFonts w:eastAsia="宋体"/>
                <w:lang w:eastAsia="zh-CN"/>
              </w:rPr>
              <w:t>gree</w:t>
            </w:r>
          </w:p>
        </w:tc>
        <w:tc>
          <w:tcPr>
            <w:tcW w:w="6804" w:type="dxa"/>
          </w:tcPr>
          <w:p w14:paraId="083E3DED" w14:textId="77777777" w:rsidR="002753BD" w:rsidRDefault="002753BD" w:rsidP="002753BD">
            <w:pPr>
              <w:rPr>
                <w:rFonts w:eastAsia="宋体"/>
                <w:lang w:eastAsia="zh-CN"/>
              </w:rPr>
            </w:pPr>
            <w:r>
              <w:rPr>
                <w:rFonts w:eastAsia="宋体" w:hint="eastAsia"/>
                <w:lang w:eastAsia="zh-CN"/>
              </w:rPr>
              <w:t>O</w:t>
            </w:r>
            <w:r>
              <w:rPr>
                <w:rFonts w:eastAsia="宋体"/>
                <w:lang w:eastAsia="zh-CN"/>
              </w:rPr>
              <w:t xml:space="preserve">n Qualcomm’s comment, if UE reselect to a cell not supporting the new method, UE can know the network capability via SIB, and it will set the </w:t>
            </w:r>
            <w:r>
              <w:rPr>
                <w:rFonts w:eastAsia="宋体"/>
                <w:lang w:eastAsia="zh-CN"/>
              </w:rPr>
              <w:lastRenderedPageBreak/>
              <w:t>shortMAC-I using legacy method according to the SA3 solution. No misalignment will happen between UE and network.</w:t>
            </w:r>
          </w:p>
          <w:p w14:paraId="6AEA8ED8" w14:textId="56DA6C90" w:rsidR="002753BD" w:rsidRDefault="002753BD" w:rsidP="002753BD">
            <w:pPr>
              <w:rPr>
                <w:lang w:eastAsia="ja-JP"/>
              </w:rPr>
            </w:pPr>
            <w:r>
              <w:rPr>
                <w:rFonts w:eastAsia="宋体"/>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866DCD" w14:paraId="1ECDFC85" w14:textId="77777777" w:rsidTr="00EE7113">
        <w:tc>
          <w:tcPr>
            <w:tcW w:w="1696" w:type="dxa"/>
          </w:tcPr>
          <w:p w14:paraId="4447CB3C" w14:textId="77777777" w:rsidR="00866DCD" w:rsidRDefault="00866DCD" w:rsidP="00EE7113">
            <w:pPr>
              <w:rPr>
                <w:lang w:eastAsia="ja-JP"/>
              </w:rPr>
            </w:pPr>
          </w:p>
        </w:tc>
        <w:tc>
          <w:tcPr>
            <w:tcW w:w="1418" w:type="dxa"/>
          </w:tcPr>
          <w:p w14:paraId="114C887A" w14:textId="77777777" w:rsidR="00866DCD" w:rsidRDefault="00866DCD" w:rsidP="00EE7113">
            <w:pPr>
              <w:rPr>
                <w:lang w:eastAsia="ja-JP"/>
              </w:rPr>
            </w:pPr>
          </w:p>
        </w:tc>
        <w:tc>
          <w:tcPr>
            <w:tcW w:w="6804" w:type="dxa"/>
          </w:tcPr>
          <w:p w14:paraId="401C7554" w14:textId="77777777" w:rsidR="00866DCD" w:rsidRDefault="00866DCD" w:rsidP="00EE7113">
            <w:pPr>
              <w:rPr>
                <w:lang w:eastAsia="ja-JP"/>
              </w:rPr>
            </w:pPr>
          </w:p>
        </w:tc>
      </w:tr>
      <w:tr w:rsidR="00866DCD" w14:paraId="5F0F50F8" w14:textId="77777777" w:rsidTr="00EE7113">
        <w:trPr>
          <w:trHeight w:val="60"/>
        </w:trPr>
        <w:tc>
          <w:tcPr>
            <w:tcW w:w="1696" w:type="dxa"/>
          </w:tcPr>
          <w:p w14:paraId="5F5D4E76" w14:textId="77777777" w:rsidR="00866DCD" w:rsidRDefault="00866DCD" w:rsidP="00EE7113">
            <w:pPr>
              <w:rPr>
                <w:lang w:eastAsia="ja-JP"/>
              </w:rPr>
            </w:pPr>
          </w:p>
        </w:tc>
        <w:tc>
          <w:tcPr>
            <w:tcW w:w="1418" w:type="dxa"/>
          </w:tcPr>
          <w:p w14:paraId="1997DE09" w14:textId="77777777" w:rsidR="00866DCD" w:rsidRDefault="00866DCD" w:rsidP="00EE7113">
            <w:pPr>
              <w:rPr>
                <w:lang w:eastAsia="ja-JP"/>
              </w:rPr>
            </w:pPr>
          </w:p>
        </w:tc>
        <w:tc>
          <w:tcPr>
            <w:tcW w:w="6804" w:type="dxa"/>
          </w:tcPr>
          <w:p w14:paraId="722DB896" w14:textId="77777777" w:rsidR="00866DCD" w:rsidRDefault="00866DCD" w:rsidP="00EE7113">
            <w:pPr>
              <w:rPr>
                <w:lang w:eastAsia="ja-JP"/>
              </w:rPr>
            </w:pPr>
          </w:p>
        </w:tc>
      </w:tr>
    </w:tbl>
    <w:p w14:paraId="1BD65B5C" w14:textId="77777777" w:rsidR="00866DCD" w:rsidRPr="00D06875" w:rsidRDefault="00866DCD" w:rsidP="00D06875">
      <w:pPr>
        <w:rPr>
          <w:lang w:eastAsia="ja-JP"/>
        </w:rPr>
      </w:pPr>
    </w:p>
    <w:p w14:paraId="2E0BDB03" w14:textId="04735441" w:rsidR="005D21E9" w:rsidRDefault="005D21E9" w:rsidP="005D21E9">
      <w:pPr>
        <w:pStyle w:val="2"/>
      </w:pPr>
      <w:r>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af3"/>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we think that the introduction of this new security feature in RAN2 is minimum and we see no problem of supporting it.</w:t>
            </w:r>
          </w:p>
        </w:tc>
      </w:tr>
      <w:tr w:rsidR="005D21E9" w14:paraId="53CDBE69" w14:textId="77777777" w:rsidTr="00EE7113">
        <w:tc>
          <w:tcPr>
            <w:tcW w:w="1696" w:type="dxa"/>
          </w:tcPr>
          <w:p w14:paraId="0E529175" w14:textId="73F7A317" w:rsidR="005D21E9" w:rsidRDefault="008E47FB" w:rsidP="00EE7113">
            <w:pPr>
              <w:rPr>
                <w:lang w:eastAsia="ja-JP"/>
              </w:rPr>
            </w:pPr>
            <w:r>
              <w:rPr>
                <w:lang w:eastAsia="ja-JP"/>
              </w:rPr>
              <w:t>Google</w:t>
            </w:r>
          </w:p>
        </w:tc>
        <w:tc>
          <w:tcPr>
            <w:tcW w:w="1418" w:type="dxa"/>
          </w:tcPr>
          <w:p w14:paraId="10A2FC8A" w14:textId="4245A35E" w:rsidR="005D21E9" w:rsidRDefault="008E47FB" w:rsidP="00EE7113">
            <w:pPr>
              <w:rPr>
                <w:lang w:eastAsia="ja-JP"/>
              </w:rPr>
            </w:pPr>
            <w:r>
              <w:rPr>
                <w:lang w:eastAsia="ja-JP"/>
              </w:rPr>
              <w:t>Yes</w:t>
            </w:r>
          </w:p>
        </w:tc>
        <w:tc>
          <w:tcPr>
            <w:tcW w:w="6804" w:type="dxa"/>
          </w:tcPr>
          <w:p w14:paraId="57BEF51A" w14:textId="42D20B84" w:rsidR="005D21E9" w:rsidRDefault="008E47FB" w:rsidP="00EE7113">
            <w:pPr>
              <w:rPr>
                <w:lang w:eastAsia="ja-JP"/>
              </w:rPr>
            </w:pPr>
            <w:r>
              <w:rPr>
                <w:lang w:eastAsia="ja-JP"/>
              </w:rPr>
              <w:t>We don’t see the concerns as well.</w:t>
            </w:r>
          </w:p>
        </w:tc>
      </w:tr>
      <w:tr w:rsidR="00B47BCF" w14:paraId="3396A112" w14:textId="77777777" w:rsidTr="00EE7113">
        <w:tc>
          <w:tcPr>
            <w:tcW w:w="1696" w:type="dxa"/>
          </w:tcPr>
          <w:p w14:paraId="170EA56D" w14:textId="6A551D7E" w:rsidR="00B47BCF" w:rsidRDefault="00B47BCF" w:rsidP="00B47BCF">
            <w:pPr>
              <w:rPr>
                <w:lang w:eastAsia="ja-JP"/>
              </w:rPr>
            </w:pPr>
            <w:r>
              <w:rPr>
                <w:lang w:eastAsia="ja-JP"/>
              </w:rPr>
              <w:t>vivo</w:t>
            </w:r>
          </w:p>
        </w:tc>
        <w:tc>
          <w:tcPr>
            <w:tcW w:w="1418" w:type="dxa"/>
          </w:tcPr>
          <w:p w14:paraId="27ED13ED" w14:textId="5E594E20" w:rsidR="00B47BCF" w:rsidRDefault="00B47BCF" w:rsidP="00B47BCF">
            <w:pPr>
              <w:rPr>
                <w:lang w:eastAsia="ja-JP"/>
              </w:rPr>
            </w:pPr>
            <w:r>
              <w:rPr>
                <w:lang w:eastAsia="ja-JP"/>
              </w:rPr>
              <w:t>Agree</w:t>
            </w:r>
          </w:p>
        </w:tc>
        <w:tc>
          <w:tcPr>
            <w:tcW w:w="6804" w:type="dxa"/>
          </w:tcPr>
          <w:p w14:paraId="4D222FF5" w14:textId="77777777" w:rsidR="00B47BCF" w:rsidRDefault="00B47BCF" w:rsidP="00B47BCF">
            <w:pPr>
              <w:rPr>
                <w:lang w:eastAsia="ja-JP"/>
              </w:rPr>
            </w:pPr>
          </w:p>
        </w:tc>
      </w:tr>
      <w:tr w:rsidR="00B47BCF" w14:paraId="0BFCD964" w14:textId="77777777" w:rsidTr="00EE7113">
        <w:tc>
          <w:tcPr>
            <w:tcW w:w="1696" w:type="dxa"/>
          </w:tcPr>
          <w:p w14:paraId="34AE0BED" w14:textId="00409F27" w:rsidR="00B47BCF" w:rsidRDefault="00FF158A" w:rsidP="00B47BCF">
            <w:pPr>
              <w:rPr>
                <w:lang w:eastAsia="ja-JP"/>
              </w:rPr>
            </w:pPr>
            <w:r>
              <w:rPr>
                <w:lang w:eastAsia="ja-JP"/>
              </w:rPr>
              <w:t>Qualcomm</w:t>
            </w:r>
          </w:p>
        </w:tc>
        <w:tc>
          <w:tcPr>
            <w:tcW w:w="1418" w:type="dxa"/>
          </w:tcPr>
          <w:p w14:paraId="140C5B84" w14:textId="39A21C7A" w:rsidR="00B47BCF" w:rsidRDefault="00346C49" w:rsidP="00B47BCF">
            <w:pPr>
              <w:rPr>
                <w:lang w:eastAsia="ja-JP"/>
              </w:rPr>
            </w:pPr>
            <w:r>
              <w:rPr>
                <w:lang w:eastAsia="ja-JP"/>
              </w:rPr>
              <w:t>Disagree</w:t>
            </w:r>
          </w:p>
        </w:tc>
        <w:tc>
          <w:tcPr>
            <w:tcW w:w="6804" w:type="dxa"/>
          </w:tcPr>
          <w:p w14:paraId="391F9751" w14:textId="22C19FA9" w:rsidR="00B47BCF" w:rsidRDefault="00FF158A" w:rsidP="00B47BCF">
            <w:pPr>
              <w:rPr>
                <w:lang w:eastAsia="ja-JP"/>
              </w:rPr>
            </w:pPr>
            <w:r>
              <w:rPr>
                <w:lang w:eastAsia="ja-JP"/>
              </w:rPr>
              <w:t xml:space="preserve">Not clear </w:t>
            </w:r>
            <w:r w:rsidR="00685872">
              <w:rPr>
                <w:lang w:eastAsia="ja-JP"/>
              </w:rPr>
              <w:t xml:space="preserve">“no showstopper” means. RAN2 has previously responded </w:t>
            </w:r>
            <w:r w:rsidR="00346C49">
              <w:rPr>
                <w:lang w:eastAsia="ja-JP"/>
              </w:rPr>
              <w:t>to SA3 on the necessary changes and commented that this would need a W</w:t>
            </w:r>
            <w:r w:rsidR="00BB2CB7">
              <w:rPr>
                <w:lang w:eastAsia="ja-JP"/>
              </w:rPr>
              <w:t xml:space="preserve">ork Item since it also has impact on RAN3. That conclusion still holds. </w:t>
            </w:r>
            <w:r w:rsidR="00D24BA8">
              <w:rPr>
                <w:lang w:eastAsia="ja-JP"/>
              </w:rPr>
              <w:t xml:space="preserve">For Rel-17, it </w:t>
            </w:r>
            <w:r w:rsidR="009A4A0B">
              <w:rPr>
                <w:lang w:eastAsia="ja-JP"/>
              </w:rPr>
              <w:t>is</w:t>
            </w:r>
            <w:r w:rsidR="00D24BA8">
              <w:rPr>
                <w:lang w:eastAsia="ja-JP"/>
              </w:rPr>
              <w:t xml:space="preserve"> impossible to have a new WI since </w:t>
            </w:r>
            <w:r w:rsidR="009A4A0B">
              <w:rPr>
                <w:lang w:eastAsia="ja-JP"/>
              </w:rPr>
              <w:t>there is no time left. It is sufficient to respond to the actual questions.</w:t>
            </w:r>
          </w:p>
        </w:tc>
      </w:tr>
      <w:tr w:rsidR="00394A22" w14:paraId="3BED515B" w14:textId="77777777" w:rsidTr="005A380F">
        <w:tc>
          <w:tcPr>
            <w:tcW w:w="1696" w:type="dxa"/>
          </w:tcPr>
          <w:p w14:paraId="67989B5F" w14:textId="77777777" w:rsidR="00394A22" w:rsidRDefault="00394A22" w:rsidP="005A380F">
            <w:pPr>
              <w:rPr>
                <w:lang w:eastAsia="ja-JP"/>
              </w:rPr>
            </w:pPr>
            <w:r>
              <w:rPr>
                <w:lang w:eastAsia="ja-JP"/>
              </w:rPr>
              <w:t>Apple</w:t>
            </w:r>
          </w:p>
        </w:tc>
        <w:tc>
          <w:tcPr>
            <w:tcW w:w="1418" w:type="dxa"/>
          </w:tcPr>
          <w:p w14:paraId="648D6BA5" w14:textId="77777777" w:rsidR="00394A22" w:rsidRDefault="00394A22" w:rsidP="005A380F">
            <w:pPr>
              <w:rPr>
                <w:lang w:eastAsia="ja-JP"/>
              </w:rPr>
            </w:pPr>
            <w:r>
              <w:rPr>
                <w:lang w:eastAsia="ja-JP"/>
              </w:rPr>
              <w:t>Agree</w:t>
            </w:r>
          </w:p>
        </w:tc>
        <w:tc>
          <w:tcPr>
            <w:tcW w:w="6804" w:type="dxa"/>
          </w:tcPr>
          <w:p w14:paraId="74A12A4E" w14:textId="72B64EDA" w:rsidR="00394A22" w:rsidRDefault="005231BE" w:rsidP="005A380F">
            <w:pPr>
              <w:rPr>
                <w:lang w:eastAsia="ja-JP"/>
              </w:rPr>
            </w:pPr>
            <w:r>
              <w:rPr>
                <w:lang w:eastAsia="ja-JP"/>
              </w:rPr>
              <w:t xml:space="preserve">The “no showstopper” means the solution is technically feasible. In RAN2#115e we discussed the solution and agreed that the solution is technically feasible. </w:t>
            </w:r>
          </w:p>
          <w:p w14:paraId="20677482" w14:textId="6D0943B2" w:rsidR="005231BE" w:rsidRDefault="005231BE" w:rsidP="005231BE">
            <w:pPr>
              <w:rPr>
                <w:lang w:eastAsia="ja-JP"/>
              </w:rPr>
            </w:pPr>
            <w:r>
              <w:rPr>
                <w:lang w:eastAsia="ja-JP"/>
              </w:rPr>
              <w:t>For the timing issue, if there is no time to implement it in R17 timeframe, it can</w:t>
            </w:r>
            <w:r w:rsidR="00367B18">
              <w:rPr>
                <w:lang w:eastAsia="ja-JP"/>
              </w:rPr>
              <w:t xml:space="preserve"> be implemented </w:t>
            </w:r>
            <w:r>
              <w:rPr>
                <w:lang w:eastAsia="ja-JP"/>
              </w:rPr>
              <w:t xml:space="preserve">in R18. </w:t>
            </w:r>
          </w:p>
        </w:tc>
      </w:tr>
      <w:tr w:rsidR="002753BD" w14:paraId="12B0D8C0" w14:textId="77777777" w:rsidTr="00EE7113">
        <w:tc>
          <w:tcPr>
            <w:tcW w:w="1696" w:type="dxa"/>
          </w:tcPr>
          <w:p w14:paraId="7E2C986E" w14:textId="5EDD546F" w:rsidR="002753BD" w:rsidRPr="005231BE" w:rsidRDefault="002753BD" w:rsidP="002753BD">
            <w:pPr>
              <w:rPr>
                <w:lang w:val="en-US" w:eastAsia="ja-JP"/>
              </w:rPr>
            </w:pPr>
            <w:bookmarkStart w:id="8" w:name="_GoBack" w:colFirst="0" w:colLast="2"/>
            <w:r>
              <w:rPr>
                <w:rFonts w:eastAsia="宋体" w:hint="eastAsia"/>
                <w:lang w:eastAsia="zh-CN"/>
              </w:rPr>
              <w:t>H</w:t>
            </w:r>
            <w:r>
              <w:rPr>
                <w:rFonts w:eastAsia="宋体"/>
                <w:lang w:eastAsia="zh-CN"/>
              </w:rPr>
              <w:t>uawei, HiSilicon</w:t>
            </w:r>
          </w:p>
        </w:tc>
        <w:tc>
          <w:tcPr>
            <w:tcW w:w="1418" w:type="dxa"/>
          </w:tcPr>
          <w:p w14:paraId="0FE0C2A1" w14:textId="6BFD0A6D" w:rsidR="002753BD" w:rsidRDefault="002753BD" w:rsidP="002753BD">
            <w:pPr>
              <w:rPr>
                <w:lang w:eastAsia="ja-JP"/>
              </w:rPr>
            </w:pPr>
            <w:r>
              <w:rPr>
                <w:rFonts w:eastAsia="宋体" w:hint="eastAsia"/>
                <w:lang w:eastAsia="zh-CN"/>
              </w:rPr>
              <w:t>A</w:t>
            </w:r>
            <w:r>
              <w:rPr>
                <w:rFonts w:eastAsia="宋体"/>
                <w:lang w:eastAsia="zh-CN"/>
              </w:rPr>
              <w:t>gree</w:t>
            </w:r>
          </w:p>
        </w:tc>
        <w:tc>
          <w:tcPr>
            <w:tcW w:w="6804" w:type="dxa"/>
          </w:tcPr>
          <w:p w14:paraId="6585EB36" w14:textId="77777777" w:rsidR="002753BD" w:rsidRDefault="002753BD" w:rsidP="002753BD">
            <w:pPr>
              <w:rPr>
                <w:rFonts w:eastAsia="宋体"/>
                <w:lang w:eastAsia="zh-CN"/>
              </w:rPr>
            </w:pPr>
            <w:r>
              <w:rPr>
                <w:rFonts w:eastAsia="宋体"/>
                <w:lang w:eastAsia="zh-CN"/>
              </w:rPr>
              <w:t>We understand the intention of this sentence is not to say this solution can be specified in Rel-17, since indeed there is not sufficient time as Qualcomm comments, but just to confirm the feasibility of the solution.</w:t>
            </w:r>
          </w:p>
          <w:p w14:paraId="3C9747F8" w14:textId="5D9D5AF2" w:rsidR="002753BD" w:rsidRDefault="002753BD" w:rsidP="002753BD">
            <w:pPr>
              <w:rPr>
                <w:lang w:eastAsia="ja-JP"/>
              </w:rPr>
            </w:pPr>
            <w:r>
              <w:rPr>
                <w:rFonts w:eastAsia="宋体"/>
                <w:lang w:eastAsia="zh-CN"/>
              </w:rPr>
              <w:t xml:space="preserve">Considering in last RAN2 LS </w:t>
            </w:r>
            <w:r w:rsidRPr="001B1EBE">
              <w:rPr>
                <w:rFonts w:eastAsia="宋体"/>
                <w:lang w:eastAsia="zh-CN"/>
              </w:rPr>
              <w:t>R2-2109121</w:t>
            </w:r>
            <w:r>
              <w:rPr>
                <w:rFonts w:eastAsia="宋体"/>
                <w:lang w:eastAsia="zh-CN"/>
              </w:rPr>
              <w:t>, it says “</w:t>
            </w:r>
            <w:r w:rsidRPr="009417AF">
              <w:rPr>
                <w:rFonts w:eastAsia="宋体"/>
                <w:lang w:eastAsia="zh-CN"/>
              </w:rPr>
              <w:t>The solution is technically feasible from RAN2 perspective.</w:t>
            </w:r>
            <w:r>
              <w:rPr>
                <w:rFonts w:eastAsia="宋体"/>
                <w:lang w:eastAsia="zh-CN"/>
              </w:rPr>
              <w:t>”, we are ok to double confirm that those questions from SA3 will not change the RAN2 conclusion on the feasibility.</w:t>
            </w:r>
          </w:p>
        </w:tc>
      </w:tr>
      <w:bookmarkEnd w:id="8"/>
      <w:tr w:rsidR="00B47BCF" w14:paraId="279D9E29" w14:textId="77777777" w:rsidTr="00EE7113">
        <w:tc>
          <w:tcPr>
            <w:tcW w:w="1696" w:type="dxa"/>
          </w:tcPr>
          <w:p w14:paraId="2578078E" w14:textId="77777777" w:rsidR="00B47BCF" w:rsidRDefault="00B47BCF" w:rsidP="00B47BCF">
            <w:pPr>
              <w:rPr>
                <w:lang w:eastAsia="ja-JP"/>
              </w:rPr>
            </w:pPr>
          </w:p>
        </w:tc>
        <w:tc>
          <w:tcPr>
            <w:tcW w:w="1418" w:type="dxa"/>
          </w:tcPr>
          <w:p w14:paraId="08C6A935" w14:textId="77777777" w:rsidR="00B47BCF" w:rsidRDefault="00B47BCF" w:rsidP="00B47BCF">
            <w:pPr>
              <w:rPr>
                <w:lang w:eastAsia="ja-JP"/>
              </w:rPr>
            </w:pPr>
          </w:p>
        </w:tc>
        <w:tc>
          <w:tcPr>
            <w:tcW w:w="6804" w:type="dxa"/>
          </w:tcPr>
          <w:p w14:paraId="485608D5" w14:textId="77777777" w:rsidR="00B47BCF" w:rsidRDefault="00B47BCF" w:rsidP="00B47BCF">
            <w:pPr>
              <w:rPr>
                <w:lang w:eastAsia="ja-JP"/>
              </w:rPr>
            </w:pPr>
          </w:p>
        </w:tc>
      </w:tr>
      <w:tr w:rsidR="00B47BCF" w14:paraId="37772840" w14:textId="77777777" w:rsidTr="00EE7113">
        <w:trPr>
          <w:trHeight w:val="60"/>
        </w:trPr>
        <w:tc>
          <w:tcPr>
            <w:tcW w:w="1696" w:type="dxa"/>
          </w:tcPr>
          <w:p w14:paraId="64C94902" w14:textId="77777777" w:rsidR="00B47BCF" w:rsidRDefault="00B47BCF" w:rsidP="00B47BCF">
            <w:pPr>
              <w:rPr>
                <w:lang w:eastAsia="ja-JP"/>
              </w:rPr>
            </w:pPr>
          </w:p>
        </w:tc>
        <w:tc>
          <w:tcPr>
            <w:tcW w:w="1418" w:type="dxa"/>
          </w:tcPr>
          <w:p w14:paraId="1902C1D2" w14:textId="77777777" w:rsidR="00B47BCF" w:rsidRDefault="00B47BCF" w:rsidP="00B47BCF">
            <w:pPr>
              <w:rPr>
                <w:lang w:eastAsia="ja-JP"/>
              </w:rPr>
            </w:pPr>
          </w:p>
        </w:tc>
        <w:tc>
          <w:tcPr>
            <w:tcW w:w="6804" w:type="dxa"/>
          </w:tcPr>
          <w:p w14:paraId="19D264F1" w14:textId="77777777" w:rsidR="00B47BCF" w:rsidRDefault="00B47BCF" w:rsidP="00B47BCF">
            <w:pPr>
              <w:rPr>
                <w:lang w:eastAsia="ja-JP"/>
              </w:rPr>
            </w:pPr>
          </w:p>
        </w:tc>
      </w:tr>
    </w:tbl>
    <w:p w14:paraId="707B88CA" w14:textId="77777777" w:rsidR="005D21E9" w:rsidRPr="00E16B1E" w:rsidRDefault="005D21E9" w:rsidP="00BE5CE2">
      <w:pPr>
        <w:rPr>
          <w:lang w:eastAsia="ja-JP"/>
        </w:rPr>
      </w:pPr>
    </w:p>
    <w:p w14:paraId="1B3E9405" w14:textId="143C8DFD" w:rsidR="00401252" w:rsidRDefault="00560030" w:rsidP="007A2B82">
      <w:pPr>
        <w:pStyle w:val="1"/>
      </w:pPr>
      <w:r>
        <w:t>Conclusion</w:t>
      </w:r>
    </w:p>
    <w:p w14:paraId="7F118510" w14:textId="3E457B06" w:rsidR="00A16BEC" w:rsidRPr="00B879E6" w:rsidRDefault="00A16BEC" w:rsidP="00B879E6">
      <w:pPr>
        <w:rPr>
          <w:lang w:eastAsia="ja-JP"/>
        </w:rPr>
      </w:pPr>
    </w:p>
    <w:sectPr w:rsidR="00A16BEC"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9306A" w14:textId="77777777" w:rsidR="00CD7CFC" w:rsidRDefault="00CD7CFC">
      <w:pPr>
        <w:spacing w:after="0"/>
      </w:pPr>
      <w:r>
        <w:separator/>
      </w:r>
    </w:p>
  </w:endnote>
  <w:endnote w:type="continuationSeparator" w:id="0">
    <w:p w14:paraId="7D78F257" w14:textId="77777777" w:rsidR="00CD7CFC" w:rsidRDefault="00CD7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F4AC2" w14:textId="77777777" w:rsidR="00CD7CFC" w:rsidRDefault="00CD7CFC">
      <w:pPr>
        <w:spacing w:after="0"/>
      </w:pPr>
      <w:r>
        <w:separator/>
      </w:r>
    </w:p>
  </w:footnote>
  <w:footnote w:type="continuationSeparator" w:id="0">
    <w:p w14:paraId="19535C2C" w14:textId="77777777" w:rsidR="00CD7CFC" w:rsidRDefault="00CD7C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14068"/>
    <w:rsid w:val="00120373"/>
    <w:rsid w:val="00126088"/>
    <w:rsid w:val="00131807"/>
    <w:rsid w:val="00136F83"/>
    <w:rsid w:val="001453B8"/>
    <w:rsid w:val="00160F53"/>
    <w:rsid w:val="001636C6"/>
    <w:rsid w:val="00172885"/>
    <w:rsid w:val="00181A4A"/>
    <w:rsid w:val="00181D4A"/>
    <w:rsid w:val="001B3522"/>
    <w:rsid w:val="001D7C2B"/>
    <w:rsid w:val="001F2B1D"/>
    <w:rsid w:val="00201FC9"/>
    <w:rsid w:val="00203A0C"/>
    <w:rsid w:val="002146A9"/>
    <w:rsid w:val="002211BF"/>
    <w:rsid w:val="002242A4"/>
    <w:rsid w:val="00234115"/>
    <w:rsid w:val="00251D4E"/>
    <w:rsid w:val="002753BD"/>
    <w:rsid w:val="00284052"/>
    <w:rsid w:val="002866B3"/>
    <w:rsid w:val="0028697B"/>
    <w:rsid w:val="00295100"/>
    <w:rsid w:val="00295401"/>
    <w:rsid w:val="002B2662"/>
    <w:rsid w:val="002B6134"/>
    <w:rsid w:val="002E0FD2"/>
    <w:rsid w:val="002E61F5"/>
    <w:rsid w:val="002F09C5"/>
    <w:rsid w:val="002F1940"/>
    <w:rsid w:val="002F4057"/>
    <w:rsid w:val="00306E78"/>
    <w:rsid w:val="0032629E"/>
    <w:rsid w:val="00333D52"/>
    <w:rsid w:val="00336031"/>
    <w:rsid w:val="00337591"/>
    <w:rsid w:val="00346C49"/>
    <w:rsid w:val="00353CBD"/>
    <w:rsid w:val="003542BF"/>
    <w:rsid w:val="00356767"/>
    <w:rsid w:val="0036026F"/>
    <w:rsid w:val="00367B18"/>
    <w:rsid w:val="00370301"/>
    <w:rsid w:val="003733D7"/>
    <w:rsid w:val="00383545"/>
    <w:rsid w:val="00384092"/>
    <w:rsid w:val="00394A22"/>
    <w:rsid w:val="003A2A13"/>
    <w:rsid w:val="003A6EE3"/>
    <w:rsid w:val="003C0836"/>
    <w:rsid w:val="003C5E33"/>
    <w:rsid w:val="003C7E0A"/>
    <w:rsid w:val="00401252"/>
    <w:rsid w:val="0041173C"/>
    <w:rsid w:val="00433500"/>
    <w:rsid w:val="00433F71"/>
    <w:rsid w:val="00440D43"/>
    <w:rsid w:val="00444F1F"/>
    <w:rsid w:val="004477AA"/>
    <w:rsid w:val="00454A09"/>
    <w:rsid w:val="00456F55"/>
    <w:rsid w:val="00464933"/>
    <w:rsid w:val="004704B1"/>
    <w:rsid w:val="00486D9A"/>
    <w:rsid w:val="004A13FB"/>
    <w:rsid w:val="004A3A03"/>
    <w:rsid w:val="004B35A7"/>
    <w:rsid w:val="004C7864"/>
    <w:rsid w:val="004E3939"/>
    <w:rsid w:val="004F760F"/>
    <w:rsid w:val="0050185C"/>
    <w:rsid w:val="005150B0"/>
    <w:rsid w:val="00515475"/>
    <w:rsid w:val="005231BE"/>
    <w:rsid w:val="00527651"/>
    <w:rsid w:val="005566C6"/>
    <w:rsid w:val="00560030"/>
    <w:rsid w:val="00576020"/>
    <w:rsid w:val="005863D1"/>
    <w:rsid w:val="00595D14"/>
    <w:rsid w:val="005A4D80"/>
    <w:rsid w:val="005B0A98"/>
    <w:rsid w:val="005C0E69"/>
    <w:rsid w:val="005D21E9"/>
    <w:rsid w:val="005D56D7"/>
    <w:rsid w:val="005E200D"/>
    <w:rsid w:val="005F209C"/>
    <w:rsid w:val="005F2A57"/>
    <w:rsid w:val="00623A2C"/>
    <w:rsid w:val="00640BDD"/>
    <w:rsid w:val="00663120"/>
    <w:rsid w:val="00665A25"/>
    <w:rsid w:val="00684D68"/>
    <w:rsid w:val="00685872"/>
    <w:rsid w:val="00686023"/>
    <w:rsid w:val="006945AC"/>
    <w:rsid w:val="00697283"/>
    <w:rsid w:val="006C6121"/>
    <w:rsid w:val="006D220C"/>
    <w:rsid w:val="006F1A01"/>
    <w:rsid w:val="007116B0"/>
    <w:rsid w:val="007144C8"/>
    <w:rsid w:val="007232BD"/>
    <w:rsid w:val="00746CC7"/>
    <w:rsid w:val="00765429"/>
    <w:rsid w:val="00781E6C"/>
    <w:rsid w:val="007838C1"/>
    <w:rsid w:val="007A2B82"/>
    <w:rsid w:val="007A660D"/>
    <w:rsid w:val="007C31B0"/>
    <w:rsid w:val="007C4838"/>
    <w:rsid w:val="007C4D4A"/>
    <w:rsid w:val="007E424F"/>
    <w:rsid w:val="007F4F92"/>
    <w:rsid w:val="008221C0"/>
    <w:rsid w:val="008457AF"/>
    <w:rsid w:val="00851C14"/>
    <w:rsid w:val="0085337F"/>
    <w:rsid w:val="00866DCD"/>
    <w:rsid w:val="00891BB1"/>
    <w:rsid w:val="008934E5"/>
    <w:rsid w:val="008A69B5"/>
    <w:rsid w:val="008D3A1D"/>
    <w:rsid w:val="008D772F"/>
    <w:rsid w:val="008E47FB"/>
    <w:rsid w:val="008E72E9"/>
    <w:rsid w:val="008F4013"/>
    <w:rsid w:val="00900E89"/>
    <w:rsid w:val="0090405D"/>
    <w:rsid w:val="00914AD5"/>
    <w:rsid w:val="0095373B"/>
    <w:rsid w:val="0095545C"/>
    <w:rsid w:val="00987FE7"/>
    <w:rsid w:val="00993CB4"/>
    <w:rsid w:val="0099468A"/>
    <w:rsid w:val="0099764C"/>
    <w:rsid w:val="009A2F8C"/>
    <w:rsid w:val="009A4A0B"/>
    <w:rsid w:val="009B18E5"/>
    <w:rsid w:val="009B3807"/>
    <w:rsid w:val="009C49F2"/>
    <w:rsid w:val="009E391A"/>
    <w:rsid w:val="009E47B1"/>
    <w:rsid w:val="00A10C8C"/>
    <w:rsid w:val="00A16BEC"/>
    <w:rsid w:val="00A332EB"/>
    <w:rsid w:val="00A42B0E"/>
    <w:rsid w:val="00A627CE"/>
    <w:rsid w:val="00A637E2"/>
    <w:rsid w:val="00A6444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47BCF"/>
    <w:rsid w:val="00B50E61"/>
    <w:rsid w:val="00B76CFE"/>
    <w:rsid w:val="00B85A63"/>
    <w:rsid w:val="00B879E6"/>
    <w:rsid w:val="00B93730"/>
    <w:rsid w:val="00B93C39"/>
    <w:rsid w:val="00B97703"/>
    <w:rsid w:val="00BB2CB7"/>
    <w:rsid w:val="00BC05E3"/>
    <w:rsid w:val="00BE5CE2"/>
    <w:rsid w:val="00BF0097"/>
    <w:rsid w:val="00BF344A"/>
    <w:rsid w:val="00C02ABF"/>
    <w:rsid w:val="00C11213"/>
    <w:rsid w:val="00C25293"/>
    <w:rsid w:val="00C35C11"/>
    <w:rsid w:val="00C442B6"/>
    <w:rsid w:val="00C47CFF"/>
    <w:rsid w:val="00C56EC7"/>
    <w:rsid w:val="00C618B7"/>
    <w:rsid w:val="00C63B0B"/>
    <w:rsid w:val="00C63E21"/>
    <w:rsid w:val="00C7510D"/>
    <w:rsid w:val="00CB3882"/>
    <w:rsid w:val="00CD7CFC"/>
    <w:rsid w:val="00CF0329"/>
    <w:rsid w:val="00CF6087"/>
    <w:rsid w:val="00D033B9"/>
    <w:rsid w:val="00D06875"/>
    <w:rsid w:val="00D16DB7"/>
    <w:rsid w:val="00D24BA8"/>
    <w:rsid w:val="00D43B2B"/>
    <w:rsid w:val="00D5368E"/>
    <w:rsid w:val="00D56E18"/>
    <w:rsid w:val="00D61FE3"/>
    <w:rsid w:val="00D62E6F"/>
    <w:rsid w:val="00D651CA"/>
    <w:rsid w:val="00D824B1"/>
    <w:rsid w:val="00D91C01"/>
    <w:rsid w:val="00DC0576"/>
    <w:rsid w:val="00DD1FC4"/>
    <w:rsid w:val="00DE4483"/>
    <w:rsid w:val="00DE506E"/>
    <w:rsid w:val="00DF6A68"/>
    <w:rsid w:val="00E1269A"/>
    <w:rsid w:val="00E16B1E"/>
    <w:rsid w:val="00E449F7"/>
    <w:rsid w:val="00E46695"/>
    <w:rsid w:val="00E552EF"/>
    <w:rsid w:val="00E5603C"/>
    <w:rsid w:val="00E7161D"/>
    <w:rsid w:val="00E770DE"/>
    <w:rsid w:val="00E82B46"/>
    <w:rsid w:val="00E844F4"/>
    <w:rsid w:val="00E90807"/>
    <w:rsid w:val="00EA2761"/>
    <w:rsid w:val="00EB4C53"/>
    <w:rsid w:val="00EC416E"/>
    <w:rsid w:val="00EC5493"/>
    <w:rsid w:val="00ED25EE"/>
    <w:rsid w:val="00EF1247"/>
    <w:rsid w:val="00EF3F83"/>
    <w:rsid w:val="00F002DF"/>
    <w:rsid w:val="00F109C1"/>
    <w:rsid w:val="00F40FB0"/>
    <w:rsid w:val="00F526F9"/>
    <w:rsid w:val="00F866B1"/>
    <w:rsid w:val="00F86A4D"/>
    <w:rsid w:val="00FA659D"/>
    <w:rsid w:val="00FB19FD"/>
    <w:rsid w:val="00FC5000"/>
    <w:rsid w:val="00FD590D"/>
    <w:rsid w:val="00FE3600"/>
    <w:rsid w:val="00FE3C51"/>
    <w:rsid w:val="00FF158A"/>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0897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Char"/>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Char"/>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1"/>
    <w:semiHidden/>
    <w:rsid w:val="00CF6087"/>
    <w:pPr>
      <w:keepLines/>
      <w:spacing w:after="0"/>
      <w:ind w:left="454" w:hanging="454"/>
    </w:pPr>
    <w:rPr>
      <w:sz w:val="16"/>
    </w:rPr>
  </w:style>
  <w:style w:type="character" w:customStyle="1" w:styleId="Char1">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qFormat/>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2"/>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3"/>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3">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2">
    <w:name w:val="列出段落 Char"/>
    <w:basedOn w:val="a0"/>
    <w:link w:val="af1"/>
    <w:uiPriority w:val="34"/>
    <w:rsid w:val="009B18E5"/>
    <w:rPr>
      <w:rFonts w:asciiTheme="minorHAnsi" w:hAnsiTheme="minorHAnsi" w:cstheme="minorHAnsi"/>
    </w:rPr>
  </w:style>
  <w:style w:type="character" w:customStyle="1" w:styleId="Observation0">
    <w:name w:val="Observation (文字)"/>
    <w:basedOn w:val="Char2"/>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a"/>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af3">
    <w:name w:val="Table Grid"/>
    <w:basedOn w:val="a1"/>
    <w:uiPriority w:val="59"/>
    <w:qFormat/>
    <w:rsid w:val="008A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af4">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af5">
    <w:name w:val="Emphasis"/>
    <w:basedOn w:val="a0"/>
    <w:uiPriority w:val="20"/>
    <w:qFormat/>
    <w:rsid w:val="008A69B5"/>
    <w:rPr>
      <w:i/>
      <w:iCs/>
    </w:rPr>
  </w:style>
  <w:style w:type="paragraph" w:styleId="af6">
    <w:name w:val="Normal (Web)"/>
    <w:basedOn w:val="a"/>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af7">
    <w:name w:val="Revision"/>
    <w:hidden/>
    <w:uiPriority w:val="99"/>
    <w:semiHidden/>
    <w:rsid w:val="00F002DF"/>
    <w:rPr>
      <w:rFonts w:asciiTheme="minorHAnsi" w:hAnsiTheme="minorHAnsi" w:cstheme="minorHAnsi"/>
    </w:rPr>
  </w:style>
  <w:style w:type="paragraph" w:customStyle="1" w:styleId="Comments">
    <w:name w:val="Comments"/>
    <w:basedOn w:val="a"/>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a"/>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a"/>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a"/>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a"/>
    <w:next w:val="a"/>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3Char">
    <w:name w:val="标题 3 Char"/>
    <w:aliases w:val="H3 Char,h3 Char"/>
    <w:basedOn w:val="a0"/>
    <w:link w:val="3"/>
    <w:rsid w:val="004477AA"/>
    <w:rPr>
      <w:rFonts w:asciiTheme="majorHAnsi" w:eastAsiaTheme="majorEastAsia" w:hAnsiTheme="majorHAnsi" w:cstheme="majorHAnsi"/>
      <w:sz w:val="28"/>
      <w:lang w:eastAsia="ja-JP"/>
    </w:rPr>
  </w:style>
  <w:style w:type="character" w:customStyle="1" w:styleId="2Char">
    <w:name w:val="标题 2 Char"/>
    <w:aliases w:val="H2 Char,h2 Char"/>
    <w:basedOn w:val="a0"/>
    <w:link w:val="2"/>
    <w:rsid w:val="005D21E9"/>
    <w:rPr>
      <w:rFonts w:asciiTheme="majorHAnsi" w:eastAsiaTheme="majorEastAsia" w:hAnsiTheme="majorHAnsi" w:cstheme="majorHAnsi"/>
      <w:sz w:val="32"/>
      <w:lang w:eastAsia="ja-JP"/>
    </w:rPr>
  </w:style>
  <w:style w:type="character" w:customStyle="1" w:styleId="1Char">
    <w:name w:val="标题 1 Char"/>
    <w:aliases w:val="H1 Char,h1 Char"/>
    <w:basedOn w:val="a0"/>
    <w:link w:val="1"/>
    <w:rsid w:val="00866DCD"/>
    <w:rPr>
      <w:rFonts w:asciiTheme="majorHAnsi" w:eastAsiaTheme="majorEastAsia" w:hAnsiTheme="majorHAnsi" w:cstheme="majorHAnsi"/>
      <w:sz w:val="36"/>
      <w:lang w:eastAsia="ja-JP"/>
    </w:rPr>
  </w:style>
  <w:style w:type="character" w:customStyle="1" w:styleId="UnresolvedMention">
    <w:name w:val="Unresolved Mention"/>
    <w:basedOn w:val="a0"/>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C5D2D31B-90BF-437F-BDD8-FD76D92F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2357</Words>
  <Characters>13439</Characters>
  <Application>Microsoft Office Word</Application>
  <DocSecurity>0</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15765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HiSilicon_Rui Wang</cp:lastModifiedBy>
  <cp:revision>3</cp:revision>
  <cp:lastPrinted>2002-04-23T07:10:00Z</cp:lastPrinted>
  <dcterms:created xsi:type="dcterms:W3CDTF">2022-01-19T07:28:00Z</dcterms:created>
  <dcterms:modified xsi:type="dcterms:W3CDTF">2022-01-19T07:31:00Z</dcterms:modified>
</cp:coreProperties>
</file>