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451D" w14:textId="28F66955" w:rsidR="0062318A" w:rsidRPr="00956A54" w:rsidRDefault="002A071B">
      <w:pPr>
        <w:pStyle w:val="Header"/>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 xml:space="preserve">Online, 1st – 12th </w:t>
      </w:r>
      <w:proofErr w:type="gramStart"/>
      <w:r w:rsidRPr="00956A54">
        <w:rPr>
          <w:rFonts w:ascii="Arial" w:hAnsi="Arial" w:cs="Arial"/>
          <w:b/>
          <w:bCs/>
          <w:sz w:val="21"/>
          <w:szCs w:val="21"/>
          <w:lang w:eastAsia="ja-JP"/>
        </w:rPr>
        <w:t>November,</w:t>
      </w:r>
      <w:proofErr w:type="gramEnd"/>
      <w:r w:rsidRPr="00956A54">
        <w:rPr>
          <w:rFonts w:ascii="Arial" w:hAnsi="Arial" w:cs="Arial"/>
          <w:b/>
          <w:bCs/>
          <w:sz w:val="21"/>
          <w:szCs w:val="21"/>
          <w:lang w:eastAsia="ja-JP"/>
        </w:rPr>
        <w:t xml:space="preserve"> 2021</w:t>
      </w:r>
    </w:p>
    <w:p w14:paraId="7B5C8673" w14:textId="77777777" w:rsidR="00994BAB" w:rsidRPr="00956A54" w:rsidRDefault="00994BAB">
      <w:pPr>
        <w:pStyle w:val="Header"/>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Heading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Heading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 xml:space="preserve">is to summarize the </w:t>
      </w:r>
      <w:proofErr w:type="gramStart"/>
      <w:r w:rsidR="00D55C9D" w:rsidRPr="00D55C9D">
        <w:rPr>
          <w:rFonts w:ascii="Arial" w:hAnsi="Arial" w:cs="Arial"/>
          <w:sz w:val="21"/>
          <w:szCs w:val="21"/>
        </w:rPr>
        <w:t>Tdocs</w:t>
      </w:r>
      <w:proofErr w:type="gramEnd"/>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D55C9D" w:rsidRPr="00956A54" w14:paraId="26C178EA" w14:textId="77777777" w:rsidTr="00EA1D48">
        <w:tc>
          <w:tcPr>
            <w:tcW w:w="1396" w:type="dxa"/>
          </w:tcPr>
          <w:p w14:paraId="5A7D0EF4"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EA1D48">
        <w:tc>
          <w:tcPr>
            <w:tcW w:w="1396" w:type="dxa"/>
          </w:tcPr>
          <w:p w14:paraId="67486519" w14:textId="77777777" w:rsidR="00D55C9D" w:rsidRPr="00956A54" w:rsidRDefault="00B15F7F"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Hyperlink"/>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EA1D48">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EA1D48">
        <w:tc>
          <w:tcPr>
            <w:tcW w:w="1396" w:type="dxa"/>
          </w:tcPr>
          <w:p w14:paraId="6853F157" w14:textId="77777777" w:rsidR="00D55C9D" w:rsidRPr="00956A54" w:rsidRDefault="00B15F7F"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Hyperlink"/>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EA1D48">
        <w:tc>
          <w:tcPr>
            <w:tcW w:w="1396" w:type="dxa"/>
          </w:tcPr>
          <w:p w14:paraId="33C72232" w14:textId="77777777" w:rsidR="00D55C9D" w:rsidRPr="00956A54" w:rsidRDefault="00B15F7F"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Hyperlink"/>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EA1D48">
        <w:tc>
          <w:tcPr>
            <w:tcW w:w="1396" w:type="dxa"/>
          </w:tcPr>
          <w:p w14:paraId="1300B1FE" w14:textId="77777777" w:rsidR="00D55C9D" w:rsidRPr="00956A54" w:rsidRDefault="00B15F7F"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Hyperlink"/>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EA1D48">
        <w:tc>
          <w:tcPr>
            <w:tcW w:w="1396" w:type="dxa"/>
          </w:tcPr>
          <w:p w14:paraId="7CDA1B2F" w14:textId="77777777" w:rsidR="00D55C9D" w:rsidRPr="00956A54" w:rsidRDefault="00B15F7F"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Hyperlink"/>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EA1D48">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EA1D48">
        <w:tc>
          <w:tcPr>
            <w:tcW w:w="1396" w:type="dxa"/>
          </w:tcPr>
          <w:p w14:paraId="248BDA8D" w14:textId="77777777" w:rsidR="00D55C9D" w:rsidRPr="00956A54" w:rsidRDefault="00B15F7F"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Hyperlink"/>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EA1D48">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EA1D48">
        <w:tc>
          <w:tcPr>
            <w:tcW w:w="1396" w:type="dxa"/>
          </w:tcPr>
          <w:p w14:paraId="12470205" w14:textId="77777777" w:rsidR="00D55C9D" w:rsidRPr="00956A54" w:rsidRDefault="00B15F7F"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Hyperlink"/>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EA1D48">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EA1D48">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Heading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Heading2"/>
      </w:pPr>
      <w:r w:rsidRPr="00956A54">
        <w:rPr>
          <w:lang w:eastAsia="zh-CN"/>
        </w:rPr>
        <w:t>3</w:t>
      </w:r>
      <w:r w:rsidRPr="00956A54">
        <w:t>.1</w:t>
      </w:r>
      <w:r w:rsidRPr="00956A54">
        <w:tab/>
      </w:r>
      <w:hyperlink r:id="rId15" w:history="1">
        <w:r w:rsidR="00A72167" w:rsidRPr="00956A54">
          <w:rPr>
            <w:rStyle w:val="Hyperlink"/>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B15F7F" w:rsidP="0097528C">
      <w:pPr>
        <w:rPr>
          <w:rFonts w:ascii="Arial" w:eastAsiaTheme="minorEastAsia" w:hAnsi="Arial" w:cs="Arial"/>
          <w:sz w:val="21"/>
          <w:szCs w:val="21"/>
          <w:lang w:eastAsia="ja-JP"/>
        </w:rPr>
      </w:pPr>
      <w:hyperlink r:id="rId16" w:history="1">
        <w:r w:rsidR="00A72167" w:rsidRPr="00956A54">
          <w:rPr>
            <w:rStyle w:val="Hyperlink"/>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0124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01249E">
            <w:pPr>
              <w:pStyle w:val="TAC"/>
              <w:spacing w:before="20" w:after="20"/>
              <w:ind w:left="57" w:right="57"/>
              <w:jc w:val="left"/>
              <w:rPr>
                <w:rFonts w:cs="Arial"/>
                <w:sz w:val="21"/>
                <w:szCs w:val="21"/>
                <w:lang w:eastAsia="zh-CN"/>
              </w:rPr>
            </w:pPr>
            <w:proofErr w:type="gramStart"/>
            <w:r>
              <w:rPr>
                <w:rFonts w:cs="Arial"/>
                <w:sz w:val="21"/>
                <w:szCs w:val="21"/>
                <w:lang w:eastAsia="zh-CN"/>
              </w:rPr>
              <w:t>Yes</w:t>
            </w:r>
            <w:proofErr w:type="gramEnd"/>
            <w:r>
              <w:rPr>
                <w:rFonts w:cs="Arial"/>
                <w:sz w:val="21"/>
                <w:szCs w:val="21"/>
                <w:lang w:eastAsia="zh-CN"/>
              </w:rPr>
              <w:t xml:space="preserve">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B20DCA"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8EE81B0"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31C2F4A" w14:textId="0D5D2203" w:rsidR="00B20DCA" w:rsidRPr="00956A54" w:rsidRDefault="00B20DCA" w:rsidP="0001249E">
            <w:pPr>
              <w:pStyle w:val="TAC"/>
              <w:spacing w:before="20" w:after="20"/>
              <w:ind w:left="57" w:right="57"/>
              <w:jc w:val="left"/>
              <w:rPr>
                <w:rFonts w:cs="Arial"/>
                <w:sz w:val="21"/>
                <w:szCs w:val="21"/>
                <w:lang w:eastAsia="zh-CN"/>
              </w:rPr>
            </w:pP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w:t>
            </w:r>
            <w:r>
              <w:rPr>
                <w:rFonts w:cs="Arial"/>
                <w:sz w:val="21"/>
                <w:szCs w:val="21"/>
                <w:lang w:eastAsia="zh-CN"/>
              </w:rPr>
              <w:t>llowing</w:t>
            </w:r>
            <w:r>
              <w:rPr>
                <w:rFonts w:cs="Arial"/>
                <w:sz w:val="21"/>
                <w:szCs w:val="21"/>
                <w:lang w:eastAsia="zh-CN"/>
              </w:rPr>
              <w:t xml:space="preserve"> RX-centric approach</w:t>
            </w:r>
            <w:r>
              <w:rPr>
                <w:rFonts w:cs="Arial"/>
                <w:sz w:val="21"/>
                <w:szCs w:val="21"/>
                <w:lang w:eastAsia="zh-CN"/>
              </w:rPr>
              <w:t xml:space="preserve"> for DRX configuration</w:t>
            </w:r>
            <w:r>
              <w:rPr>
                <w:rFonts w:cs="Arial"/>
                <w:sz w:val="21"/>
                <w:szCs w:val="21"/>
                <w:lang w:eastAsia="zh-CN"/>
              </w:rPr>
              <w:t xml:space="preserve"> may help to solve the problem better than the remedy provided </w:t>
            </w:r>
            <w:r>
              <w:rPr>
                <w:rFonts w:cs="Arial"/>
                <w:sz w:val="21"/>
                <w:szCs w:val="21"/>
                <w:lang w:eastAsia="zh-CN"/>
              </w:rPr>
              <w:t>by</w:t>
            </w:r>
            <w:r>
              <w:rPr>
                <w:rFonts w:cs="Arial"/>
                <w:sz w:val="21"/>
                <w:szCs w:val="21"/>
                <w:lang w:eastAsia="zh-CN"/>
              </w:rPr>
              <w:t xml:space="preserve"> resume/suspend. </w:t>
            </w:r>
            <w:r>
              <w:rPr>
                <w:rFonts w:cs="Arial"/>
                <w:sz w:val="21"/>
                <w:szCs w:val="21"/>
                <w:lang w:eastAsia="zh-CN"/>
              </w:rPr>
              <w:t>Maybe we can revisit this issue in R18 and check how to solve it in a best way.</w:t>
            </w:r>
          </w:p>
        </w:tc>
      </w:tr>
      <w:tr w:rsidR="00B20DCA"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3BF4096"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B1D75D6" w14:textId="77777777" w:rsidR="00B20DCA" w:rsidRPr="00956A54" w:rsidRDefault="00B20DCA" w:rsidP="0001249E">
            <w:pPr>
              <w:pStyle w:val="TAC"/>
              <w:spacing w:before="20" w:after="20"/>
              <w:ind w:left="57" w:right="57"/>
              <w:jc w:val="left"/>
              <w:rPr>
                <w:rFonts w:cs="Arial"/>
                <w:sz w:val="21"/>
                <w:szCs w:val="21"/>
                <w:lang w:eastAsia="zh-CN"/>
              </w:rPr>
            </w:pP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 xml:space="preserve">If the answer </w:t>
      </w:r>
      <w:proofErr w:type="gramStart"/>
      <w:r w:rsidR="0099164E" w:rsidRPr="004C56B1">
        <w:rPr>
          <w:rFonts w:ascii="Arial" w:eastAsiaTheme="minorEastAsia" w:hAnsi="Arial" w:cs="Arial"/>
          <w:sz w:val="21"/>
          <w:szCs w:val="21"/>
          <w:lang w:eastAsia="ja-JP"/>
        </w:rPr>
        <w:t>of</w:t>
      </w:r>
      <w:proofErr w:type="gramEnd"/>
      <w:r w:rsidR="0099164E" w:rsidRPr="004C56B1">
        <w:rPr>
          <w:rFonts w:ascii="Arial" w:eastAsiaTheme="minorEastAsia" w:hAnsi="Arial" w:cs="Arial"/>
          <w:sz w:val="21"/>
          <w:szCs w:val="21"/>
          <w:lang w:eastAsia="ja-JP"/>
        </w:rPr>
        <w:t xml:space="preserve">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627D93E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5444D63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2EDD101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01249E">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Heading2"/>
      </w:pPr>
      <w:r w:rsidRPr="00956A54">
        <w:rPr>
          <w:lang w:eastAsia="zh-CN"/>
        </w:rPr>
        <w:t>3</w:t>
      </w:r>
      <w:r w:rsidRPr="00956A54">
        <w:t>.</w:t>
      </w:r>
      <w:r w:rsidR="006C672B" w:rsidRPr="00956A54">
        <w:rPr>
          <w:lang w:eastAsia="zh-CN"/>
        </w:rPr>
        <w:t>2</w:t>
      </w:r>
      <w:r w:rsidRPr="00956A54">
        <w:tab/>
      </w:r>
      <w:hyperlink r:id="rId19" w:history="1">
        <w:r w:rsidR="002749E2" w:rsidRPr="00956A54">
          <w:rPr>
            <w:rStyle w:val="Hyperlink"/>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Heading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Heading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lastRenderedPageBreak/>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01249E">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01249E">
            <w:pPr>
              <w:pStyle w:val="TAC"/>
              <w:spacing w:before="20" w:after="20"/>
              <w:ind w:left="57" w:right="57"/>
              <w:jc w:val="left"/>
              <w:rPr>
                <w:rFonts w:cs="Arial"/>
                <w:sz w:val="21"/>
                <w:szCs w:val="21"/>
                <w:lang w:eastAsia="zh-CN"/>
              </w:rPr>
            </w:pPr>
          </w:p>
          <w:p w14:paraId="4619D3E5" w14:textId="4EB21799" w:rsidR="0099164E"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01249E">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99164E" w:rsidRPr="00956A54" w14:paraId="3A7140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A62FC57"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2776BDA" w14:textId="77777777" w:rsidR="0099164E" w:rsidRPr="00956A54" w:rsidRDefault="0099164E" w:rsidP="0001249E">
            <w:pPr>
              <w:pStyle w:val="TAC"/>
              <w:spacing w:before="20" w:after="20"/>
              <w:ind w:left="57" w:right="57"/>
              <w:jc w:val="left"/>
              <w:rPr>
                <w:rFonts w:cs="Arial"/>
                <w:sz w:val="21"/>
                <w:szCs w:val="21"/>
                <w:lang w:eastAsia="zh-CN"/>
              </w:rPr>
            </w:pP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Heading2"/>
      </w:pPr>
      <w:r w:rsidRPr="00956A54">
        <w:rPr>
          <w:lang w:eastAsia="zh-CN"/>
        </w:rPr>
        <w:t>3</w:t>
      </w:r>
      <w:r w:rsidRPr="00956A54">
        <w:t>.</w:t>
      </w:r>
      <w:r w:rsidR="006C672B" w:rsidRPr="00956A54">
        <w:rPr>
          <w:lang w:eastAsia="zh-CN"/>
        </w:rPr>
        <w:t>3</w:t>
      </w:r>
      <w:r w:rsidRPr="00956A54">
        <w:tab/>
      </w:r>
      <w:hyperlink r:id="rId22" w:history="1">
        <w:r w:rsidR="002749E2" w:rsidRPr="00956A54">
          <w:rPr>
            <w:rStyle w:val="Hyperlink"/>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Heading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w:t>
      </w:r>
      <w:proofErr w:type="gramStart"/>
      <w:r w:rsidRPr="00956A54">
        <w:rPr>
          <w:rFonts w:ascii="Arial" w:hAnsi="Arial" w:cs="Arial"/>
          <w:sz w:val="21"/>
          <w:szCs w:val="21"/>
        </w:rPr>
        <w:t>e.g.</w:t>
      </w:r>
      <w:proofErr w:type="gramEnd"/>
      <w:r w:rsidRPr="00956A54">
        <w:rPr>
          <w:rFonts w:ascii="Arial" w:hAnsi="Arial" w:cs="Arial"/>
          <w:sz w:val="21"/>
          <w:szCs w:val="21"/>
        </w:rPr>
        <w:t xml:space="preserve">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56A54" w:rsidRPr="00956A54" w14:paraId="4058E20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956A54" w:rsidRPr="00956A54" w14:paraId="0DAE778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922ACA6"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2464ABF" w14:textId="77777777" w:rsidR="00956A54" w:rsidRPr="00956A54" w:rsidRDefault="00956A54" w:rsidP="0001249E">
            <w:pPr>
              <w:pStyle w:val="TAC"/>
              <w:spacing w:before="20" w:after="20"/>
              <w:ind w:left="57" w:right="57"/>
              <w:jc w:val="left"/>
              <w:rPr>
                <w:rFonts w:cs="Arial"/>
                <w:sz w:val="21"/>
                <w:szCs w:val="21"/>
                <w:lang w:eastAsia="zh-CN"/>
              </w:rPr>
            </w:pP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 xml:space="preserve">If the answer </w:t>
      </w:r>
      <w:proofErr w:type="gramStart"/>
      <w:r w:rsidR="00956A54" w:rsidRPr="004C56B1">
        <w:rPr>
          <w:rFonts w:ascii="Arial" w:eastAsiaTheme="minorEastAsia" w:hAnsi="Arial" w:cs="Arial"/>
          <w:sz w:val="21"/>
          <w:szCs w:val="21"/>
          <w:lang w:eastAsia="ja-JP"/>
        </w:rPr>
        <w:t>of</w:t>
      </w:r>
      <w:proofErr w:type="gramEnd"/>
      <w:r w:rsidR="00956A54" w:rsidRPr="004C56B1">
        <w:rPr>
          <w:rFonts w:ascii="Arial" w:eastAsiaTheme="minorEastAsia" w:hAnsi="Arial" w:cs="Arial"/>
          <w:sz w:val="21"/>
          <w:szCs w:val="21"/>
          <w:lang w:eastAsia="ja-JP"/>
        </w:rPr>
        <w:t xml:space="preserve">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01249E">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3B734CA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3506BFC0"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13E0E03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52C65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01249E">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01249E">
            <w:pPr>
              <w:pStyle w:val="TAC"/>
              <w:spacing w:before="20" w:after="20"/>
              <w:ind w:left="57" w:right="57"/>
              <w:jc w:val="left"/>
              <w:rPr>
                <w:rFonts w:cs="Arial"/>
                <w:sz w:val="21"/>
                <w:szCs w:val="21"/>
                <w:lang w:val="en-US" w:eastAsia="zh-CN"/>
              </w:rPr>
            </w:pPr>
          </w:p>
        </w:tc>
      </w:tr>
      <w:tr w:rsidR="00956A54" w:rsidRPr="00956A54" w14:paraId="40B9F02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1C0F58E8"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F99D8B9"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01249E">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Heading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Hyperlink"/>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Heading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lastRenderedPageBreak/>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SL groupcast may involve multiple sender and multiple </w:t>
      </w:r>
      <w:proofErr w:type="gramStart"/>
      <w:r w:rsidRPr="00956A54">
        <w:rPr>
          <w:rFonts w:ascii="Arial" w:hAnsi="Arial" w:cs="Arial"/>
          <w:sz w:val="21"/>
          <w:szCs w:val="21"/>
        </w:rPr>
        <w:t>receiver</w:t>
      </w:r>
      <w:proofErr w:type="gramEnd"/>
      <w:r w:rsidRPr="00956A54">
        <w:rPr>
          <w:rFonts w:ascii="Arial" w:hAnsi="Arial" w:cs="Arial"/>
          <w:sz w:val="21"/>
          <w:szCs w:val="21"/>
        </w:rPr>
        <w:t>,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240D35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C9C6140"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01249E">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943737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673B8DF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F73D737"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01249E">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lastRenderedPageBreak/>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01249E">
            <w:pPr>
              <w:pStyle w:val="TAC"/>
              <w:spacing w:before="20" w:after="20"/>
              <w:ind w:left="57" w:right="57"/>
              <w:jc w:val="left"/>
              <w:rPr>
                <w:rFonts w:cs="Arial"/>
                <w:sz w:val="21"/>
                <w:szCs w:val="21"/>
                <w:lang w:eastAsia="zh-CN"/>
              </w:rPr>
            </w:pPr>
          </w:p>
        </w:tc>
      </w:tr>
      <w:tr w:rsidR="00B404DA" w:rsidRPr="00956A54" w14:paraId="3CDC3EC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DE4910B"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49D2D36" w14:textId="77777777" w:rsidR="00B404DA" w:rsidRPr="00956A54" w:rsidRDefault="00B404DA" w:rsidP="0001249E">
            <w:pPr>
              <w:pStyle w:val="TAC"/>
              <w:spacing w:before="20" w:after="20"/>
              <w:ind w:left="57" w:right="57"/>
              <w:jc w:val="left"/>
              <w:rPr>
                <w:rFonts w:cs="Arial"/>
                <w:sz w:val="21"/>
                <w:szCs w:val="21"/>
                <w:lang w:eastAsia="zh-CN"/>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Heading2"/>
        <w:rPr>
          <w:lang w:eastAsia="ja-JP"/>
        </w:rPr>
      </w:pPr>
      <w:r>
        <w:rPr>
          <w:rFonts w:hint="eastAsia"/>
          <w:lang w:eastAsia="ja-JP"/>
        </w:rPr>
        <w:t xml:space="preserve">3.5 </w:t>
      </w:r>
      <w:hyperlink r:id="rId28" w:history="1">
        <w:r w:rsidRPr="00956A54">
          <w:rPr>
            <w:rStyle w:val="Hyperlink"/>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 xml:space="preserve">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w:t>
      </w:r>
      <w:proofErr w:type="gramStart"/>
      <w:r>
        <w:rPr>
          <w:rFonts w:eastAsiaTheme="minorEastAsia"/>
          <w:lang w:eastAsia="ko-KR"/>
        </w:rPr>
        <w:t>tries</w:t>
      </w:r>
      <w:proofErr w:type="gramEnd"/>
      <w:r>
        <w:rPr>
          <w:rFonts w:eastAsiaTheme="minorEastAsia"/>
          <w:lang w:eastAsia="ko-KR"/>
        </w:rPr>
        <w:t xml:space="preserve">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 xml:space="preserve">One of the </w:t>
      </w:r>
      <w:proofErr w:type="gramStart"/>
      <w:r>
        <w:rPr>
          <w:rFonts w:eastAsiaTheme="minorEastAsia"/>
          <w:lang w:eastAsia="ko-KR"/>
        </w:rPr>
        <w:t>solution</w:t>
      </w:r>
      <w:proofErr w:type="gramEnd"/>
      <w:r>
        <w:rPr>
          <w:rFonts w:eastAsiaTheme="minorEastAsia"/>
          <w:lang w:eastAsia="ko-KR"/>
        </w:rPr>
        <w:t xml:space="preserve">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11486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B002A5" w:rsidRPr="00956A54" w14:paraId="3A14C11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821CFD5"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42EFFB6" w14:textId="77777777" w:rsidR="00B002A5" w:rsidRPr="00956A54" w:rsidRDefault="00B002A5" w:rsidP="0001249E">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lastRenderedPageBreak/>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 xml:space="preserve">P12 to discuss the solution to avoid the wrong HARQ combining due to DTX case in SL DRX operation? If the answer is “yes”, please also </w:t>
      </w:r>
      <w:proofErr w:type="gramStart"/>
      <w:r w:rsidRPr="00BD6350">
        <w:rPr>
          <w:rFonts w:ascii="Arial" w:eastAsiaTheme="minorEastAsia" w:hAnsi="Arial" w:cs="Arial"/>
          <w:sz w:val="21"/>
          <w:szCs w:val="21"/>
          <w:lang w:eastAsia="ja-JP"/>
        </w:rPr>
        <w:t>provide</w:t>
      </w:r>
      <w:proofErr w:type="gramEnd"/>
      <w:r w:rsidRPr="00BD6350">
        <w:rPr>
          <w:rFonts w:ascii="Arial" w:eastAsiaTheme="minorEastAsia" w:hAnsi="Arial" w:cs="Arial"/>
          <w:sz w:val="21"/>
          <w:szCs w:val="21"/>
          <w:lang w:eastAsia="ja-JP"/>
        </w:rPr>
        <w:t xml:space="preserv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70E1B2D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01249E">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01249E">
            <w:pPr>
              <w:pStyle w:val="TAC"/>
              <w:spacing w:before="20" w:after="20"/>
              <w:ind w:left="57" w:right="57"/>
              <w:jc w:val="left"/>
              <w:rPr>
                <w:rFonts w:cs="Arial"/>
                <w:sz w:val="21"/>
                <w:szCs w:val="21"/>
                <w:lang w:eastAsia="zh-CN"/>
              </w:rPr>
            </w:pPr>
          </w:p>
          <w:p w14:paraId="1D08AE07" w14:textId="4B5CBD24" w:rsidR="00CA675F"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01249E">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6F287090" w:rsidR="00285137"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BD6350" w:rsidRPr="00956A54" w14:paraId="14467EE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E5CE2BF"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C73746F" w14:textId="77777777" w:rsidR="00BD6350" w:rsidRPr="00956A54" w:rsidRDefault="00BD6350" w:rsidP="0001249E">
            <w:pPr>
              <w:pStyle w:val="TAC"/>
              <w:spacing w:before="20" w:after="20"/>
              <w:ind w:left="57" w:right="57"/>
              <w:jc w:val="left"/>
              <w:rPr>
                <w:rFonts w:cs="Arial"/>
                <w:sz w:val="21"/>
                <w:szCs w:val="21"/>
                <w:lang w:eastAsia="zh-CN"/>
              </w:rPr>
            </w:pP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Heading2"/>
        <w:rPr>
          <w:lang w:eastAsia="ja-JP"/>
        </w:rPr>
      </w:pPr>
      <w:r>
        <w:rPr>
          <w:rFonts w:hint="eastAsia"/>
          <w:lang w:eastAsia="ja-JP"/>
        </w:rPr>
        <w:t xml:space="preserve">3.6 </w:t>
      </w:r>
      <w:hyperlink r:id="rId31" w:history="1">
        <w:r w:rsidRPr="00956A54">
          <w:rPr>
            <w:rStyle w:val="Hyperlink"/>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w:t>
      </w:r>
      <w:proofErr w:type="gramStart"/>
      <w:r>
        <w:rPr>
          <w:rFonts w:ascii="Eras Medium ITC" w:hAnsi="Eras Medium ITC" w:cs="Arial"/>
          <w:lang w:eastAsia="ko-KR"/>
        </w:rPr>
        <w:t>Otherwise</w:t>
      </w:r>
      <w:proofErr w:type="gramEnd"/>
      <w:r>
        <w:rPr>
          <w:rFonts w:ascii="Eras Medium ITC" w:hAnsi="Eras Medium ITC" w:cs="Arial"/>
          <w:lang w:eastAsia="ko-KR"/>
        </w:rPr>
        <w:t xml:space="preserv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01249E">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01249E">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01249E">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1EA6531"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838B23D" w14:textId="77777777" w:rsidR="00BD6350" w:rsidRPr="00956A54" w:rsidRDefault="00BD6350" w:rsidP="0001249E">
            <w:pPr>
              <w:pStyle w:val="TAC"/>
              <w:spacing w:before="20" w:after="20"/>
              <w:ind w:left="57" w:right="57"/>
              <w:jc w:val="left"/>
              <w:rPr>
                <w:rFonts w:cs="Arial"/>
                <w:sz w:val="21"/>
                <w:szCs w:val="21"/>
                <w:lang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Heading2"/>
        <w:rPr>
          <w:lang w:eastAsia="ja-JP"/>
        </w:rPr>
      </w:pPr>
      <w:r>
        <w:rPr>
          <w:lang w:eastAsia="ja-JP"/>
        </w:rPr>
        <w:t xml:space="preserve">3.7 </w:t>
      </w:r>
      <w:hyperlink r:id="rId34" w:history="1">
        <w:r w:rsidRPr="00956A54">
          <w:rPr>
            <w:rStyle w:val="Hyperlink"/>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Hyperlink"/>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Heading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w:t>
      </w:r>
      <w:proofErr w:type="gramStart"/>
      <w:r w:rsidRPr="006164D9">
        <w:rPr>
          <w:szCs w:val="22"/>
        </w:rPr>
        <w:t>On</w:t>
      </w:r>
      <w:proofErr w:type="gramEnd"/>
      <w:r w:rsidRPr="006164D9">
        <w:rPr>
          <w:szCs w:val="22"/>
        </w:rPr>
        <w:t xml:space="preserve">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ja-JP"/>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Caption"/>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w:t>
      </w:r>
      <w:proofErr w:type="gramStart"/>
      <w:r w:rsidRPr="006164D9">
        <w:rPr>
          <w:b/>
          <w:bCs/>
          <w:color w:val="000000" w:themeColor="text1"/>
          <w:sz w:val="22"/>
          <w:szCs w:val="22"/>
        </w:rPr>
        <w:t>On</w:t>
      </w:r>
      <w:proofErr w:type="gramEnd"/>
      <w:r w:rsidRPr="006164D9">
        <w:rPr>
          <w:b/>
          <w:bCs/>
          <w:color w:val="000000" w:themeColor="text1"/>
          <w:sz w:val="22"/>
          <w:szCs w:val="22"/>
        </w:rPr>
        <w:t xml:space="preserve">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lastRenderedPageBreak/>
        <w:t xml:space="preserve">Observation 1: An offset between SL TX UE’s </w:t>
      </w:r>
      <w:proofErr w:type="gramStart"/>
      <w:r w:rsidRPr="006164D9">
        <w:rPr>
          <w:rFonts w:eastAsia="Times New Roman"/>
          <w:b/>
          <w:bCs/>
          <w:i/>
          <w:iCs/>
          <w:color w:val="000000" w:themeColor="text1"/>
          <w:szCs w:val="22"/>
          <w:lang w:val="en-US" w:eastAsia="ja-JP"/>
        </w:rPr>
        <w:t>On</w:t>
      </w:r>
      <w:proofErr w:type="gramEnd"/>
      <w:r w:rsidRPr="006164D9">
        <w:rPr>
          <w:rFonts w:eastAsia="Times New Roman"/>
          <w:b/>
          <w:bCs/>
          <w:i/>
          <w:iCs/>
          <w:color w:val="000000" w:themeColor="text1"/>
          <w:szCs w:val="22"/>
          <w:lang w:val="en-US" w:eastAsia="ja-JP"/>
        </w:rPr>
        <w:t xml:space="preserve">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w:t>
      </w:r>
      <w:proofErr w:type="gramStart"/>
      <w:r w:rsidRPr="006164D9">
        <w:rPr>
          <w:color w:val="000000" w:themeColor="text1"/>
          <w:szCs w:val="22"/>
        </w:rPr>
        <w:t>On</w:t>
      </w:r>
      <w:proofErr w:type="gramEnd"/>
      <w:r w:rsidRPr="006164D9">
        <w:rPr>
          <w:color w:val="000000" w:themeColor="text1"/>
          <w:szCs w:val="22"/>
        </w:rPr>
        <w:t xml:space="preserve"> durations may not be overlapped and should be aligned with SL TX UE’s </w:t>
      </w:r>
      <w:bookmarkEnd w:id="5"/>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 xml:space="preserve">Useful information for SL TX UE’s gNB to determine an appropriate </w:t>
      </w:r>
      <w:proofErr w:type="gramStart"/>
      <w:r w:rsidRPr="006164D9">
        <w:rPr>
          <w:color w:val="000000" w:themeColor="text1"/>
          <w:szCs w:val="22"/>
        </w:rPr>
        <w:t>On</w:t>
      </w:r>
      <w:proofErr w:type="gramEnd"/>
      <w:r w:rsidRPr="006164D9">
        <w:rPr>
          <w:color w:val="000000" w:themeColor="text1"/>
          <w:szCs w:val="22"/>
        </w:rPr>
        <w:t xml:space="preserve">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 xml:space="preserve">Traffic characteristics: packet size may be used to determine the length of the </w:t>
      </w:r>
      <w:proofErr w:type="gramStart"/>
      <w:r w:rsidRPr="006164D9">
        <w:rPr>
          <w:color w:val="000000" w:themeColor="text1"/>
          <w:szCs w:val="22"/>
          <w:lang w:val="en-US"/>
        </w:rPr>
        <w:t>On</w:t>
      </w:r>
      <w:proofErr w:type="gramEnd"/>
      <w:r w:rsidRPr="006164D9">
        <w:rPr>
          <w:color w:val="000000" w:themeColor="text1"/>
          <w:szCs w:val="22"/>
          <w:lang w:val="en-US"/>
        </w:rPr>
        <w:t xml:space="preserve">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Hyperlink"/>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 xml:space="preserve">This is an optimization </w:t>
            </w:r>
            <w:proofErr w:type="gramStart"/>
            <w:r>
              <w:rPr>
                <w:rFonts w:cs="Arial"/>
                <w:sz w:val="21"/>
                <w:szCs w:val="21"/>
                <w:lang w:eastAsia="zh-CN"/>
              </w:rPr>
              <w:t>issue,</w:t>
            </w:r>
            <w:proofErr w:type="gramEnd"/>
            <w:r>
              <w:rPr>
                <w:rFonts w:cs="Arial"/>
                <w:sz w:val="21"/>
                <w:szCs w:val="21"/>
                <w:lang w:eastAsia="zh-CN"/>
              </w:rPr>
              <w:t xml:space="preserve"> the additional gain would be rather marginal.</w:t>
            </w:r>
          </w:p>
        </w:tc>
      </w:tr>
      <w:tr w:rsidR="00BD6350" w:rsidRPr="00956A54" w14:paraId="3454009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E023F5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744ADF1" w14:textId="77777777" w:rsidR="00BD6350" w:rsidRPr="00956A54" w:rsidRDefault="00BD6350" w:rsidP="0001249E">
            <w:pPr>
              <w:pStyle w:val="TAC"/>
              <w:spacing w:before="20" w:after="20"/>
              <w:ind w:left="57" w:right="57"/>
              <w:jc w:val="left"/>
              <w:rPr>
                <w:rFonts w:cs="Arial"/>
                <w:sz w:val="21"/>
                <w:szCs w:val="21"/>
                <w:lang w:eastAsia="zh-CN"/>
              </w:rPr>
            </w:pP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0124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D60F7" w:rsidRPr="00956A54" w14:paraId="38774DC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EAECCE4"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2F6FDE6" w14:textId="77777777" w:rsidR="007D60F7" w:rsidRPr="00956A54" w:rsidRDefault="007D60F7" w:rsidP="0001249E">
            <w:pPr>
              <w:pStyle w:val="TAC"/>
              <w:spacing w:before="20" w:after="20"/>
              <w:ind w:left="57" w:right="57"/>
              <w:jc w:val="left"/>
              <w:rPr>
                <w:rFonts w:cs="Arial"/>
                <w:sz w:val="21"/>
                <w:szCs w:val="21"/>
                <w:lang w:eastAsia="zh-CN"/>
              </w:rPr>
            </w:pP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Heading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Heading1"/>
      </w:pPr>
      <w:r>
        <w:rPr>
          <w:rFonts w:hint="eastAsia"/>
          <w:lang w:eastAsia="ja-JP"/>
        </w:rPr>
        <w:lastRenderedPageBreak/>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C7D6" w14:textId="77777777" w:rsidR="00B15F7F" w:rsidRDefault="00B15F7F" w:rsidP="00441FF5">
      <w:pPr>
        <w:spacing w:after="0"/>
      </w:pPr>
      <w:r>
        <w:separator/>
      </w:r>
    </w:p>
  </w:endnote>
  <w:endnote w:type="continuationSeparator" w:id="0">
    <w:p w14:paraId="7AD0B86B" w14:textId="77777777" w:rsidR="00B15F7F" w:rsidRDefault="00B15F7F"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Eras Medium ITC">
    <w:panose1 w:val="020B06020305040208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E4F2" w14:textId="77777777" w:rsidR="00B15F7F" w:rsidRDefault="00B15F7F" w:rsidP="00441FF5">
      <w:pPr>
        <w:spacing w:after="0"/>
      </w:pPr>
      <w:r>
        <w:separator/>
      </w:r>
    </w:p>
  </w:footnote>
  <w:footnote w:type="continuationSeparator" w:id="0">
    <w:p w14:paraId="73466F1B" w14:textId="77777777" w:rsidR="00B15F7F" w:rsidRDefault="00B15F7F"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D79F3"/>
    <w:rsid w:val="002E03B2"/>
    <w:rsid w:val="002E1F75"/>
    <w:rsid w:val="002E2787"/>
    <w:rsid w:val="002E2B63"/>
    <w:rsid w:val="002E327F"/>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0E1B"/>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DBC"/>
    <w:rsid w:val="006F6A2C"/>
    <w:rsid w:val="0070149B"/>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6760"/>
    <w:rsid w:val="00BA73F2"/>
    <w:rsid w:val="00BB0A7C"/>
    <w:rsid w:val="00BB1D0B"/>
    <w:rsid w:val="00BB72CB"/>
    <w:rsid w:val="00BC3555"/>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5C40"/>
    <w:rsid w:val="00F37743"/>
    <w:rsid w:val="00F448BF"/>
    <w:rsid w:val="00F467A6"/>
    <w:rsid w:val="00F47920"/>
    <w:rsid w:val="00F51608"/>
    <w:rsid w:val="00F5390C"/>
    <w:rsid w:val="00F53D97"/>
    <w:rsid w:val="00F54A3D"/>
    <w:rsid w:val="00F54CB0"/>
    <w:rsid w:val="00F579CD"/>
    <w:rsid w:val="00F60403"/>
    <w:rsid w:val="00F62491"/>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목록 단락,列出段落,列表段落,列表段落1"/>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BodyText"/>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Normal"/>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A72167"/>
    <w:rPr>
      <w:lang w:val="en-GB" w:eastAsia="en-US"/>
    </w:rPr>
  </w:style>
  <w:style w:type="paragraph" w:styleId="Caption">
    <w:name w:val="caption"/>
    <w:basedOn w:val="Normal"/>
    <w:next w:val="Normal"/>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theme" Target="theme/theme1.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5276</Words>
  <Characters>25750</Characters>
  <Application>Microsoft Office Word</Application>
  <DocSecurity>0</DocSecurity>
  <Lines>495</Lines>
  <Paragraphs>220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2021-11-03T18:08:00Z</dcterms:created>
  <dcterms:modified xsi:type="dcterms:W3CDTF">2021-11-04T00:51:00Z</dcterms:modified>
</cp:coreProperties>
</file>