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2F64E" w14:textId="701F8644" w:rsidR="00824529" w:rsidRDefault="00B51E26" w:rsidP="00824529">
      <w:pPr>
        <w:pStyle w:val="a3"/>
        <w:tabs>
          <w:tab w:val="right" w:pos="9639"/>
        </w:tabs>
        <w:jc w:val="both"/>
        <w:rPr>
          <w:rFonts w:cs="Arial"/>
          <w:sz w:val="24"/>
          <w:lang w:eastAsia="zh-CN"/>
        </w:rPr>
      </w:pPr>
      <w:r>
        <w:rPr>
          <w:rFonts w:cs="Arial"/>
          <w:sz w:val="24"/>
          <w:lang w:eastAsia="zh-CN"/>
        </w:rPr>
        <w:t>3GPP TSG-RAN WG2 Meeting #</w:t>
      </w:r>
      <w:r w:rsidR="003C4A06">
        <w:rPr>
          <w:rFonts w:cs="Arial"/>
          <w:sz w:val="24"/>
          <w:lang w:eastAsia="zh-CN"/>
        </w:rPr>
        <w:t>11</w:t>
      </w:r>
      <w:r w:rsidR="00966A7C">
        <w:rPr>
          <w:rFonts w:cs="Arial"/>
          <w:sz w:val="24"/>
          <w:lang w:eastAsia="zh-CN"/>
        </w:rPr>
        <w:t>6</w:t>
      </w:r>
      <w:r w:rsidR="003C4A06">
        <w:rPr>
          <w:rFonts w:cs="Arial"/>
          <w:sz w:val="24"/>
          <w:lang w:eastAsia="zh-CN"/>
        </w:rPr>
        <w:t xml:space="preserve"> </w:t>
      </w:r>
      <w:r w:rsidR="00D10DF1" w:rsidRPr="00D10DF1">
        <w:rPr>
          <w:rFonts w:cs="Arial"/>
          <w:sz w:val="24"/>
          <w:lang w:eastAsia="zh-CN"/>
        </w:rPr>
        <w:t>electronic</w:t>
      </w:r>
      <w:r>
        <w:rPr>
          <w:rFonts w:cs="Arial"/>
          <w:sz w:val="24"/>
          <w:lang w:eastAsia="zh-CN"/>
        </w:rPr>
        <w:tab/>
      </w:r>
      <w:r w:rsidR="00797C98" w:rsidRPr="00797C98">
        <w:rPr>
          <w:rFonts w:cs="Arial"/>
          <w:sz w:val="24"/>
          <w:lang w:eastAsia="zh-CN"/>
        </w:rPr>
        <w:t>R2-</w:t>
      </w:r>
      <w:r w:rsidR="00A95C53" w:rsidRPr="00A95C53">
        <w:t xml:space="preserve"> </w:t>
      </w:r>
      <w:r w:rsidR="005B73F5" w:rsidRPr="005B73F5">
        <w:rPr>
          <w:rFonts w:cs="Arial"/>
          <w:sz w:val="24"/>
          <w:lang w:eastAsia="zh-CN"/>
        </w:rPr>
        <w:t>2110330</w:t>
      </w:r>
    </w:p>
    <w:p w14:paraId="194FD871" w14:textId="661E6127" w:rsidR="00824529" w:rsidRDefault="006120E9" w:rsidP="00824529">
      <w:pPr>
        <w:pStyle w:val="a3"/>
        <w:tabs>
          <w:tab w:val="right" w:pos="9639"/>
        </w:tabs>
        <w:jc w:val="both"/>
        <w:rPr>
          <w:rFonts w:cs="Arial"/>
          <w:sz w:val="24"/>
          <w:lang w:eastAsia="zh-CN"/>
        </w:rPr>
      </w:pPr>
      <w:r w:rsidRPr="00C74D81">
        <w:rPr>
          <w:rFonts w:cs="Arial"/>
          <w:sz w:val="24"/>
          <w:lang w:eastAsia="zh-CN"/>
        </w:rPr>
        <w:t xml:space="preserve">Online, </w:t>
      </w:r>
      <w:r w:rsidR="00C74D81">
        <w:rPr>
          <w:rFonts w:cs="Arial"/>
          <w:sz w:val="24"/>
          <w:lang w:eastAsia="zh-CN"/>
        </w:rPr>
        <w:t>November</w:t>
      </w:r>
      <w:r w:rsidR="00C74D81" w:rsidRPr="00C74D81">
        <w:rPr>
          <w:rFonts w:cs="Arial"/>
          <w:sz w:val="24"/>
          <w:lang w:eastAsia="zh-CN"/>
        </w:rPr>
        <w:t xml:space="preserve"> </w:t>
      </w:r>
      <w:r w:rsidRPr="00C74D81">
        <w:rPr>
          <w:rFonts w:cs="Arial"/>
          <w:sz w:val="24"/>
          <w:lang w:eastAsia="zh-CN"/>
        </w:rPr>
        <w:t>1</w:t>
      </w:r>
      <w:r w:rsidR="00C74D81" w:rsidRPr="00C74D81">
        <w:rPr>
          <w:rFonts w:cs="Arial"/>
          <w:sz w:val="24"/>
          <w:vertAlign w:val="superscript"/>
          <w:lang w:eastAsia="zh-CN"/>
        </w:rPr>
        <w:t>st</w:t>
      </w:r>
      <w:r w:rsidRPr="00C74D81">
        <w:rPr>
          <w:rFonts w:cs="Arial"/>
          <w:sz w:val="24"/>
          <w:lang w:eastAsia="zh-CN"/>
        </w:rPr>
        <w:t xml:space="preserve"> – </w:t>
      </w:r>
      <w:r w:rsidR="00C74D81">
        <w:rPr>
          <w:rFonts w:cs="Arial"/>
          <w:sz w:val="24"/>
          <w:lang w:eastAsia="zh-CN"/>
        </w:rPr>
        <w:t>November</w:t>
      </w:r>
      <w:r w:rsidR="00C74D81" w:rsidRPr="00C74D81">
        <w:rPr>
          <w:rFonts w:cs="Arial"/>
          <w:sz w:val="24"/>
          <w:lang w:eastAsia="zh-CN"/>
        </w:rPr>
        <w:t xml:space="preserve"> </w:t>
      </w:r>
      <w:r w:rsidR="00C74D81">
        <w:rPr>
          <w:rFonts w:cs="Arial"/>
          <w:sz w:val="24"/>
          <w:lang w:eastAsia="zh-CN"/>
        </w:rPr>
        <w:t>1</w:t>
      </w:r>
      <w:r w:rsidRPr="00C74D81">
        <w:rPr>
          <w:rFonts w:cs="Arial"/>
          <w:sz w:val="24"/>
          <w:lang w:eastAsia="zh-CN"/>
        </w:rPr>
        <w:t>2</w:t>
      </w:r>
      <w:r w:rsidR="00C74D81" w:rsidRPr="00C74D81">
        <w:rPr>
          <w:rFonts w:cs="Arial"/>
          <w:sz w:val="24"/>
          <w:vertAlign w:val="superscript"/>
          <w:lang w:eastAsia="zh-CN"/>
        </w:rPr>
        <w:t>th</w:t>
      </w:r>
      <w:r w:rsidR="00D075F0" w:rsidRPr="00C74D81">
        <w:rPr>
          <w:rFonts w:cs="Arial"/>
          <w:sz w:val="24"/>
          <w:lang w:eastAsia="zh-CN"/>
        </w:rPr>
        <w:t>, 202</w:t>
      </w:r>
      <w:r w:rsidR="000517ED" w:rsidRPr="00C74D81">
        <w:rPr>
          <w:rFonts w:cs="Arial"/>
          <w:sz w:val="24"/>
          <w:lang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37C3E4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5B1979">
        <w:rPr>
          <w:rFonts w:eastAsia="宋体" w:cs="Arial"/>
          <w:b/>
          <w:bCs/>
          <w:kern w:val="2"/>
          <w:sz w:val="24"/>
          <w:szCs w:val="22"/>
          <w:lang w:val="en-US" w:eastAsia="zh-CN"/>
        </w:rPr>
        <w:t>4</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0D00E04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OLE_LINK34"/>
      <w:bookmarkStart w:id="5" w:name="OLE_LINK35"/>
      <w:r w:rsidR="000F1C67" w:rsidRPr="000F1C67">
        <w:rPr>
          <w:rFonts w:ascii="Arial" w:hAnsi="Arial" w:cs="Arial"/>
          <w:b/>
          <w:bCs/>
          <w:sz w:val="24"/>
        </w:rPr>
        <w:t xml:space="preserve">Analysis on </w:t>
      </w:r>
      <w:r w:rsidR="000517ED">
        <w:rPr>
          <w:rFonts w:ascii="Arial" w:hAnsi="Arial" w:cs="Arial"/>
          <w:b/>
          <w:bCs/>
          <w:sz w:val="24"/>
        </w:rPr>
        <w:t xml:space="preserve">open issues of </w:t>
      </w:r>
      <w:r w:rsidR="000F1C67" w:rsidRPr="000F1C67">
        <w:rPr>
          <w:rFonts w:ascii="Arial" w:hAnsi="Arial" w:cs="Arial"/>
          <w:b/>
          <w:bCs/>
          <w:sz w:val="24"/>
        </w:rPr>
        <w:t xml:space="preserve">RA </w:t>
      </w:r>
      <w:r w:rsidR="000517ED">
        <w:rPr>
          <w:rFonts w:ascii="Arial" w:hAnsi="Arial" w:cs="Arial"/>
          <w:b/>
          <w:bCs/>
          <w:sz w:val="24"/>
        </w:rPr>
        <w:t>based SDT</w:t>
      </w:r>
      <w:bookmarkEnd w:id="4"/>
      <w:bookmarkEnd w:id="5"/>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8C77B76" w14:textId="3691BDEC" w:rsidR="00A83F16" w:rsidRDefault="00A83F16" w:rsidP="00A83F16">
      <w:pPr>
        <w:rPr>
          <w:rFonts w:ascii="Times New Roman" w:eastAsia="等线" w:hAnsi="Times New Roman"/>
          <w:sz w:val="20"/>
          <w:szCs w:val="20"/>
        </w:rPr>
      </w:pPr>
      <w:r>
        <w:rPr>
          <w:rFonts w:ascii="Times New Roman" w:eastAsia="等线" w:hAnsi="Times New Roman"/>
          <w:sz w:val="20"/>
          <w:szCs w:val="20"/>
        </w:rPr>
        <w:t>A TA timer was introduced for CG based SDT during the discussion.</w:t>
      </w:r>
    </w:p>
    <w:p w14:paraId="27D83682" w14:textId="77777777" w:rsidR="00A83F16" w:rsidRPr="003B166A" w:rsidRDefault="00A83F16" w:rsidP="00A83F16">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3B166A">
        <w:rPr>
          <w:rFonts w:ascii="Arial" w:eastAsia="MS Mincho" w:hAnsi="Arial"/>
          <w:b/>
          <w:bCs/>
          <w:kern w:val="0"/>
          <w:sz w:val="20"/>
          <w:szCs w:val="24"/>
          <w:lang w:val="en-GB" w:eastAsia="en-GB"/>
        </w:rPr>
        <w:t>Agreements:</w:t>
      </w:r>
    </w:p>
    <w:p w14:paraId="405D5C62" w14:textId="5348B093" w:rsidR="00C56F42" w:rsidRPr="00C56F42" w:rsidRDefault="00C56F42" w:rsidP="00C74D81">
      <w:pPr>
        <w:widowControl/>
        <w:pBdr>
          <w:top w:val="single" w:sz="4" w:space="1" w:color="auto"/>
          <w:left w:val="single" w:sz="4" w:space="4" w:color="auto"/>
          <w:bottom w:val="single" w:sz="4" w:space="1" w:color="auto"/>
          <w:right w:val="single" w:sz="4" w:space="4" w:color="auto"/>
        </w:pBdr>
        <w:tabs>
          <w:tab w:val="left" w:pos="1622"/>
        </w:tabs>
        <w:spacing w:before="40"/>
        <w:ind w:left="1259"/>
        <w:jc w:val="left"/>
        <w:rPr>
          <w:rFonts w:ascii="Arial" w:eastAsia="MS Mincho" w:hAnsi="Arial"/>
          <w:kern w:val="0"/>
          <w:sz w:val="20"/>
          <w:szCs w:val="24"/>
          <w:lang w:val="en-GB" w:eastAsia="en-GB"/>
        </w:rPr>
      </w:pPr>
      <w:r w:rsidRPr="00C56F42">
        <w:rPr>
          <w:rFonts w:ascii="Arial" w:eastAsia="MS Mincho" w:hAnsi="Arial"/>
          <w:kern w:val="0"/>
          <w:sz w:val="20"/>
          <w:szCs w:val="24"/>
          <w:lang w:val="en-GB" w:eastAsia="en-GB"/>
        </w:rPr>
        <w:t>8.</w:t>
      </w:r>
      <w:r w:rsidRPr="00C56F42">
        <w:rPr>
          <w:rFonts w:ascii="Arial" w:eastAsia="MS Mincho" w:hAnsi="Arial"/>
          <w:kern w:val="0"/>
          <w:sz w:val="20"/>
          <w:szCs w:val="24"/>
          <w:lang w:val="en-GB" w:eastAsia="en-GB"/>
        </w:rPr>
        <w:tab/>
        <w:t>From RAN2 perspective, at least the following parameters should be included in the CG-SDT configuration. FFS whether these parameters are common for multiple CG-SDT configurations or per CG-SDT configuration.</w:t>
      </w:r>
    </w:p>
    <w:p w14:paraId="58ADF4EA" w14:textId="77777777"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new TA timer in RRC_INACTIVE;</w:t>
      </w:r>
    </w:p>
    <w:p w14:paraId="2499A2A1" w14:textId="77777777"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RSRP change threshold for TA validation mechanism in SDT (details dependent on RAN1);</w:t>
      </w:r>
    </w:p>
    <w:p w14:paraId="66FD1476" w14:textId="3500CA5D" w:rsidR="00C56F42" w:rsidRPr="00C74D81" w:rsidRDefault="00C56F42" w:rsidP="00C74D81">
      <w:pPr>
        <w:pStyle w:val="a6"/>
        <w:numPr>
          <w:ilvl w:val="0"/>
          <w:numId w:val="30"/>
        </w:numPr>
        <w:pBdr>
          <w:top w:val="single" w:sz="4" w:space="1" w:color="auto"/>
          <w:left w:val="single" w:sz="4" w:space="4" w:color="auto"/>
          <w:bottom w:val="single" w:sz="4" w:space="1" w:color="auto"/>
          <w:right w:val="single" w:sz="4" w:space="4" w:color="auto"/>
        </w:pBdr>
        <w:tabs>
          <w:tab w:val="left" w:pos="1622"/>
        </w:tabs>
        <w:spacing w:before="40"/>
        <w:ind w:firstLineChars="0"/>
        <w:rPr>
          <w:rFonts w:ascii="Arial" w:eastAsia="MS Mincho" w:hAnsi="Arial"/>
          <w:szCs w:val="24"/>
          <w:lang w:eastAsia="en-GB"/>
        </w:rPr>
      </w:pPr>
      <w:r w:rsidRPr="00C74D81">
        <w:rPr>
          <w:rFonts w:ascii="Arial" w:eastAsia="MS Mincho" w:hAnsi="Arial"/>
          <w:szCs w:val="24"/>
          <w:lang w:eastAsia="en-GB"/>
        </w:rPr>
        <w:t>The SSB RSRP threshold for beam selection (i.e. UE selects the beam and associated CG resource for data transmission).</w:t>
      </w:r>
    </w:p>
    <w:p w14:paraId="46A11512" w14:textId="4752B22B" w:rsidR="00661841" w:rsidRDefault="00A83F16" w:rsidP="009639EB">
      <w:pPr>
        <w:rPr>
          <w:rFonts w:ascii="Times New Roman" w:eastAsia="等线" w:hAnsi="Times New Roman"/>
          <w:sz w:val="20"/>
          <w:szCs w:val="20"/>
        </w:rPr>
      </w:pPr>
      <w:r>
        <w:rPr>
          <w:rFonts w:ascii="Times New Roman" w:eastAsia="等线" w:hAnsi="Times New Roman"/>
          <w:sz w:val="20"/>
          <w:szCs w:val="20"/>
          <w:lang w:val="en-GB"/>
        </w:rPr>
        <w:t>And i</w:t>
      </w:r>
      <w:r w:rsidR="000D2D17">
        <w:rPr>
          <w:rFonts w:ascii="Times New Roman" w:eastAsia="等线" w:hAnsi="Times New Roman"/>
          <w:sz w:val="20"/>
          <w:szCs w:val="20"/>
        </w:rPr>
        <w:t xml:space="preserve">n </w:t>
      </w:r>
      <w:r w:rsidR="00661841">
        <w:rPr>
          <w:rFonts w:ascii="Times New Roman" w:eastAsia="等线" w:hAnsi="Times New Roman"/>
          <w:sz w:val="20"/>
          <w:szCs w:val="20"/>
        </w:rPr>
        <w:t>RAN2#11</w:t>
      </w:r>
      <w:r w:rsidR="009639EB">
        <w:rPr>
          <w:rFonts w:ascii="Times New Roman" w:eastAsia="等线" w:hAnsi="Times New Roman"/>
          <w:sz w:val="20"/>
          <w:szCs w:val="20"/>
        </w:rPr>
        <w:t>3</w:t>
      </w:r>
      <w:r w:rsidR="00661841">
        <w:rPr>
          <w:rFonts w:ascii="Times New Roman" w:eastAsia="等线" w:hAnsi="Times New Roman"/>
          <w:sz w:val="20"/>
          <w:szCs w:val="20"/>
        </w:rPr>
        <w:t xml:space="preserve">-e, some agreements on </w:t>
      </w:r>
      <w:r w:rsidR="000A7CA3" w:rsidRPr="004E7162">
        <w:rPr>
          <w:rFonts w:ascii="Times New Roman" w:eastAsia="等线" w:hAnsi="Times New Roman"/>
          <w:sz w:val="20"/>
          <w:szCs w:val="20"/>
        </w:rPr>
        <w:t>SDT vs non-SDT selection and switching</w:t>
      </w:r>
      <w:r w:rsidR="00661841">
        <w:rPr>
          <w:rFonts w:ascii="Times New Roman" w:eastAsia="等线" w:hAnsi="Times New Roman"/>
          <w:sz w:val="20"/>
          <w:szCs w:val="20"/>
        </w:rPr>
        <w:t xml:space="preserve"> were achieved.</w:t>
      </w:r>
    </w:p>
    <w:p w14:paraId="25BFFDAE" w14:textId="77777777" w:rsidR="00BB0F67" w:rsidRPr="00BB0F67" w:rsidRDefault="00BB0F67" w:rsidP="009639EB">
      <w:pPr>
        <w:rPr>
          <w:rFonts w:ascii="Times New Roman" w:eastAsia="等线" w:hAnsi="Times New Roman"/>
          <w:sz w:val="20"/>
          <w:szCs w:val="20"/>
        </w:rPr>
      </w:pPr>
    </w:p>
    <w:p w14:paraId="069CF402" w14:textId="4E49A567" w:rsidR="00BB0F67" w:rsidRDefault="00BB0F67" w:rsidP="00661841">
      <w:pPr>
        <w:pStyle w:val="Doc-text2"/>
        <w:pBdr>
          <w:top w:val="single" w:sz="4" w:space="1" w:color="auto"/>
          <w:left w:val="single" w:sz="4" w:space="4" w:color="auto"/>
          <w:bottom w:val="single" w:sz="4" w:space="1" w:color="auto"/>
          <w:right w:val="single" w:sz="4" w:space="4" w:color="auto"/>
        </w:pBdr>
      </w:pPr>
    </w:p>
    <w:p w14:paraId="2AF32AD0"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9</w:t>
      </w:r>
      <w:r w:rsidRPr="00BB0F67">
        <w:rPr>
          <w:lang w:val="en-US"/>
        </w:rPr>
        <w:tab/>
        <w:t>Switching from SDT to non-SDT is supported.</w:t>
      </w:r>
    </w:p>
    <w:p w14:paraId="3633EFEA" w14:textId="77777777" w:rsid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p>
    <w:p w14:paraId="17AC2D42" w14:textId="365D5934"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11</w:t>
      </w:r>
      <w:r w:rsidRPr="00BB0F67">
        <w:rPr>
          <w:lang w:val="en-US"/>
        </w:rPr>
        <w:tab/>
        <w:t>UE switches from SDT to non-SDT in following cases:</w:t>
      </w:r>
    </w:p>
    <w:p w14:paraId="4350EEBB"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t xml:space="preserve">Case 1 (27/0): UE receive indication from network to switch to non-SDT procedure. </w:t>
      </w:r>
    </w:p>
    <w:p w14:paraId="12E346CA" w14:textId="77777777" w:rsidR="00BB0F67" w:rsidRPr="00BB0F67"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r>
      <w:r w:rsidRPr="00BB0F67">
        <w:rPr>
          <w:lang w:val="en-US"/>
        </w:rPr>
        <w:tab/>
        <w:t>Network can send RRCResume. FFS whether network can send indication in RAR/fallbackRAR/DCI to switch to non-SDT procedure.</w:t>
      </w:r>
    </w:p>
    <w:p w14:paraId="7A5B2E7D" w14:textId="341F7878" w:rsidR="00BB0F67" w:rsidRPr="00C74D81" w:rsidRDefault="00BB0F67" w:rsidP="00BB0F67">
      <w:pPr>
        <w:pStyle w:val="Doc-text2"/>
        <w:pBdr>
          <w:top w:val="single" w:sz="4" w:space="1" w:color="auto"/>
          <w:left w:val="single" w:sz="4" w:space="4" w:color="auto"/>
          <w:bottom w:val="single" w:sz="4" w:space="1" w:color="auto"/>
          <w:right w:val="single" w:sz="4" w:space="4" w:color="auto"/>
        </w:pBdr>
        <w:rPr>
          <w:lang w:val="en-US"/>
        </w:rPr>
      </w:pPr>
      <w:r w:rsidRPr="00BB0F67">
        <w:rPr>
          <w:lang w:val="en-US"/>
        </w:rPr>
        <w:t>-</w:t>
      </w:r>
      <w:r w:rsidRPr="00BB0F67">
        <w:rPr>
          <w:lang w:val="en-US"/>
        </w:rPr>
        <w:tab/>
        <w:t>FFS Case 2 (18/9): Initial UL transmission (in msgA/Msg3/CG resources) fails configured number of times</w:t>
      </w:r>
    </w:p>
    <w:p w14:paraId="5A19C987" w14:textId="36F3E1AF" w:rsidR="00661841" w:rsidRDefault="00DD7F7F" w:rsidP="006D622B">
      <w:pPr>
        <w:rPr>
          <w:rFonts w:ascii="Times New Roman" w:eastAsia="等线" w:hAnsi="Times New Roman"/>
          <w:sz w:val="20"/>
          <w:szCs w:val="20"/>
        </w:rPr>
      </w:pPr>
      <w:r>
        <w:rPr>
          <w:rFonts w:ascii="Times New Roman" w:eastAsia="等线" w:hAnsi="Times New Roman"/>
          <w:sz w:val="20"/>
          <w:szCs w:val="20"/>
        </w:rPr>
        <w:t>In RAN2#115-e, some agreements on RACH based SDT were achieved.</w:t>
      </w:r>
    </w:p>
    <w:p w14:paraId="4525DAAE" w14:textId="1305D5D1" w:rsidR="00DD7F7F" w:rsidRPr="00C74D81" w:rsidRDefault="00552A4E" w:rsidP="006D622B">
      <w:pPr>
        <w:rPr>
          <w:rFonts w:ascii="Times New Roman" w:eastAsia="等线" w:hAnsi="Times New Roman"/>
          <w:sz w:val="20"/>
          <w:szCs w:val="20"/>
          <w:lang w:val="en-GB"/>
        </w:rPr>
      </w:pPr>
      <w:r w:rsidRPr="00552A4E">
        <w:rPr>
          <w:rFonts w:ascii="Times New Roman" w:eastAsia="等线" w:hAnsi="Times New Roman"/>
          <w:sz w:val="20"/>
          <w:szCs w:val="20"/>
          <w:lang w:val="en-GB"/>
        </w:rPr>
        <w:t>13.</w:t>
      </w:r>
      <w:r w:rsidRPr="00552A4E">
        <w:rPr>
          <w:rFonts w:ascii="Times New Roman" w:eastAsia="等线" w:hAnsi="Times New Roman"/>
          <w:sz w:val="20"/>
          <w:szCs w:val="20"/>
          <w:lang w:val="en-GB"/>
        </w:rPr>
        <w:tab/>
        <w:t>Switching from SDT to non-SDT via RAR/fallbackRAR/DCI sent by network is not supported for RA-SDT</w:t>
      </w:r>
    </w:p>
    <w:p w14:paraId="5F61E194" w14:textId="77777777" w:rsidR="00DD7F7F" w:rsidRDefault="00DD7F7F" w:rsidP="006D622B">
      <w:pPr>
        <w:rPr>
          <w:rFonts w:ascii="Times New Roman" w:eastAsia="等线" w:hAnsi="Times New Roman"/>
          <w:sz w:val="20"/>
          <w:szCs w:val="20"/>
        </w:rPr>
      </w:pPr>
    </w:p>
    <w:p w14:paraId="01AC9F7F" w14:textId="062F2AB4" w:rsidR="006D622B" w:rsidRPr="005B2B4D" w:rsidRDefault="00E6544C" w:rsidP="006D622B">
      <w:pPr>
        <w:rPr>
          <w:rFonts w:ascii="Times New Roman" w:hAnsi="Times New Roman"/>
          <w:sz w:val="20"/>
          <w:szCs w:val="20"/>
        </w:rPr>
      </w:pPr>
      <w:r>
        <w:rPr>
          <w:rFonts w:ascii="Times New Roman" w:eastAsia="等线" w:hAnsi="Times New Roman"/>
          <w:sz w:val="20"/>
          <w:szCs w:val="20"/>
        </w:rPr>
        <w:t xml:space="preserve">In order to support the </w:t>
      </w:r>
      <w:r w:rsidR="00EC586C">
        <w:rPr>
          <w:rFonts w:ascii="Times New Roman" w:eastAsia="等线" w:hAnsi="Times New Roman"/>
          <w:sz w:val="20"/>
          <w:szCs w:val="20"/>
        </w:rPr>
        <w:t>RACH based SDT better</w:t>
      </w:r>
      <w:r>
        <w:rPr>
          <w:rFonts w:ascii="Times New Roman" w:eastAsia="等线" w:hAnsi="Times New Roman"/>
          <w:sz w:val="20"/>
          <w:szCs w:val="20"/>
        </w:rPr>
        <w:t>, the related details are discussed in the contribution</w:t>
      </w:r>
      <w:r w:rsidR="00852DC5">
        <w:rPr>
          <w:rFonts w:ascii="Times New Roman" w:eastAsia="等线" w:hAnsi="Times New Roman"/>
          <w:sz w:val="20"/>
          <w:szCs w:val="20"/>
        </w:rPr>
        <w:t xml:space="preserve">. </w:t>
      </w:r>
    </w:p>
    <w:p w14:paraId="113BE729" w14:textId="59488C06" w:rsidR="00950E0E" w:rsidRPr="00EF0C31" w:rsidRDefault="001119B5" w:rsidP="009D6AD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4BF61576" w14:textId="1F8AC3BE" w:rsidR="00F31C14" w:rsidRPr="002A288B" w:rsidRDefault="00950E0E" w:rsidP="009D6ADC">
      <w:pPr>
        <w:rPr>
          <w:rFonts w:ascii="Times New Roman" w:hAnsi="Times New Roman"/>
          <w:b/>
          <w:i/>
          <w:sz w:val="22"/>
          <w:u w:val="single"/>
        </w:rPr>
      </w:pPr>
      <w:r w:rsidRPr="002A288B">
        <w:rPr>
          <w:rFonts w:ascii="Times New Roman" w:hAnsi="Times New Roman"/>
          <w:b/>
          <w:i/>
          <w:sz w:val="22"/>
          <w:u w:val="single"/>
        </w:rPr>
        <w:t>L</w:t>
      </w:r>
      <w:r w:rsidR="00A1422C" w:rsidRPr="002A288B">
        <w:rPr>
          <w:rFonts w:ascii="Times New Roman" w:hAnsi="Times New Roman"/>
          <w:b/>
          <w:i/>
          <w:sz w:val="22"/>
          <w:u w:val="single"/>
        </w:rPr>
        <w:t>ossless data transmission</w:t>
      </w:r>
    </w:p>
    <w:p w14:paraId="786AB91A" w14:textId="61F3607E" w:rsidR="00661841" w:rsidRPr="002A288B" w:rsidRDefault="00661841" w:rsidP="005B0022">
      <w:pPr>
        <w:rPr>
          <w:rFonts w:ascii="Times New Roman" w:hAnsi="Times New Roman"/>
          <w:bCs/>
          <w:iCs/>
          <w:sz w:val="22"/>
        </w:rPr>
      </w:pPr>
      <w:r w:rsidRPr="002A288B">
        <w:rPr>
          <w:rFonts w:ascii="Times New Roman" w:hAnsi="Times New Roman"/>
          <w:bCs/>
          <w:iCs/>
          <w:sz w:val="22"/>
        </w:rPr>
        <w:t xml:space="preserve">According to the </w:t>
      </w:r>
      <w:r w:rsidR="005063E0" w:rsidRPr="002A288B">
        <w:rPr>
          <w:rFonts w:ascii="Times New Roman" w:hAnsi="Times New Roman"/>
          <w:bCs/>
          <w:iCs/>
          <w:sz w:val="22"/>
        </w:rPr>
        <w:t xml:space="preserve">previous </w:t>
      </w:r>
      <w:r w:rsidR="00C83C7B" w:rsidRPr="002A288B">
        <w:rPr>
          <w:rFonts w:ascii="Times New Roman" w:hAnsi="Times New Roman"/>
          <w:bCs/>
          <w:iCs/>
          <w:sz w:val="22"/>
        </w:rPr>
        <w:t xml:space="preserve">agreements, the data </w:t>
      </w:r>
      <w:r w:rsidR="005F7D8B">
        <w:rPr>
          <w:rFonts w:ascii="Times New Roman" w:hAnsi="Times New Roman"/>
          <w:bCs/>
          <w:iCs/>
          <w:sz w:val="22"/>
        </w:rPr>
        <w:t xml:space="preserve">is </w:t>
      </w:r>
      <w:r w:rsidR="00B60E77" w:rsidRPr="002A288B">
        <w:rPr>
          <w:rFonts w:ascii="Times New Roman" w:hAnsi="Times New Roman"/>
          <w:bCs/>
          <w:iCs/>
          <w:sz w:val="22"/>
        </w:rPr>
        <w:t xml:space="preserve">buffered in the Msg3 or MsgA buffer </w:t>
      </w:r>
      <w:r w:rsidR="00C83C7B" w:rsidRPr="002A288B">
        <w:rPr>
          <w:rFonts w:ascii="Times New Roman" w:hAnsi="Times New Roman"/>
          <w:bCs/>
          <w:iCs/>
          <w:sz w:val="22"/>
        </w:rPr>
        <w:t xml:space="preserve">once the UE selects </w:t>
      </w:r>
      <w:r w:rsidR="00954459" w:rsidRPr="002A288B">
        <w:rPr>
          <w:rFonts w:ascii="Times New Roman" w:hAnsi="Times New Roman"/>
          <w:bCs/>
          <w:iCs/>
          <w:sz w:val="22"/>
        </w:rPr>
        <w:t xml:space="preserve">the </w:t>
      </w:r>
      <w:r w:rsidR="00C83C7B" w:rsidRPr="002A288B">
        <w:rPr>
          <w:rFonts w:ascii="Times New Roman" w:hAnsi="Times New Roman"/>
          <w:bCs/>
          <w:iCs/>
          <w:sz w:val="22"/>
        </w:rPr>
        <w:t>RA</w:t>
      </w:r>
      <w:r w:rsidR="00954459" w:rsidRPr="002A288B">
        <w:rPr>
          <w:rFonts w:ascii="Times New Roman" w:hAnsi="Times New Roman"/>
          <w:bCs/>
          <w:iCs/>
          <w:sz w:val="22"/>
        </w:rPr>
        <w:t xml:space="preserve">CH based </w:t>
      </w:r>
      <w:r w:rsidR="00C83C7B" w:rsidRPr="002A288B">
        <w:rPr>
          <w:rFonts w:ascii="Times New Roman" w:hAnsi="Times New Roman"/>
          <w:bCs/>
          <w:iCs/>
          <w:sz w:val="22"/>
        </w:rPr>
        <w:t>SDT</w:t>
      </w:r>
      <w:r w:rsidR="005063E0" w:rsidRPr="002A288B">
        <w:rPr>
          <w:rFonts w:ascii="Times New Roman" w:hAnsi="Times New Roman"/>
          <w:bCs/>
          <w:iCs/>
          <w:sz w:val="22"/>
        </w:rPr>
        <w:t>.</w:t>
      </w:r>
      <w:r w:rsidR="00954459" w:rsidRPr="002A288B">
        <w:rPr>
          <w:rFonts w:ascii="Times New Roman" w:hAnsi="Times New Roman"/>
          <w:bCs/>
          <w:iCs/>
          <w:sz w:val="22"/>
        </w:rPr>
        <w:t xml:space="preserve"> </w:t>
      </w:r>
      <w:proofErr w:type="gramStart"/>
      <w:r w:rsidR="001B0644">
        <w:rPr>
          <w:rFonts w:ascii="Times New Roman" w:hAnsi="Times New Roman"/>
          <w:bCs/>
          <w:iCs/>
          <w:sz w:val="22"/>
        </w:rPr>
        <w:t>W</w:t>
      </w:r>
      <w:r w:rsidR="003B6F65">
        <w:rPr>
          <w:rFonts w:ascii="Times New Roman" w:hAnsi="Times New Roman"/>
          <w:bCs/>
          <w:iCs/>
          <w:sz w:val="22"/>
        </w:rPr>
        <w:t>hile</w:t>
      </w:r>
      <w:r w:rsidR="005063E0" w:rsidRPr="002A288B">
        <w:rPr>
          <w:rFonts w:ascii="Times New Roman" w:hAnsi="Times New Roman"/>
          <w:bCs/>
          <w:iCs/>
          <w:sz w:val="22"/>
        </w:rPr>
        <w:t>,</w:t>
      </w:r>
      <w:proofErr w:type="gramEnd"/>
      <w:r w:rsidR="005063E0" w:rsidRPr="002A288B">
        <w:rPr>
          <w:rFonts w:ascii="Times New Roman" w:hAnsi="Times New Roman"/>
          <w:bCs/>
          <w:iCs/>
          <w:sz w:val="22"/>
        </w:rPr>
        <w:t xml:space="preserve"> there could be a potential case which makes the UE switch from the RA</w:t>
      </w:r>
      <w:r w:rsidR="00954459" w:rsidRPr="002A288B">
        <w:rPr>
          <w:rFonts w:ascii="Times New Roman" w:hAnsi="Times New Roman"/>
          <w:bCs/>
          <w:iCs/>
          <w:sz w:val="22"/>
        </w:rPr>
        <w:t xml:space="preserve">CH based </w:t>
      </w:r>
      <w:r w:rsidR="005063E0" w:rsidRPr="002A288B">
        <w:rPr>
          <w:rFonts w:ascii="Times New Roman" w:hAnsi="Times New Roman"/>
          <w:bCs/>
          <w:iCs/>
          <w:sz w:val="22"/>
        </w:rPr>
        <w:t>SDT to</w:t>
      </w:r>
      <w:r w:rsidR="00954459" w:rsidRPr="002A288B">
        <w:rPr>
          <w:rFonts w:ascii="Times New Roman" w:hAnsi="Times New Roman"/>
          <w:bCs/>
          <w:iCs/>
          <w:sz w:val="22"/>
        </w:rPr>
        <w:t xml:space="preserve"> a</w:t>
      </w:r>
      <w:r w:rsidR="005063E0" w:rsidRPr="002A288B">
        <w:rPr>
          <w:rFonts w:ascii="Times New Roman" w:hAnsi="Times New Roman"/>
          <w:bCs/>
          <w:iCs/>
          <w:sz w:val="22"/>
        </w:rPr>
        <w:t xml:space="preserve"> </w:t>
      </w:r>
      <w:r w:rsidR="005F7D8B">
        <w:rPr>
          <w:rFonts w:ascii="Times New Roman" w:hAnsi="Times New Roman"/>
          <w:bCs/>
          <w:iCs/>
          <w:sz w:val="22"/>
        </w:rPr>
        <w:t xml:space="preserve">legacy </w:t>
      </w:r>
      <w:r w:rsidR="005063E0" w:rsidRPr="002A288B">
        <w:rPr>
          <w:rFonts w:ascii="Times New Roman" w:hAnsi="Times New Roman"/>
          <w:bCs/>
          <w:iCs/>
          <w:sz w:val="22"/>
        </w:rPr>
        <w:t xml:space="preserve">RACH procedure, e.g. Initial UL transmission (in msgA/Msg3/CG resources) fails configured number of times. Then the UE will initiate a legacy RACH </w:t>
      </w:r>
      <w:r w:rsidR="00954459" w:rsidRPr="002A288B">
        <w:rPr>
          <w:rFonts w:ascii="Times New Roman" w:hAnsi="Times New Roman"/>
          <w:bCs/>
          <w:iCs/>
          <w:sz w:val="22"/>
        </w:rPr>
        <w:t xml:space="preserve">procedure </w:t>
      </w:r>
      <w:r w:rsidR="005063E0" w:rsidRPr="002A288B">
        <w:rPr>
          <w:rFonts w:ascii="Times New Roman" w:hAnsi="Times New Roman"/>
          <w:bCs/>
          <w:iCs/>
          <w:sz w:val="22"/>
        </w:rPr>
        <w:t>to resume the connection to the network.</w:t>
      </w:r>
    </w:p>
    <w:p w14:paraId="2C74A65D" w14:textId="50C9BF5A" w:rsidR="00661841" w:rsidRPr="007858A4" w:rsidRDefault="00C9694D" w:rsidP="005B0022">
      <w:pPr>
        <w:rPr>
          <w:rFonts w:ascii="Times New Roman" w:hAnsi="Times New Roman"/>
          <w:bCs/>
          <w:iCs/>
          <w:sz w:val="22"/>
          <w:lang w:val="x-none"/>
        </w:rPr>
      </w:pPr>
      <w:r>
        <w:rPr>
          <w:rFonts w:ascii="Times New Roman" w:hAnsi="Times New Roman" w:hint="eastAsia"/>
          <w:bCs/>
          <w:iCs/>
          <w:sz w:val="22"/>
        </w:rPr>
        <w:lastRenderedPageBreak/>
        <w:t>I</w:t>
      </w:r>
      <w:r w:rsidRPr="00C9694D">
        <w:rPr>
          <w:rFonts w:ascii="Times New Roman" w:hAnsi="Times New Roman"/>
          <w:bCs/>
          <w:iCs/>
          <w:sz w:val="22"/>
        </w:rPr>
        <w:t>f the grant of the same TBS is provided after fallback/switching to legacy R</w:t>
      </w:r>
      <w:r w:rsidR="00756A26">
        <w:rPr>
          <w:rFonts w:ascii="Times New Roman" w:hAnsi="Times New Roman"/>
          <w:bCs/>
          <w:iCs/>
          <w:sz w:val="22"/>
        </w:rPr>
        <w:t>ACH</w:t>
      </w:r>
      <w:r w:rsidRPr="00C9694D">
        <w:rPr>
          <w:rFonts w:ascii="Times New Roman" w:hAnsi="Times New Roman"/>
          <w:bCs/>
          <w:iCs/>
          <w:sz w:val="22"/>
        </w:rPr>
        <w:t xml:space="preserve">, and if the data can be maintained, the data can be </w:t>
      </w:r>
      <w:proofErr w:type="gramStart"/>
      <w:r w:rsidRPr="00C9694D">
        <w:rPr>
          <w:rFonts w:ascii="Times New Roman" w:hAnsi="Times New Roman"/>
          <w:bCs/>
          <w:iCs/>
          <w:sz w:val="22"/>
        </w:rPr>
        <w:t>transmitted</w:t>
      </w:r>
      <w:proofErr w:type="gramEnd"/>
      <w:r w:rsidRPr="00C9694D">
        <w:rPr>
          <w:rFonts w:ascii="Times New Roman" w:hAnsi="Times New Roman"/>
          <w:bCs/>
          <w:iCs/>
          <w:sz w:val="22"/>
        </w:rPr>
        <w:t xml:space="preserve"> and rebuilding is not needed.</w:t>
      </w:r>
      <w:r w:rsidR="00756A26">
        <w:rPr>
          <w:rFonts w:ascii="Times New Roman" w:hAnsi="Times New Roman"/>
          <w:bCs/>
          <w:iCs/>
          <w:sz w:val="22"/>
        </w:rPr>
        <w:t xml:space="preserve"> However, a</w:t>
      </w:r>
      <w:r w:rsidR="00252A1B" w:rsidRPr="002A288B">
        <w:rPr>
          <w:rFonts w:ascii="Times New Roman" w:hAnsi="Times New Roman"/>
          <w:bCs/>
          <w:iCs/>
          <w:sz w:val="22"/>
        </w:rPr>
        <w:t>ccording to the legacy RACH procedure, the Msg3 or MsgA buffer shall be flushed when the RACH procedure is initiated</w:t>
      </w:r>
      <w:r w:rsidR="009B4CF9" w:rsidRPr="002A288B">
        <w:rPr>
          <w:rFonts w:ascii="Times New Roman" w:hAnsi="Times New Roman"/>
          <w:bCs/>
          <w:iCs/>
          <w:sz w:val="22"/>
        </w:rPr>
        <w:t xml:space="preserve"> on a Serving Cell</w:t>
      </w:r>
      <w:r w:rsidR="00252A1B" w:rsidRPr="002A288B">
        <w:rPr>
          <w:rFonts w:ascii="Times New Roman" w:hAnsi="Times New Roman"/>
          <w:bCs/>
          <w:iCs/>
          <w:sz w:val="22"/>
        </w:rPr>
        <w:t>.</w:t>
      </w:r>
      <w:r w:rsidR="00FE3BE6" w:rsidRPr="002A288B">
        <w:rPr>
          <w:rFonts w:ascii="Times New Roman" w:hAnsi="Times New Roman"/>
          <w:bCs/>
          <w:iCs/>
          <w:sz w:val="22"/>
        </w:rPr>
        <w:t xml:space="preserve"> Then the buffered data loss </w:t>
      </w:r>
      <w:r w:rsidR="00B53915" w:rsidRPr="002A288B">
        <w:rPr>
          <w:rFonts w:ascii="Times New Roman" w:hAnsi="Times New Roman"/>
          <w:bCs/>
          <w:iCs/>
          <w:sz w:val="22"/>
        </w:rPr>
        <w:t xml:space="preserve">is </w:t>
      </w:r>
      <w:r w:rsidR="00202A3A" w:rsidRPr="002A288B">
        <w:rPr>
          <w:rFonts w:ascii="Times New Roman" w:hAnsi="Times New Roman"/>
          <w:bCs/>
          <w:iCs/>
          <w:sz w:val="22"/>
        </w:rPr>
        <w:t>led</w:t>
      </w:r>
      <w:r w:rsidR="00B53915" w:rsidRPr="002A288B">
        <w:rPr>
          <w:rFonts w:ascii="Times New Roman" w:hAnsi="Times New Roman"/>
          <w:bCs/>
          <w:iCs/>
          <w:sz w:val="22"/>
        </w:rPr>
        <w:t xml:space="preserve"> </w:t>
      </w:r>
      <w:r w:rsidR="00FE3BE6" w:rsidRPr="002A288B">
        <w:rPr>
          <w:rFonts w:ascii="Times New Roman" w:hAnsi="Times New Roman"/>
          <w:bCs/>
          <w:iCs/>
          <w:sz w:val="22"/>
        </w:rPr>
        <w:t>by the behavior of flushing Msg3 or MsgA buffer</w:t>
      </w:r>
      <w:r w:rsidR="00602463" w:rsidRPr="002A288B">
        <w:rPr>
          <w:rFonts w:ascii="Times New Roman" w:hAnsi="Times New Roman"/>
          <w:bCs/>
          <w:iCs/>
          <w:sz w:val="22"/>
        </w:rPr>
        <w:t>.</w:t>
      </w:r>
      <w:r w:rsidR="00756A26">
        <w:rPr>
          <w:rFonts w:ascii="Times New Roman" w:hAnsi="Times New Roman"/>
          <w:bCs/>
          <w:iCs/>
          <w:sz w:val="22"/>
        </w:rPr>
        <w:t xml:space="preserve"> </w:t>
      </w:r>
      <w:r w:rsidR="00756A26" w:rsidRPr="00756A26">
        <w:rPr>
          <w:rFonts w:ascii="Times New Roman" w:hAnsi="Times New Roman"/>
          <w:bCs/>
          <w:iCs/>
          <w:sz w:val="22"/>
        </w:rPr>
        <w:t xml:space="preserve">Even if the grant of the same TBS can be provided after resuming to </w:t>
      </w:r>
      <w:r w:rsidR="00756A26">
        <w:rPr>
          <w:rFonts w:ascii="Times New Roman" w:hAnsi="Times New Roman"/>
          <w:bCs/>
          <w:iCs/>
          <w:sz w:val="22"/>
        </w:rPr>
        <w:t>RRC_</w:t>
      </w:r>
      <w:r w:rsidR="00756A26" w:rsidRPr="00756A26">
        <w:rPr>
          <w:rFonts w:ascii="Times New Roman" w:hAnsi="Times New Roman"/>
          <w:bCs/>
          <w:iCs/>
          <w:sz w:val="22"/>
        </w:rPr>
        <w:t>CONNECTED state, the data have been flushed.</w:t>
      </w:r>
    </w:p>
    <w:p w14:paraId="17DA3F2C" w14:textId="2DF1CA34" w:rsidR="00A1422C" w:rsidRPr="002A288B" w:rsidRDefault="00A1422C" w:rsidP="002C67A9">
      <w:pPr>
        <w:rPr>
          <w:rFonts w:ascii="Times New Roman" w:hAnsi="Times New Roman"/>
          <w:b/>
          <w:bCs/>
          <w:iCs/>
          <w:sz w:val="22"/>
        </w:rPr>
      </w:pPr>
      <w:r w:rsidRPr="002A288B">
        <w:rPr>
          <w:rFonts w:ascii="Times New Roman" w:hAnsi="Times New Roman"/>
          <w:b/>
          <w:bCs/>
          <w:iCs/>
          <w:sz w:val="22"/>
        </w:rPr>
        <w:t>Observation:</w:t>
      </w:r>
      <w:r w:rsidR="009B253D" w:rsidRPr="002A288B">
        <w:rPr>
          <w:rFonts w:ascii="Times New Roman" w:hAnsi="Times New Roman"/>
          <w:b/>
          <w:bCs/>
          <w:iCs/>
          <w:sz w:val="22"/>
        </w:rPr>
        <w:t xml:space="preserve"> I</w:t>
      </w:r>
      <w:r w:rsidRPr="002A288B">
        <w:rPr>
          <w:rFonts w:ascii="Times New Roman" w:hAnsi="Times New Roman"/>
          <w:b/>
          <w:bCs/>
          <w:iCs/>
          <w:sz w:val="22"/>
        </w:rPr>
        <w:t>nitiation of a RACH procedure</w:t>
      </w:r>
      <w:r w:rsidR="009B253D" w:rsidRPr="002A288B">
        <w:rPr>
          <w:rFonts w:ascii="Times New Roman" w:hAnsi="Times New Roman"/>
          <w:b/>
          <w:bCs/>
          <w:iCs/>
          <w:sz w:val="22"/>
        </w:rPr>
        <w:t xml:space="preserve"> leads to data loss when switching to non-SDT</w:t>
      </w:r>
      <w:r w:rsidRPr="002A288B">
        <w:rPr>
          <w:rFonts w:ascii="Times New Roman" w:hAnsi="Times New Roman"/>
          <w:b/>
          <w:bCs/>
          <w:iCs/>
          <w:sz w:val="22"/>
        </w:rPr>
        <w:t>.</w:t>
      </w:r>
    </w:p>
    <w:p w14:paraId="4A69C3BC" w14:textId="2A4DF283" w:rsidR="00D630C3" w:rsidRPr="002A288B" w:rsidRDefault="00D630C3" w:rsidP="002C67A9">
      <w:pPr>
        <w:rPr>
          <w:rFonts w:ascii="Times New Roman" w:hAnsi="Times New Roman"/>
          <w:bCs/>
          <w:iCs/>
          <w:sz w:val="22"/>
        </w:rPr>
      </w:pPr>
      <w:r w:rsidRPr="002A288B">
        <w:rPr>
          <w:rFonts w:ascii="Times New Roman" w:hAnsi="Times New Roman"/>
          <w:bCs/>
          <w:iCs/>
          <w:sz w:val="22"/>
        </w:rPr>
        <w:t xml:space="preserve">In order to avoid the data loss, </w:t>
      </w:r>
      <w:r w:rsidR="0096042A" w:rsidRPr="002A288B">
        <w:rPr>
          <w:rFonts w:ascii="Times New Roman" w:hAnsi="Times New Roman"/>
          <w:bCs/>
          <w:iCs/>
          <w:sz w:val="22"/>
        </w:rPr>
        <w:t xml:space="preserve">some optimization may be needed, for example, the separate configuration </w:t>
      </w:r>
      <w:r w:rsidR="00DF0624">
        <w:rPr>
          <w:rFonts w:ascii="Times New Roman" w:hAnsi="Times New Roman"/>
          <w:bCs/>
          <w:iCs/>
          <w:sz w:val="22"/>
        </w:rPr>
        <w:t xml:space="preserve">of Msg3 or MsgA buffer </w:t>
      </w:r>
      <w:r w:rsidR="0096042A" w:rsidRPr="002A288B">
        <w:rPr>
          <w:rFonts w:ascii="Times New Roman" w:hAnsi="Times New Roman"/>
          <w:bCs/>
          <w:iCs/>
          <w:sz w:val="22"/>
        </w:rPr>
        <w:t xml:space="preserve">for RACH based SDT, </w:t>
      </w:r>
      <w:r w:rsidR="00202A3A" w:rsidRPr="002A288B">
        <w:rPr>
          <w:rFonts w:ascii="Times New Roman" w:hAnsi="Times New Roman"/>
          <w:bCs/>
          <w:iCs/>
          <w:sz w:val="22"/>
        </w:rPr>
        <w:t xml:space="preserve">or the specific behavior defined in the 3GPP specification, </w:t>
      </w:r>
      <w:r w:rsidR="0096042A" w:rsidRPr="002A288B">
        <w:rPr>
          <w:rFonts w:ascii="Times New Roman" w:hAnsi="Times New Roman"/>
          <w:bCs/>
          <w:iCs/>
          <w:sz w:val="22"/>
        </w:rPr>
        <w:t>etc.</w:t>
      </w:r>
    </w:p>
    <w:p w14:paraId="532CC9DA" w14:textId="0659CFE3" w:rsidR="002C67A9" w:rsidRPr="002A288B" w:rsidRDefault="002C67A9" w:rsidP="002C67A9">
      <w:pPr>
        <w:rPr>
          <w:rFonts w:ascii="Times New Roman" w:hAnsi="Times New Roman"/>
          <w:b/>
          <w:bCs/>
          <w:iCs/>
          <w:sz w:val="22"/>
        </w:rPr>
      </w:pPr>
      <w:r w:rsidRPr="002A288B">
        <w:rPr>
          <w:rFonts w:ascii="Times New Roman" w:hAnsi="Times New Roman"/>
          <w:b/>
          <w:bCs/>
          <w:iCs/>
          <w:sz w:val="22"/>
        </w:rPr>
        <w:t>Proposal:</w:t>
      </w:r>
      <w:r w:rsidR="00A150DC" w:rsidRPr="002A288B">
        <w:rPr>
          <w:rFonts w:ascii="Times New Roman" w:hAnsi="Times New Roman"/>
          <w:b/>
          <w:bCs/>
          <w:iCs/>
          <w:sz w:val="22"/>
        </w:rPr>
        <w:t xml:space="preserve"> </w:t>
      </w:r>
      <w:r w:rsidR="00122FD1">
        <w:rPr>
          <w:rFonts w:ascii="Times New Roman" w:hAnsi="Times New Roman"/>
          <w:b/>
          <w:bCs/>
          <w:iCs/>
          <w:sz w:val="22"/>
        </w:rPr>
        <w:t>T</w:t>
      </w:r>
      <w:r w:rsidR="000D2F10" w:rsidRPr="000D2F10">
        <w:rPr>
          <w:rFonts w:ascii="Times New Roman" w:hAnsi="Times New Roman"/>
          <w:b/>
          <w:bCs/>
          <w:iCs/>
          <w:sz w:val="22"/>
        </w:rPr>
        <w:t>he separate Msg3 or MsgA</w:t>
      </w:r>
      <w:r w:rsidR="00122FD1">
        <w:rPr>
          <w:rFonts w:ascii="Times New Roman" w:hAnsi="Times New Roman"/>
          <w:b/>
          <w:bCs/>
          <w:iCs/>
          <w:sz w:val="22"/>
        </w:rPr>
        <w:t xml:space="preserve"> PUSCH</w:t>
      </w:r>
      <w:r w:rsidR="000D2F10" w:rsidRPr="000D2F10">
        <w:rPr>
          <w:rFonts w:ascii="Times New Roman" w:hAnsi="Times New Roman"/>
          <w:b/>
          <w:bCs/>
          <w:iCs/>
          <w:sz w:val="22"/>
        </w:rPr>
        <w:t xml:space="preserve"> buffer </w:t>
      </w:r>
      <w:r w:rsidR="00122FD1">
        <w:rPr>
          <w:rFonts w:ascii="Times New Roman" w:hAnsi="Times New Roman"/>
          <w:b/>
          <w:bCs/>
          <w:iCs/>
          <w:sz w:val="22"/>
        </w:rPr>
        <w:t xml:space="preserve">is configured </w:t>
      </w:r>
      <w:r w:rsidR="000D2F10" w:rsidRPr="000D2F10">
        <w:rPr>
          <w:rFonts w:ascii="Times New Roman" w:hAnsi="Times New Roman"/>
          <w:b/>
          <w:bCs/>
          <w:iCs/>
          <w:sz w:val="22"/>
        </w:rPr>
        <w:t>for RACH based SDT</w:t>
      </w:r>
      <w:r w:rsidR="00122FD1" w:rsidRPr="00122FD1">
        <w:rPr>
          <w:rFonts w:ascii="Times New Roman" w:hAnsi="Times New Roman"/>
          <w:b/>
          <w:bCs/>
          <w:iCs/>
          <w:sz w:val="22"/>
        </w:rPr>
        <w:t xml:space="preserve"> </w:t>
      </w:r>
      <w:r w:rsidR="00122FD1" w:rsidRPr="002A288B">
        <w:rPr>
          <w:rFonts w:ascii="Times New Roman" w:hAnsi="Times New Roman"/>
          <w:b/>
          <w:bCs/>
          <w:iCs/>
          <w:sz w:val="22"/>
        </w:rPr>
        <w:t xml:space="preserve">to avoid the data loss when the UE switches from RACH based SDT to non-SDT </w:t>
      </w:r>
      <w:r w:rsidR="00122FD1">
        <w:rPr>
          <w:rFonts w:ascii="Times New Roman" w:hAnsi="Times New Roman"/>
          <w:b/>
          <w:bCs/>
          <w:iCs/>
          <w:sz w:val="22"/>
        </w:rPr>
        <w:t xml:space="preserve">based legacy </w:t>
      </w:r>
      <w:r w:rsidR="00122FD1" w:rsidRPr="002A288B">
        <w:rPr>
          <w:rFonts w:ascii="Times New Roman" w:hAnsi="Times New Roman"/>
          <w:b/>
          <w:bCs/>
          <w:iCs/>
          <w:sz w:val="22"/>
        </w:rPr>
        <w:t>RACH</w:t>
      </w:r>
      <w:r w:rsidRPr="002A288B">
        <w:rPr>
          <w:rFonts w:ascii="Times New Roman" w:hAnsi="Times New Roman"/>
          <w:b/>
          <w:bCs/>
          <w:iCs/>
          <w:sz w:val="22"/>
        </w:rPr>
        <w:t>.</w:t>
      </w:r>
    </w:p>
    <w:p w14:paraId="03A91C83" w14:textId="495C0D30" w:rsidR="0080711B" w:rsidRPr="00084CB3" w:rsidRDefault="0080711B" w:rsidP="005E4930">
      <w:pPr>
        <w:rPr>
          <w:rFonts w:ascii="Times New Roman" w:hAnsi="Times New Roman"/>
          <w:b/>
          <w:bCs/>
          <w:iCs/>
          <w:sz w:val="20"/>
          <w:szCs w:val="20"/>
        </w:rPr>
      </w:pPr>
    </w:p>
    <w:bookmarkEnd w:id="6"/>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432775CA" w14:textId="710D2F15" w:rsidR="00A90536" w:rsidRPr="002A288B" w:rsidRDefault="00A90536" w:rsidP="00513357">
      <w:pPr>
        <w:spacing w:afterLines="50" w:after="156"/>
        <w:rPr>
          <w:rFonts w:ascii="Times New Roman" w:hAnsi="Times New Roman"/>
          <w:sz w:val="22"/>
        </w:rPr>
      </w:pPr>
      <w:r w:rsidRPr="002A288B">
        <w:rPr>
          <w:rFonts w:ascii="Times New Roman" w:hAnsi="Times New Roman"/>
          <w:sz w:val="22"/>
        </w:rPr>
        <w:t xml:space="preserve">In this contribution, </w:t>
      </w:r>
      <w:r w:rsidR="00513357" w:rsidRPr="002A288B">
        <w:rPr>
          <w:rFonts w:ascii="Times New Roman" w:hAnsi="Times New Roman"/>
          <w:sz w:val="22"/>
        </w:rPr>
        <w:t>the following</w:t>
      </w:r>
      <w:r w:rsidR="00283387" w:rsidRPr="002A288B">
        <w:rPr>
          <w:rFonts w:ascii="Times New Roman" w:hAnsi="Times New Roman"/>
          <w:sz w:val="22"/>
        </w:rPr>
        <w:t xml:space="preserve"> </w:t>
      </w:r>
      <w:r w:rsidR="007B5C1F" w:rsidRPr="002A288B">
        <w:rPr>
          <w:rFonts w:ascii="Times New Roman" w:hAnsi="Times New Roman"/>
          <w:sz w:val="22"/>
        </w:rPr>
        <w:t>observation</w:t>
      </w:r>
      <w:r w:rsidR="00B16225" w:rsidRPr="002A288B">
        <w:rPr>
          <w:rFonts w:ascii="Times New Roman" w:hAnsi="Times New Roman"/>
          <w:sz w:val="22"/>
        </w:rPr>
        <w:t>s</w:t>
      </w:r>
      <w:r w:rsidR="007B5C1F" w:rsidRPr="002A288B">
        <w:rPr>
          <w:rFonts w:ascii="Times New Roman" w:hAnsi="Times New Roman"/>
          <w:sz w:val="22"/>
        </w:rPr>
        <w:t xml:space="preserve"> and </w:t>
      </w:r>
      <w:r w:rsidR="00513357" w:rsidRPr="002A288B">
        <w:rPr>
          <w:rFonts w:ascii="Times New Roman" w:hAnsi="Times New Roman"/>
          <w:sz w:val="22"/>
        </w:rPr>
        <w:t>proposal</w:t>
      </w:r>
      <w:r w:rsidR="00B16225" w:rsidRPr="002A288B">
        <w:rPr>
          <w:rFonts w:ascii="Times New Roman" w:hAnsi="Times New Roman"/>
          <w:sz w:val="22"/>
        </w:rPr>
        <w:t>s</w:t>
      </w:r>
      <w:r w:rsidR="00513357" w:rsidRPr="002A288B">
        <w:rPr>
          <w:rFonts w:ascii="Times New Roman" w:hAnsi="Times New Roman"/>
          <w:sz w:val="22"/>
        </w:rPr>
        <w:t xml:space="preserve"> </w:t>
      </w:r>
      <w:r w:rsidR="00BE7260" w:rsidRPr="002A288B">
        <w:rPr>
          <w:rFonts w:ascii="Times New Roman" w:hAnsi="Times New Roman"/>
          <w:sz w:val="22"/>
        </w:rPr>
        <w:t>are</w:t>
      </w:r>
      <w:r w:rsidR="00513357" w:rsidRPr="002A288B">
        <w:rPr>
          <w:rFonts w:ascii="Times New Roman" w:hAnsi="Times New Roman"/>
          <w:sz w:val="22"/>
        </w:rPr>
        <w:t xml:space="preserve"> given</w:t>
      </w:r>
      <w:r w:rsidR="007B5C1F" w:rsidRPr="002A288B">
        <w:rPr>
          <w:rFonts w:ascii="Times New Roman" w:hAnsi="Times New Roman"/>
          <w:sz w:val="22"/>
        </w:rPr>
        <w:t xml:space="preserve"> </w:t>
      </w:r>
      <w:r w:rsidR="007B5C1F" w:rsidRPr="002A288B">
        <w:rPr>
          <w:rFonts w:ascii="Times New Roman" w:eastAsia="等线" w:hAnsi="Times New Roman"/>
          <w:sz w:val="22"/>
        </w:rPr>
        <w:t xml:space="preserve">to support the </w:t>
      </w:r>
      <w:r w:rsidR="00B16225" w:rsidRPr="002A288B">
        <w:rPr>
          <w:rFonts w:ascii="Times New Roman" w:eastAsia="等线" w:hAnsi="Times New Roman"/>
          <w:sz w:val="22"/>
        </w:rPr>
        <w:t>RACH based SDT</w:t>
      </w:r>
      <w:r w:rsidRPr="002A288B">
        <w:rPr>
          <w:rFonts w:ascii="Times New Roman" w:hAnsi="Times New Roman"/>
          <w:sz w:val="22"/>
        </w:rPr>
        <w:t>:</w:t>
      </w:r>
    </w:p>
    <w:p w14:paraId="4677DD2E" w14:textId="62FB4A17" w:rsidR="00A73EC6" w:rsidRPr="002A288B" w:rsidRDefault="00A73EC6" w:rsidP="007858A4">
      <w:pPr>
        <w:rPr>
          <w:rFonts w:ascii="Times New Roman" w:hAnsi="Times New Roman"/>
          <w:b/>
          <w:bCs/>
          <w:iCs/>
          <w:sz w:val="20"/>
          <w:szCs w:val="20"/>
        </w:rPr>
      </w:pPr>
      <w:r w:rsidRPr="002A288B">
        <w:rPr>
          <w:rFonts w:ascii="Times New Roman" w:hAnsi="Times New Roman"/>
          <w:b/>
          <w:bCs/>
          <w:iCs/>
          <w:sz w:val="20"/>
          <w:szCs w:val="20"/>
        </w:rPr>
        <w:t>Observation: Initiation of a RACH procedure leads to data loss when switching to non-SDT.</w:t>
      </w:r>
    </w:p>
    <w:p w14:paraId="170B56D6" w14:textId="22B9BA88" w:rsidR="00A73EC6" w:rsidRPr="002A288B" w:rsidRDefault="00A73EC6" w:rsidP="00552C73">
      <w:pPr>
        <w:rPr>
          <w:rFonts w:ascii="Times New Roman" w:hAnsi="Times New Roman"/>
          <w:b/>
          <w:bCs/>
          <w:iCs/>
          <w:sz w:val="22"/>
        </w:rPr>
      </w:pPr>
      <w:r w:rsidRPr="002A288B">
        <w:rPr>
          <w:rFonts w:ascii="Times New Roman" w:hAnsi="Times New Roman"/>
          <w:b/>
          <w:bCs/>
          <w:iCs/>
          <w:sz w:val="20"/>
          <w:szCs w:val="20"/>
        </w:rPr>
        <w:t xml:space="preserve">Proposal 1: </w:t>
      </w:r>
      <w:r w:rsidR="00552C73">
        <w:rPr>
          <w:rFonts w:ascii="Times New Roman" w:hAnsi="Times New Roman"/>
          <w:b/>
          <w:bCs/>
          <w:iCs/>
          <w:sz w:val="22"/>
        </w:rPr>
        <w:t>T</w:t>
      </w:r>
      <w:r w:rsidR="00552C73" w:rsidRPr="000D2F10">
        <w:rPr>
          <w:rFonts w:ascii="Times New Roman" w:hAnsi="Times New Roman"/>
          <w:b/>
          <w:bCs/>
          <w:iCs/>
          <w:sz w:val="22"/>
        </w:rPr>
        <w:t>he separate Msg3 or MsgA</w:t>
      </w:r>
      <w:r w:rsidR="00552C73">
        <w:rPr>
          <w:rFonts w:ascii="Times New Roman" w:hAnsi="Times New Roman"/>
          <w:b/>
          <w:bCs/>
          <w:iCs/>
          <w:sz w:val="22"/>
        </w:rPr>
        <w:t xml:space="preserve"> PUSCH</w:t>
      </w:r>
      <w:r w:rsidR="00552C73" w:rsidRPr="000D2F10">
        <w:rPr>
          <w:rFonts w:ascii="Times New Roman" w:hAnsi="Times New Roman"/>
          <w:b/>
          <w:bCs/>
          <w:iCs/>
          <w:sz w:val="22"/>
        </w:rPr>
        <w:t xml:space="preserve"> buffer </w:t>
      </w:r>
      <w:r w:rsidR="00552C73">
        <w:rPr>
          <w:rFonts w:ascii="Times New Roman" w:hAnsi="Times New Roman"/>
          <w:b/>
          <w:bCs/>
          <w:iCs/>
          <w:sz w:val="22"/>
        </w:rPr>
        <w:t xml:space="preserve">is configured </w:t>
      </w:r>
      <w:r w:rsidR="00552C73" w:rsidRPr="000D2F10">
        <w:rPr>
          <w:rFonts w:ascii="Times New Roman" w:hAnsi="Times New Roman"/>
          <w:b/>
          <w:bCs/>
          <w:iCs/>
          <w:sz w:val="22"/>
        </w:rPr>
        <w:t>for RACH based SDT</w:t>
      </w:r>
      <w:r w:rsidR="00552C73" w:rsidRPr="00122FD1">
        <w:rPr>
          <w:rFonts w:ascii="Times New Roman" w:hAnsi="Times New Roman"/>
          <w:b/>
          <w:bCs/>
          <w:iCs/>
          <w:sz w:val="22"/>
        </w:rPr>
        <w:t xml:space="preserve"> </w:t>
      </w:r>
      <w:r w:rsidR="00552C73" w:rsidRPr="002A288B">
        <w:rPr>
          <w:rFonts w:ascii="Times New Roman" w:hAnsi="Times New Roman"/>
          <w:b/>
          <w:bCs/>
          <w:iCs/>
          <w:sz w:val="22"/>
        </w:rPr>
        <w:t xml:space="preserve">to avoid the data loss when the UE switches from RACH based SDT to non-SDT </w:t>
      </w:r>
      <w:r w:rsidR="00552C73">
        <w:rPr>
          <w:rFonts w:ascii="Times New Roman" w:hAnsi="Times New Roman"/>
          <w:b/>
          <w:bCs/>
          <w:iCs/>
          <w:sz w:val="22"/>
        </w:rPr>
        <w:t xml:space="preserve">based legacy </w:t>
      </w:r>
      <w:r w:rsidR="00552C73" w:rsidRPr="002A288B">
        <w:rPr>
          <w:rFonts w:ascii="Times New Roman" w:hAnsi="Times New Roman"/>
          <w:b/>
          <w:bCs/>
          <w:iCs/>
          <w:sz w:val="22"/>
        </w:rPr>
        <w:t>RACH</w:t>
      </w:r>
      <w:r w:rsidRPr="002A288B">
        <w:rPr>
          <w:rFonts w:ascii="Times New Roman" w:hAnsi="Times New Roman"/>
          <w:b/>
          <w:bCs/>
          <w:iCs/>
          <w:sz w:val="20"/>
          <w:szCs w:val="20"/>
        </w:rPr>
        <w:t>.</w:t>
      </w:r>
    </w:p>
    <w:p w14:paraId="184D52AB" w14:textId="27FF2E89" w:rsidR="00CC607B" w:rsidRPr="00A73EC6" w:rsidRDefault="00CC607B" w:rsidP="007B5C1F">
      <w:pPr>
        <w:spacing w:afterLines="50" w:after="156"/>
        <w:rPr>
          <w:rFonts w:ascii="Times New Roman" w:hAnsi="Times New Roman"/>
          <w:b/>
          <w:sz w:val="20"/>
          <w:szCs w:val="20"/>
        </w:rPr>
      </w:pP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1E6AE3A9" w:rsidR="002E4027" w:rsidRDefault="00915B07" w:rsidP="003657DD">
      <w:pPr>
        <w:pStyle w:val="References"/>
      </w:pPr>
      <w:r>
        <w:t>RAN2#115-e chairman note</w:t>
      </w:r>
      <w:r w:rsidR="007B5C1F">
        <w:t>.</w:t>
      </w:r>
    </w:p>
    <w:p w14:paraId="031FBAB5" w14:textId="7CD637B0" w:rsidR="00915B07" w:rsidRPr="007858A4" w:rsidRDefault="00915B07" w:rsidP="00FC4737">
      <w:pPr>
        <w:pStyle w:val="References"/>
      </w:pPr>
      <w:r>
        <w:t>RAN2#113-e chairman note.</w:t>
      </w:r>
    </w:p>
    <w:sectPr w:rsidR="00915B07" w:rsidRPr="007858A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4277D" w14:textId="77777777" w:rsidR="00E81D1B" w:rsidRDefault="00E81D1B">
      <w:r>
        <w:separator/>
      </w:r>
    </w:p>
  </w:endnote>
  <w:endnote w:type="continuationSeparator" w:id="0">
    <w:p w14:paraId="06AA311E" w14:textId="77777777" w:rsidR="00E81D1B" w:rsidRDefault="00E8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24C41" w14:textId="77777777" w:rsidR="00E81D1B" w:rsidRDefault="00E81D1B">
      <w:r>
        <w:separator/>
      </w:r>
    </w:p>
  </w:footnote>
  <w:footnote w:type="continuationSeparator" w:id="0">
    <w:p w14:paraId="01688B3A" w14:textId="77777777" w:rsidR="00E81D1B" w:rsidRDefault="00E81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26"/>
  </w:num>
  <w:num w:numId="4">
    <w:abstractNumId w:val="2"/>
  </w:num>
  <w:num w:numId="5">
    <w:abstractNumId w:val="27"/>
  </w:num>
  <w:num w:numId="6">
    <w:abstractNumId w:val="10"/>
  </w:num>
  <w:num w:numId="7">
    <w:abstractNumId w:val="6"/>
  </w:num>
  <w:num w:numId="8">
    <w:abstractNumId w:val="21"/>
  </w:num>
  <w:num w:numId="9">
    <w:abstractNumId w:val="3"/>
  </w:num>
  <w:num w:numId="10">
    <w:abstractNumId w:val="16"/>
  </w:num>
  <w:num w:numId="11">
    <w:abstractNumId w:val="18"/>
  </w:num>
  <w:num w:numId="12">
    <w:abstractNumId w:val="13"/>
  </w:num>
  <w:num w:numId="13">
    <w:abstractNumId w:val="19"/>
  </w:num>
  <w:num w:numId="14">
    <w:abstractNumId w:val="8"/>
  </w:num>
  <w:num w:numId="15">
    <w:abstractNumId w:val="1"/>
  </w:num>
  <w:num w:numId="16">
    <w:abstractNumId w:val="14"/>
  </w:num>
  <w:num w:numId="17">
    <w:abstractNumId w:val="24"/>
  </w:num>
  <w:num w:numId="18">
    <w:abstractNumId w:val="17"/>
  </w:num>
  <w:num w:numId="19">
    <w:abstractNumId w:val="24"/>
  </w:num>
  <w:num w:numId="20">
    <w:abstractNumId w:val="23"/>
  </w:num>
  <w:num w:numId="21">
    <w:abstractNumId w:val="24"/>
  </w:num>
  <w:num w:numId="22">
    <w:abstractNumId w:val="20"/>
  </w:num>
  <w:num w:numId="23">
    <w:abstractNumId w:val="7"/>
  </w:num>
  <w:num w:numId="24">
    <w:abstractNumId w:val="25"/>
  </w:num>
  <w:num w:numId="25">
    <w:abstractNumId w:val="9"/>
  </w:num>
  <w:num w:numId="26">
    <w:abstractNumId w:val="15"/>
  </w:num>
  <w:num w:numId="27">
    <w:abstractNumId w:val="11"/>
  </w:num>
  <w:num w:numId="28">
    <w:abstractNumId w:val="22"/>
  </w:num>
  <w:num w:numId="29">
    <w:abstractNumId w:val="4"/>
  </w:num>
  <w:num w:numId="30">
    <w:abstractNumId w:val="5"/>
  </w:num>
  <w:num w:numId="3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6C1"/>
    <w:rsid w:val="002247EE"/>
    <w:rsid w:val="00224F53"/>
    <w:rsid w:val="00225649"/>
    <w:rsid w:val="00225746"/>
    <w:rsid w:val="0022632E"/>
    <w:rsid w:val="00226511"/>
    <w:rsid w:val="0022696A"/>
    <w:rsid w:val="00226C37"/>
    <w:rsid w:val="00226F32"/>
    <w:rsid w:val="0022723B"/>
    <w:rsid w:val="00227787"/>
    <w:rsid w:val="00230838"/>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06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2CF2"/>
    <w:rsid w:val="0058334F"/>
    <w:rsid w:val="00583533"/>
    <w:rsid w:val="0058395F"/>
    <w:rsid w:val="00583CAD"/>
    <w:rsid w:val="00584F0B"/>
    <w:rsid w:val="005852D6"/>
    <w:rsid w:val="00585878"/>
    <w:rsid w:val="0058596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5E"/>
    <w:rsid w:val="00EC3CE3"/>
    <w:rsid w:val="00EC3F8D"/>
    <w:rsid w:val="00EC4067"/>
    <w:rsid w:val="00EC443F"/>
    <w:rsid w:val="00EC45F3"/>
    <w:rsid w:val="00EC57D3"/>
    <w:rsid w:val="00EC586C"/>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2021-10-21T10:22:00Z</dcterms:created>
  <dcterms:modified xsi:type="dcterms:W3CDTF">2021-10-21T10:26:00Z</dcterms:modified>
</cp:coreProperties>
</file>