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513963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1656EB">
        <w:rPr>
          <w:bCs/>
          <w:noProof w:val="0"/>
          <w:sz w:val="24"/>
          <w:szCs w:val="24"/>
        </w:rPr>
        <w:t>R2-2110146</w:t>
      </w:r>
    </w:p>
    <w:p w14:paraId="11776FA6" w14:textId="07F3886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058DB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15320">
        <w:rPr>
          <w:rFonts w:cs="Arial"/>
          <w:b/>
          <w:bCs/>
          <w:sz w:val="24"/>
        </w:rPr>
        <w:t>9</w:t>
      </w:r>
      <w:r w:rsidR="00E15320">
        <w:rPr>
          <w:rFonts w:cs="Arial"/>
          <w:b/>
          <w:bCs/>
          <w:sz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D0DA8B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656EB" w:rsidRPr="001656EB">
        <w:rPr>
          <w:rFonts w:ascii="Arial" w:hAnsi="Arial" w:cs="Arial"/>
          <w:b/>
          <w:bCs/>
          <w:sz w:val="24"/>
        </w:rPr>
        <w:t>Further discussion on TA switching and Idle mode procedures for IoT-NTN</w:t>
      </w:r>
    </w:p>
    <w:p w14:paraId="1F147C23" w14:textId="0687DD01" w:rsidR="00A209D6" w:rsidRPr="00B266B0" w:rsidRDefault="00A209D6" w:rsidP="00E1532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15320" w:rsidRPr="000A7145">
        <w:rPr>
          <w:rFonts w:ascii="Arial" w:hAnsi="Arial" w:cs="Arial"/>
          <w:b/>
          <w:bCs/>
          <w:sz w:val="24"/>
        </w:rPr>
        <w:t>LTE_NBIOT_eMTC_NTN</w:t>
      </w:r>
      <w:r w:rsidR="00E15320" w:rsidRPr="00112F1A">
        <w:rPr>
          <w:rFonts w:ascii="Arial" w:hAnsi="Arial" w:cs="Arial"/>
          <w:b/>
          <w:bCs/>
          <w:sz w:val="24"/>
        </w:rPr>
        <w:t xml:space="preserve"> </w:t>
      </w:r>
      <w:r w:rsidR="00E15320">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35C3B6D" w14:textId="56B06F07" w:rsidR="009B589C" w:rsidRDefault="009B589C" w:rsidP="009B589C">
      <w:r>
        <w:t>Rel-17 Work Item for support of eMTC and NB-IoT over NTN (</w:t>
      </w:r>
      <w:r w:rsidRPr="00BF75B0">
        <w:t>RP-211601)</w:t>
      </w:r>
      <w:r>
        <w:t xml:space="preserve"> is approved in RAN-92e meeting. RAN2 Agreements related to the tracking area and mobility aspects in RAN2-115e are given in Annexure-A.</w:t>
      </w:r>
    </w:p>
    <w:p w14:paraId="24C17649" w14:textId="085BD45E" w:rsidR="00E15320" w:rsidRDefault="00F54D75" w:rsidP="00E15320">
      <w:r>
        <w:t xml:space="preserve">In this discussion paper we analyse the remaining open issues related to control plane procedures for IoT-NTN applicable to idle and connected mode scenario. </w:t>
      </w:r>
    </w:p>
    <w:p w14:paraId="4F547731" w14:textId="2A1A2763" w:rsidR="00A209D6" w:rsidRDefault="00A209D6" w:rsidP="00B7538C">
      <w:pPr>
        <w:pStyle w:val="Heading1"/>
      </w:pPr>
      <w:r w:rsidRPr="006E13D1">
        <w:t>2</w:t>
      </w:r>
      <w:r w:rsidRPr="006E13D1">
        <w:tab/>
      </w:r>
      <w:r w:rsidR="00E15320">
        <w:t>Discussion</w:t>
      </w:r>
    </w:p>
    <w:p w14:paraId="4865BFC1" w14:textId="04C2CF53" w:rsidR="005C275B" w:rsidRPr="005C275B" w:rsidRDefault="005C275B" w:rsidP="00A011BB">
      <w:pPr>
        <w:pStyle w:val="Heading3"/>
      </w:pPr>
      <w:r>
        <w:t>2</w:t>
      </w:r>
      <w:r w:rsidRPr="006E13D1">
        <w:t>.</w:t>
      </w:r>
      <w:r>
        <w:t>2.1</w:t>
      </w:r>
      <w:r w:rsidRPr="006E13D1">
        <w:tab/>
      </w:r>
      <w:r w:rsidR="00A011BB">
        <w:t>Tracking area switching Impacts for IoT-NTN</w:t>
      </w:r>
    </w:p>
    <w:p w14:paraId="5B0CD1A2" w14:textId="49B7A9B4" w:rsidR="00F54D75" w:rsidRDefault="007A08AC" w:rsidP="00F54D75">
      <w:r>
        <w:t>The impact to IoT-NTN UE power consumption due to additional tracking area update procedure for TA hard switch option was analysed</w:t>
      </w:r>
      <w:r w:rsidR="00C6278C">
        <w:t xml:space="preserve"> in [</w:t>
      </w:r>
      <w:r w:rsidR="00576C6A">
        <w:t>1</w:t>
      </w:r>
      <w:r w:rsidR="00C6278C">
        <w:t>]</w:t>
      </w:r>
      <w:r>
        <w:t>. For NR NTN UE the additional tracking area update procedure may be acceptable as idle mode power consumption optimisation is not critical for these devices. For IoT-NTN device</w:t>
      </w:r>
      <w:r w:rsidR="00A73B3F">
        <w:t>s</w:t>
      </w:r>
      <w:r>
        <w:t xml:space="preserve"> the additional energy consumption will have impact on battery lifetime. So we propose not to support TA hard-switch option for IoT-NTN earth fixed tracking area with moving cell scenario.</w:t>
      </w:r>
    </w:p>
    <w:p w14:paraId="7C1C1EE4" w14:textId="25F6383B" w:rsidR="007A08AC" w:rsidRPr="00982266" w:rsidRDefault="007A08AC" w:rsidP="007A08AC">
      <w:pPr>
        <w:rPr>
          <w:b/>
          <w:bCs/>
        </w:rPr>
      </w:pPr>
      <w:r w:rsidRPr="00982266">
        <w:rPr>
          <w:b/>
          <w:bCs/>
        </w:rPr>
        <w:t>Proposal 1: TA soft switch option is only considered for IoT-NTN earth fixed tracking area configuration</w:t>
      </w:r>
      <w:r w:rsidR="00576C6A">
        <w:rPr>
          <w:b/>
          <w:bCs/>
        </w:rPr>
        <w:t>.</w:t>
      </w:r>
    </w:p>
    <w:p w14:paraId="2BF86097" w14:textId="5693AA0E" w:rsidR="007A08AC" w:rsidRDefault="009472C0" w:rsidP="00F54D75">
      <w:r>
        <w:t>When cell is broadcasting more than one tracking area, the cell needs to send paging messages of idle mode UE which are registered in both tracking areas. The tracking area wide paging is normally used by the network for moving UE where the paging in last known location will not be useful as the UE might have changed cell from last connection until the paging occasion. On the cell broadcasting more than one tracking areas, the paging load will be increased by the tracking area wide paging attempts of all the tracking area</w:t>
      </w:r>
      <w:r w:rsidR="00AE04EE">
        <w:t>s</w:t>
      </w:r>
      <w:r>
        <w:t xml:space="preserve">. For idle mode UE in this cell there would be increased false wake-up due to this additional paging load.  </w:t>
      </w:r>
    </w:p>
    <w:p w14:paraId="79EFB718" w14:textId="45CA10A9" w:rsidR="00576C6A" w:rsidRDefault="00576C6A" w:rsidP="00F54D75">
      <w:pPr>
        <w:rPr>
          <w:b/>
          <w:bCs/>
        </w:rPr>
      </w:pPr>
      <w:r w:rsidRPr="00576C6A">
        <w:rPr>
          <w:b/>
          <w:bCs/>
        </w:rPr>
        <w:t>Observation 1: The paging load in cell broadcasting multiple tracking area will be higher due to tracking area wide paging for all camped users of multiple tracking areas. This significantly increase the false wake-up for stationary UE in the cell.</w:t>
      </w:r>
    </w:p>
    <w:p w14:paraId="73EDF25E" w14:textId="0FB47C13" w:rsidR="00576C6A" w:rsidRPr="00576C6A" w:rsidRDefault="00576C6A" w:rsidP="00F54D75">
      <w:r>
        <w:t>If network support some prior indication prior to actual paging message reception about the tracking area associated with the paging message the UE which were not registered for this tracking area need not wake-up for receiving the paging message.  As the power consumption reduction is key requirement for IoT-NTN the changes in paging to differentiate tracking is essential. The need for such enhancement for NTN is higher considering larger number of camped devices per cell and tracking area compared to terrestrial network.</w:t>
      </w:r>
    </w:p>
    <w:p w14:paraId="233AE1EF" w14:textId="23B7A077" w:rsidR="009472C0" w:rsidRPr="00982266" w:rsidRDefault="009472C0" w:rsidP="009472C0">
      <w:pPr>
        <w:rPr>
          <w:b/>
          <w:bCs/>
        </w:rPr>
      </w:pPr>
      <w:r w:rsidRPr="00982266">
        <w:rPr>
          <w:b/>
          <w:bCs/>
        </w:rPr>
        <w:t xml:space="preserve">Proposal </w:t>
      </w:r>
      <w:r>
        <w:rPr>
          <w:b/>
          <w:bCs/>
        </w:rPr>
        <w:t>2</w:t>
      </w:r>
      <w:r w:rsidRPr="00982266">
        <w:rPr>
          <w:b/>
          <w:bCs/>
        </w:rPr>
        <w:t xml:space="preserve">: </w:t>
      </w:r>
      <w:r>
        <w:rPr>
          <w:b/>
          <w:bCs/>
        </w:rPr>
        <w:t>RAN2 to consider changes</w:t>
      </w:r>
      <w:r w:rsidR="00576C6A">
        <w:rPr>
          <w:b/>
          <w:bCs/>
        </w:rPr>
        <w:t xml:space="preserve"> needed to differentiate paging messages of different tracking area when cell is broadcasting multiple tracking area.</w:t>
      </w:r>
    </w:p>
    <w:p w14:paraId="3FA11F4F" w14:textId="6D6D60FE" w:rsidR="009472C0" w:rsidRDefault="009D5637" w:rsidP="00F54D75">
      <w:r>
        <w:t xml:space="preserve">In case of TA soft-switch scenario the system information update is required when the cell is entering into new tracking area coverage region for including new tracking area. When the cell has completely moved into the new tracking area the previous tracking area will be removed and the system information update is needed in this case also. It is agreed in RAN2-115e that inclusion of tracking area in system information need not trigger paging for system information change. </w:t>
      </w:r>
      <w:r w:rsidR="00005745">
        <w:t xml:space="preserve"> But need for paging the system information update for removal of Tracking area is FFS.</w:t>
      </w:r>
    </w:p>
    <w:tbl>
      <w:tblPr>
        <w:tblStyle w:val="TableGrid"/>
        <w:tblW w:w="9322" w:type="dxa"/>
        <w:tblInd w:w="171" w:type="dxa"/>
        <w:tblLook w:val="04A0" w:firstRow="1" w:lastRow="0" w:firstColumn="1" w:lastColumn="0" w:noHBand="0" w:noVBand="1"/>
      </w:tblPr>
      <w:tblGrid>
        <w:gridCol w:w="9322"/>
      </w:tblGrid>
      <w:tr w:rsidR="009D5637" w14:paraId="0B564297" w14:textId="77777777" w:rsidTr="0095349A">
        <w:trPr>
          <w:trHeight w:val="143"/>
        </w:trPr>
        <w:tc>
          <w:tcPr>
            <w:tcW w:w="9322" w:type="dxa"/>
          </w:tcPr>
          <w:p w14:paraId="1FD6B7CF" w14:textId="79243058" w:rsidR="009D5637" w:rsidRDefault="009D5637" w:rsidP="009D5637">
            <w:pPr>
              <w:pStyle w:val="Agreement"/>
              <w:numPr>
                <w:ilvl w:val="0"/>
                <w:numId w:val="0"/>
              </w:numPr>
            </w:pPr>
            <w:r w:rsidRPr="009D5637">
              <w:rPr>
                <w:i/>
                <w:iCs/>
              </w:rPr>
              <w:lastRenderedPageBreak/>
              <w:t>System information update notification procedure is not used to inform TAC updates, at least for TAC additions (FFS removals)</w:t>
            </w:r>
            <w:r>
              <w:rPr>
                <w:i/>
                <w:iCs/>
              </w:rPr>
              <w:t>.</w:t>
            </w:r>
          </w:p>
        </w:tc>
      </w:tr>
    </w:tbl>
    <w:p w14:paraId="12F0DBAA" w14:textId="5D627754" w:rsidR="009D5637" w:rsidRPr="00CD4088" w:rsidRDefault="009D5637" w:rsidP="00F54D75">
      <w:pPr>
        <w:rPr>
          <w:sz w:val="2"/>
          <w:szCs w:val="2"/>
        </w:rPr>
      </w:pPr>
    </w:p>
    <w:p w14:paraId="2588B625" w14:textId="094D416C" w:rsidR="009D5637" w:rsidRDefault="00005745" w:rsidP="00F54D75">
      <w:r>
        <w:t>The system information change for removal of tracking area is needed only for the UE which might have crossed the tracking area border after the system information contents already broadcasting two tracking areas. Because the UE will not see tracking area change of system information at the time of inclusion</w:t>
      </w:r>
      <w:r w:rsidR="009A22D6">
        <w:t>, b</w:t>
      </w:r>
      <w:r>
        <w:t xml:space="preserve">ut if the UE is not informed about the removal of tracking area via system information, </w:t>
      </w:r>
      <w:r w:rsidR="00450584">
        <w:t>this UE</w:t>
      </w:r>
      <w:r>
        <w:t xml:space="preserve"> will not detect its mobility across tracking area and will not trigger tracking area update. This may lead to UE missing the paging from CN as the current tracking area is not known to CN. </w:t>
      </w:r>
      <w:r w:rsidR="00C8277C">
        <w:t xml:space="preserve"> To resolve this situation if paging is triggered for system information update for the TA removal, it will lead to all the stationary UE in this region receiving such paging which is not needed. </w:t>
      </w:r>
      <w:r w:rsidR="003D55F3">
        <w:t>If the system information update notification is not triggered on removal the UE may be informed about the new tracking area when it triggers next RRC connection in this cell via RRC signalling.  As the mobility scenario which requires the system information update on removal is less probable and there is possibility for those UE to know the latest tracking area later we propose that system information update notification is not triggered on removal also for IoT-NTN.</w:t>
      </w:r>
    </w:p>
    <w:p w14:paraId="4A3DBF55" w14:textId="7D4F45FD" w:rsidR="003D55F3" w:rsidRDefault="003D55F3" w:rsidP="003D55F3">
      <w:pPr>
        <w:rPr>
          <w:b/>
          <w:bCs/>
        </w:rPr>
      </w:pPr>
      <w:r w:rsidRPr="00982266">
        <w:rPr>
          <w:b/>
          <w:bCs/>
        </w:rPr>
        <w:t xml:space="preserve">Proposal </w:t>
      </w:r>
      <w:r>
        <w:rPr>
          <w:b/>
          <w:bCs/>
        </w:rPr>
        <w:t>3</w:t>
      </w:r>
      <w:r w:rsidRPr="00982266">
        <w:rPr>
          <w:b/>
          <w:bCs/>
        </w:rPr>
        <w:t xml:space="preserve">: </w:t>
      </w:r>
      <w:r>
        <w:rPr>
          <w:b/>
          <w:bCs/>
        </w:rPr>
        <w:t>System Information update notification procedure is not used to inform TAC update on TAC removal.</w:t>
      </w:r>
    </w:p>
    <w:p w14:paraId="653CE96D" w14:textId="5FA30B5A" w:rsidR="003D55F3" w:rsidRPr="003D55F3" w:rsidRDefault="003D55F3" w:rsidP="003D55F3">
      <w:r w:rsidRPr="003D55F3">
        <w:t xml:space="preserve">Inclusion of </w:t>
      </w:r>
      <w:r>
        <w:t>time of system information update for new tracking area and timer duration until removal of the tracking area is another alternative to mitigate the impact of not triggering system information update for removal of TAC. But this will lead to inclusion of more parameter in system information which have limited space only for essential parameters. Hence we propose not to consider further system information changes related to TA soft switch scenario.</w:t>
      </w:r>
    </w:p>
    <w:p w14:paraId="1E621EDD" w14:textId="5923F3B5" w:rsidR="005C275B" w:rsidRDefault="005C275B" w:rsidP="005C275B">
      <w:pPr>
        <w:rPr>
          <w:b/>
          <w:bCs/>
        </w:rPr>
      </w:pPr>
      <w:r w:rsidRPr="00982266">
        <w:rPr>
          <w:b/>
          <w:bCs/>
        </w:rPr>
        <w:t xml:space="preserve">Proposal </w:t>
      </w:r>
      <w:r>
        <w:rPr>
          <w:b/>
          <w:bCs/>
        </w:rPr>
        <w:t>4</w:t>
      </w:r>
      <w:r w:rsidRPr="00982266">
        <w:rPr>
          <w:b/>
          <w:bCs/>
        </w:rPr>
        <w:t xml:space="preserve">: </w:t>
      </w:r>
      <w:r>
        <w:rPr>
          <w:b/>
          <w:bCs/>
        </w:rPr>
        <w:t>Additional parameters are not included in system Information related to TA list management for IoT-NTN.</w:t>
      </w:r>
    </w:p>
    <w:p w14:paraId="6AF7808E" w14:textId="6588F6C6" w:rsidR="005C275B" w:rsidRPr="006E13D1" w:rsidRDefault="005C275B" w:rsidP="005C275B">
      <w:pPr>
        <w:pStyle w:val="Heading3"/>
      </w:pPr>
      <w:r>
        <w:t>2</w:t>
      </w:r>
      <w:r w:rsidRPr="006E13D1">
        <w:t>.</w:t>
      </w:r>
      <w:r>
        <w:t>2.2</w:t>
      </w:r>
      <w:r w:rsidRPr="006E13D1">
        <w:tab/>
      </w:r>
      <w:r>
        <w:t>WUS Support and Impact of its Restrictions</w:t>
      </w:r>
    </w:p>
    <w:p w14:paraId="30BD2713" w14:textId="210EC47D" w:rsidR="005C275B" w:rsidRDefault="005C275B" w:rsidP="005C275B">
      <w:pPr>
        <w:rPr>
          <w:lang w:val="en-US" w:eastAsia="ja-JP"/>
        </w:rPr>
      </w:pPr>
      <w:r>
        <w:rPr>
          <w:lang w:val="en-US" w:eastAsia="ja-JP"/>
        </w:rPr>
        <w:t xml:space="preserve">As the number of idle mode UE per NTN cell coverage is significantly higher than TN cell, the paging load on eMTC/NB-IoT carrier of NTN cell also would be higher. Depending on the configuration of number of paging occasions per cell this paging load will also impact false wake-up of UE in the paging occasion as there would at-least </w:t>
      </w:r>
      <w:r w:rsidR="00886131">
        <w:rPr>
          <w:lang w:val="en-US" w:eastAsia="ja-JP"/>
        </w:rPr>
        <w:t xml:space="preserve">be </w:t>
      </w:r>
      <w:r>
        <w:rPr>
          <w:lang w:val="en-US" w:eastAsia="ja-JP"/>
        </w:rPr>
        <w:t xml:space="preserve">one valid paging message in most of the paging occasions with higher paging load scenario. In such cases use of WUS would not be beneficial in reducing the UE energy consumption at UE. Configuration of </w:t>
      </w:r>
      <w:r w:rsidR="00D82DC0">
        <w:rPr>
          <w:lang w:val="en-US" w:eastAsia="ja-JP"/>
        </w:rPr>
        <w:t>group WUS (</w:t>
      </w:r>
      <w:r>
        <w:rPr>
          <w:lang w:val="en-US" w:eastAsia="ja-JP"/>
        </w:rPr>
        <w:t>GWUS</w:t>
      </w:r>
      <w:r w:rsidR="00D82DC0">
        <w:rPr>
          <w:lang w:val="en-US" w:eastAsia="ja-JP"/>
        </w:rPr>
        <w:t>)</w:t>
      </w:r>
      <w:r>
        <w:rPr>
          <w:lang w:val="en-US" w:eastAsia="ja-JP"/>
        </w:rPr>
        <w:t xml:space="preserve"> based on UE-ID is essential to achieve the benefits of WUS configuration.</w:t>
      </w:r>
    </w:p>
    <w:p w14:paraId="6390CB15" w14:textId="2B554123" w:rsidR="005C275B" w:rsidRDefault="005C275B" w:rsidP="005C275B">
      <w:pPr>
        <w:rPr>
          <w:b/>
          <w:bCs/>
          <w:lang w:val="en-US" w:eastAsia="ja-JP"/>
        </w:rPr>
      </w:pPr>
      <w:r w:rsidRPr="002B55C5">
        <w:rPr>
          <w:b/>
          <w:bCs/>
          <w:lang w:val="en-US" w:eastAsia="ja-JP"/>
        </w:rPr>
        <w:t xml:space="preserve">Proposal </w:t>
      </w:r>
      <w:r>
        <w:rPr>
          <w:b/>
          <w:bCs/>
          <w:lang w:val="en-US" w:eastAsia="ja-JP"/>
        </w:rPr>
        <w:t>5</w:t>
      </w:r>
      <w:r w:rsidRPr="002B55C5">
        <w:rPr>
          <w:b/>
          <w:bCs/>
          <w:lang w:val="en-US" w:eastAsia="ja-JP"/>
        </w:rPr>
        <w:t xml:space="preserve">: </w:t>
      </w:r>
      <w:r>
        <w:rPr>
          <w:b/>
          <w:bCs/>
          <w:lang w:val="en-US" w:eastAsia="ja-JP"/>
        </w:rPr>
        <w:t>Group WUS support should be mandatory capability for IoT-NTN WUS functionality.</w:t>
      </w:r>
    </w:p>
    <w:p w14:paraId="44CBD3E6" w14:textId="3393021F" w:rsidR="005C275B" w:rsidRDefault="005C275B" w:rsidP="005C275B">
      <w:pPr>
        <w:rPr>
          <w:lang w:val="en-US" w:eastAsia="ja-JP"/>
        </w:rPr>
      </w:pPr>
      <w:r>
        <w:rPr>
          <w:lang w:val="en-US" w:eastAsia="ja-JP"/>
        </w:rPr>
        <w:t xml:space="preserve">In Rel-16 (G)WUS signal is only applicable on the last serving cell. When UE moves to new cell the WUS is disabled and UE monitors the paging directly. Network also ensures that WUS transmission is disabled when the paging message is sent over cells other than last serving cell. This restriction for WUS functionality is introduced to avoid false wake-up of stationary UE of neighboring cells when WUS is used for UE moving out of serving cell. This restriction if extended for NTN scenario will severely impact the WUS efficiency for moving cell scenario. Because even for stationary UE there will </w:t>
      </w:r>
      <w:r w:rsidR="00443C2C">
        <w:rPr>
          <w:lang w:val="en-US" w:eastAsia="ja-JP"/>
        </w:rPr>
        <w:t xml:space="preserve">be </w:t>
      </w:r>
      <w:r>
        <w:rPr>
          <w:lang w:val="en-US" w:eastAsia="ja-JP"/>
        </w:rPr>
        <w:t>cell reselection due to cell mobility</w:t>
      </w:r>
      <w:r w:rsidR="00443C2C">
        <w:rPr>
          <w:lang w:val="en-US" w:eastAsia="ja-JP"/>
        </w:rPr>
        <w:t>, which would lead to disabling of WUS</w:t>
      </w:r>
      <w:r w:rsidR="00DD19AC">
        <w:rPr>
          <w:lang w:val="en-US" w:eastAsia="ja-JP"/>
        </w:rPr>
        <w:t xml:space="preserve"> monitoring for the UE</w:t>
      </w:r>
      <w:r>
        <w:rPr>
          <w:lang w:val="en-US" w:eastAsia="ja-JP"/>
        </w:rPr>
        <w:t>.</w:t>
      </w:r>
    </w:p>
    <w:p w14:paraId="5A8CEE47" w14:textId="77777777" w:rsidR="005C275B" w:rsidRPr="00E30A43" w:rsidRDefault="005C275B" w:rsidP="005C275B">
      <w:pPr>
        <w:rPr>
          <w:b/>
          <w:bCs/>
          <w:lang w:val="en-US" w:eastAsia="ja-JP"/>
        </w:rPr>
      </w:pPr>
      <w:r w:rsidRPr="00E30A43">
        <w:rPr>
          <w:b/>
          <w:bCs/>
          <w:lang w:val="en-US" w:eastAsia="ja-JP"/>
        </w:rPr>
        <w:t>Observation 1: Rel-16 WUS restriction will impact the efficiency of WUS functionality in NTN for moving cell scenario.</w:t>
      </w:r>
    </w:p>
    <w:p w14:paraId="6B9DFDD2" w14:textId="77777777" w:rsidR="005C275B" w:rsidRDefault="005C275B" w:rsidP="005C275B">
      <w:pPr>
        <w:rPr>
          <w:lang w:val="en-US" w:eastAsia="ja-JP"/>
        </w:rPr>
      </w:pPr>
      <w:r>
        <w:rPr>
          <w:lang w:val="en-US" w:eastAsia="ja-JP"/>
        </w:rPr>
        <w:t>WUS functionality with Group WUS configuration is needed for NTN scenario to improve the energy efficiency of paging reception over cell with larger coverage area. But if the restrictions of Rel-16 WUS is applied as such it will further degrade the efficiency of this feature. In order to make effective use of WUS functionality for NTN, further enhancements to WUS functionality for moving cell scenario needs to be considered.</w:t>
      </w:r>
    </w:p>
    <w:p w14:paraId="271F4DF0" w14:textId="15B63FD2" w:rsidR="005C275B" w:rsidRPr="00E30A43" w:rsidRDefault="005C275B" w:rsidP="005C275B">
      <w:pPr>
        <w:rPr>
          <w:b/>
          <w:bCs/>
          <w:lang w:val="en-US" w:eastAsia="ja-JP"/>
        </w:rPr>
      </w:pPr>
      <w:r>
        <w:rPr>
          <w:b/>
          <w:bCs/>
          <w:lang w:val="en-US" w:eastAsia="ja-JP"/>
        </w:rPr>
        <w:t>Proposal 6</w:t>
      </w:r>
      <w:r w:rsidRPr="00E30A43">
        <w:rPr>
          <w:b/>
          <w:bCs/>
          <w:lang w:val="en-US" w:eastAsia="ja-JP"/>
        </w:rPr>
        <w:t xml:space="preserve">: </w:t>
      </w:r>
      <w:r>
        <w:rPr>
          <w:b/>
          <w:bCs/>
          <w:lang w:val="en-US" w:eastAsia="ja-JP"/>
        </w:rPr>
        <w:t>RAN2 to consider improving the Rel-16 WUS functionality for moving cell scenario for Rel-17.</w:t>
      </w:r>
    </w:p>
    <w:p w14:paraId="76FDB259" w14:textId="42052D40" w:rsidR="005C275B" w:rsidRPr="006E13D1" w:rsidRDefault="005C275B" w:rsidP="005C275B">
      <w:pPr>
        <w:pStyle w:val="Heading3"/>
      </w:pPr>
      <w:r>
        <w:t>2</w:t>
      </w:r>
      <w:r w:rsidRPr="006E13D1">
        <w:t>.</w:t>
      </w:r>
      <w:r>
        <w:t>2.3</w:t>
      </w:r>
      <w:r w:rsidRPr="006E13D1">
        <w:tab/>
      </w:r>
      <w:r>
        <w:t xml:space="preserve">Relaxed Monitoring </w:t>
      </w:r>
    </w:p>
    <w:p w14:paraId="7DAFE914" w14:textId="77777777" w:rsidR="005C275B" w:rsidRPr="00EC4E4D" w:rsidRDefault="005C275B" w:rsidP="005C275B">
      <w:pPr>
        <w:rPr>
          <w:lang w:val="en-US"/>
        </w:rPr>
      </w:pPr>
      <w:r w:rsidRPr="00EC4E4D">
        <w:t xml:space="preserve">The relaxed monitoring functionality specified for terrestrial IoT devices may not be applicable as such for NTN scenarios with </w:t>
      </w:r>
      <w:r>
        <w:t>discontinuous coverage</w:t>
      </w:r>
      <w:r w:rsidRPr="00EC4E4D">
        <w:t xml:space="preserve">. As the serving cell measurements continue to vary </w:t>
      </w:r>
      <w:r>
        <w:t>with the moving of satellite</w:t>
      </w:r>
      <w:r w:rsidRPr="00EC4E4D">
        <w:t>, decision for relaxed monitoring based on serving cell measurement variation will not lead to effective relaxed monitoring for stationary or low mobility device in NTN scenario. Modification to the relaxed monitoring criteria considering the ephemeris information</w:t>
      </w:r>
      <w:r>
        <w:t xml:space="preserve">, </w:t>
      </w:r>
      <w:r w:rsidRPr="00EC4E4D">
        <w:t>location of UE</w:t>
      </w:r>
      <w:r>
        <w:t xml:space="preserve"> and satellite coverage window</w:t>
      </w:r>
      <w:r w:rsidRPr="00EC4E4D">
        <w:t xml:space="preserve"> would be required to avoid unnecessary triggering of inter and intra frequency measurements before the UE is getting into the coverage of new cell.  </w:t>
      </w:r>
    </w:p>
    <w:p w14:paraId="608DA212" w14:textId="7719B8E8" w:rsidR="005C275B" w:rsidRPr="005E0A89" w:rsidRDefault="005C275B" w:rsidP="005C275B">
      <w:r w:rsidRPr="005E0A89">
        <w:rPr>
          <w:b/>
        </w:rPr>
        <w:lastRenderedPageBreak/>
        <w:t>Proposal</w:t>
      </w:r>
      <w:r>
        <w:rPr>
          <w:b/>
        </w:rPr>
        <w:t xml:space="preserve"> 7</w:t>
      </w:r>
      <w:r w:rsidRPr="005E0A89">
        <w:rPr>
          <w:b/>
        </w:rPr>
        <w:t xml:space="preserve">: RAN2 to consider modifications to the relaxed monitoring functionality based on </w:t>
      </w:r>
      <w:r>
        <w:rPr>
          <w:b/>
        </w:rPr>
        <w:t>UE location changes and ephemeris information instead of serving cell radio condition changes for IoT-NTN.</w:t>
      </w:r>
    </w:p>
    <w:p w14:paraId="70075E1E" w14:textId="77777777" w:rsidR="00FB24E8" w:rsidRPr="00FB24E8" w:rsidRDefault="00FB24E8" w:rsidP="00FB24E8"/>
    <w:p w14:paraId="5FF2457F" w14:textId="11A84A2C" w:rsidR="00A209D6" w:rsidRPr="006E13D1" w:rsidRDefault="00A209D6" w:rsidP="00A209D6">
      <w:pPr>
        <w:pStyle w:val="Heading1"/>
      </w:pPr>
      <w:r w:rsidRPr="006E13D1">
        <w:t>4</w:t>
      </w:r>
      <w:r w:rsidRPr="006E13D1">
        <w:tab/>
      </w:r>
      <w:r w:rsidR="008C3057">
        <w:t>Conclusion</w:t>
      </w:r>
    </w:p>
    <w:p w14:paraId="3F92E303" w14:textId="719BB076" w:rsidR="004F73A7" w:rsidRDefault="00576C6A" w:rsidP="004F73A7">
      <w:r>
        <w:t>Following are the observations and proposals based on the analysis on remaining issues related to control plane for IOT-NTN.</w:t>
      </w:r>
    </w:p>
    <w:p w14:paraId="3C8E84C8" w14:textId="2E6ADD8E" w:rsidR="00576C6A" w:rsidRPr="00576C6A" w:rsidRDefault="00576C6A" w:rsidP="00576C6A">
      <w:pPr>
        <w:rPr>
          <w:b/>
          <w:bCs/>
        </w:rPr>
      </w:pPr>
      <w:r w:rsidRPr="00576C6A">
        <w:rPr>
          <w:b/>
          <w:bCs/>
          <w:u w:val="single"/>
        </w:rPr>
        <w:t>For Tracking area switching related Issues</w:t>
      </w:r>
      <w:r w:rsidRPr="00576C6A">
        <w:rPr>
          <w:b/>
          <w:bCs/>
        </w:rPr>
        <w:t xml:space="preserve"> </w:t>
      </w:r>
    </w:p>
    <w:p w14:paraId="72FE19AA" w14:textId="2745D1CE" w:rsidR="00576C6A" w:rsidRPr="00982266" w:rsidRDefault="00576C6A" w:rsidP="00576C6A">
      <w:pPr>
        <w:rPr>
          <w:b/>
          <w:bCs/>
        </w:rPr>
      </w:pPr>
      <w:r w:rsidRPr="00982266">
        <w:rPr>
          <w:b/>
          <w:bCs/>
        </w:rPr>
        <w:t>Proposal 1: TA soft switch option is only considered for IoT-NTN earth fixed tracking area configuration</w:t>
      </w:r>
      <w:r>
        <w:rPr>
          <w:b/>
          <w:bCs/>
        </w:rPr>
        <w:t>.</w:t>
      </w:r>
    </w:p>
    <w:p w14:paraId="37E73BCE" w14:textId="14362EE6" w:rsidR="00576C6A" w:rsidRDefault="00576C6A" w:rsidP="00576C6A">
      <w:pPr>
        <w:rPr>
          <w:b/>
          <w:bCs/>
        </w:rPr>
      </w:pPr>
      <w:r w:rsidRPr="00576C6A">
        <w:rPr>
          <w:b/>
          <w:bCs/>
        </w:rPr>
        <w:t>Observation 1: The paging load in cell broadcasting multiple tracking area will be higher due to tracking area wide paging for all camped users of multiple tracking areas. This significantly increase the false wake-up for stationary UE in the cell.</w:t>
      </w:r>
    </w:p>
    <w:p w14:paraId="2C439F62" w14:textId="54211413" w:rsidR="00576C6A" w:rsidRDefault="00576C6A" w:rsidP="00576C6A">
      <w:pPr>
        <w:rPr>
          <w:b/>
          <w:bCs/>
        </w:rPr>
      </w:pPr>
      <w:r w:rsidRPr="00982266">
        <w:rPr>
          <w:b/>
          <w:bCs/>
        </w:rPr>
        <w:t xml:space="preserve">Proposal </w:t>
      </w:r>
      <w:r>
        <w:rPr>
          <w:b/>
          <w:bCs/>
        </w:rPr>
        <w:t>2</w:t>
      </w:r>
      <w:r w:rsidRPr="00982266">
        <w:rPr>
          <w:b/>
          <w:bCs/>
        </w:rPr>
        <w:t xml:space="preserve">: </w:t>
      </w:r>
      <w:r>
        <w:rPr>
          <w:b/>
          <w:bCs/>
        </w:rPr>
        <w:t>RAN2 to consider changes needed to differentiate paging messages of different tracking area when cell is broadcasting multiple tracking area.</w:t>
      </w:r>
    </w:p>
    <w:p w14:paraId="29D1EB06" w14:textId="1E69D9AA" w:rsidR="00576C6A" w:rsidRDefault="00576C6A" w:rsidP="00576C6A">
      <w:pPr>
        <w:rPr>
          <w:b/>
          <w:bCs/>
        </w:rPr>
      </w:pPr>
      <w:r w:rsidRPr="00982266">
        <w:rPr>
          <w:b/>
          <w:bCs/>
        </w:rPr>
        <w:t xml:space="preserve">Proposal </w:t>
      </w:r>
      <w:r>
        <w:rPr>
          <w:b/>
          <w:bCs/>
        </w:rPr>
        <w:t>3</w:t>
      </w:r>
      <w:r w:rsidRPr="00982266">
        <w:rPr>
          <w:b/>
          <w:bCs/>
        </w:rPr>
        <w:t xml:space="preserve">: </w:t>
      </w:r>
      <w:r>
        <w:rPr>
          <w:b/>
          <w:bCs/>
        </w:rPr>
        <w:t>System Information update notification procedure is not used to inform TAC update on TAC removal.</w:t>
      </w:r>
    </w:p>
    <w:p w14:paraId="119BF655" w14:textId="77777777" w:rsidR="00576C6A" w:rsidRDefault="00576C6A" w:rsidP="00576C6A">
      <w:pPr>
        <w:rPr>
          <w:b/>
          <w:bCs/>
        </w:rPr>
      </w:pPr>
      <w:r w:rsidRPr="00982266">
        <w:rPr>
          <w:b/>
          <w:bCs/>
        </w:rPr>
        <w:t xml:space="preserve">Proposal </w:t>
      </w:r>
      <w:r>
        <w:rPr>
          <w:b/>
          <w:bCs/>
        </w:rPr>
        <w:t>4</w:t>
      </w:r>
      <w:r w:rsidRPr="00982266">
        <w:rPr>
          <w:b/>
          <w:bCs/>
        </w:rPr>
        <w:t xml:space="preserve">: </w:t>
      </w:r>
      <w:r>
        <w:rPr>
          <w:b/>
          <w:bCs/>
        </w:rPr>
        <w:t>Additional parameters are not included in system Information related to TA list management for IoT-NTN.</w:t>
      </w:r>
    </w:p>
    <w:p w14:paraId="6ABD19CD" w14:textId="3385CCE6" w:rsidR="00576C6A" w:rsidRPr="00576C6A" w:rsidRDefault="00576C6A" w:rsidP="00576C6A">
      <w:pPr>
        <w:rPr>
          <w:b/>
          <w:bCs/>
        </w:rPr>
      </w:pPr>
      <w:r w:rsidRPr="00576C6A">
        <w:rPr>
          <w:b/>
          <w:bCs/>
          <w:u w:val="single"/>
        </w:rPr>
        <w:t xml:space="preserve">For </w:t>
      </w:r>
      <w:r>
        <w:rPr>
          <w:b/>
          <w:bCs/>
          <w:u w:val="single"/>
        </w:rPr>
        <w:t>Idle mode procedures of IOT-NTN UE</w:t>
      </w:r>
      <w:r w:rsidRPr="00576C6A">
        <w:rPr>
          <w:b/>
          <w:bCs/>
        </w:rPr>
        <w:t xml:space="preserve"> </w:t>
      </w:r>
    </w:p>
    <w:p w14:paraId="30D278FB" w14:textId="77777777" w:rsidR="001656EB" w:rsidRDefault="001656EB" w:rsidP="001656EB">
      <w:pPr>
        <w:rPr>
          <w:b/>
          <w:bCs/>
          <w:lang w:val="en-US" w:eastAsia="ja-JP"/>
        </w:rPr>
      </w:pPr>
      <w:r w:rsidRPr="002B55C5">
        <w:rPr>
          <w:b/>
          <w:bCs/>
          <w:lang w:val="en-US" w:eastAsia="ja-JP"/>
        </w:rPr>
        <w:t xml:space="preserve">Proposal </w:t>
      </w:r>
      <w:r>
        <w:rPr>
          <w:b/>
          <w:bCs/>
          <w:lang w:val="en-US" w:eastAsia="ja-JP"/>
        </w:rPr>
        <w:t>5</w:t>
      </w:r>
      <w:r w:rsidRPr="002B55C5">
        <w:rPr>
          <w:b/>
          <w:bCs/>
          <w:lang w:val="en-US" w:eastAsia="ja-JP"/>
        </w:rPr>
        <w:t xml:space="preserve">: </w:t>
      </w:r>
      <w:r>
        <w:rPr>
          <w:b/>
          <w:bCs/>
          <w:lang w:val="en-US" w:eastAsia="ja-JP"/>
        </w:rPr>
        <w:t>Group WUS support should be mandatory capability for IoT-NTN WUS functionality.</w:t>
      </w:r>
    </w:p>
    <w:p w14:paraId="35D499AB" w14:textId="77777777" w:rsidR="001656EB" w:rsidRPr="00E30A43" w:rsidRDefault="001656EB" w:rsidP="001656EB">
      <w:pPr>
        <w:rPr>
          <w:b/>
          <w:bCs/>
          <w:lang w:val="en-US" w:eastAsia="ja-JP"/>
        </w:rPr>
      </w:pPr>
      <w:r w:rsidRPr="00E30A43">
        <w:rPr>
          <w:b/>
          <w:bCs/>
          <w:lang w:val="en-US" w:eastAsia="ja-JP"/>
        </w:rPr>
        <w:t>Observation 1: Rel-16 WUS restriction will impact the efficiency of WUS functionality in NTN for moving cell scenario.</w:t>
      </w:r>
    </w:p>
    <w:p w14:paraId="0D4ACD52" w14:textId="77777777" w:rsidR="001656EB" w:rsidRPr="00E30A43" w:rsidRDefault="001656EB" w:rsidP="001656EB">
      <w:pPr>
        <w:rPr>
          <w:b/>
          <w:bCs/>
          <w:lang w:val="en-US" w:eastAsia="ja-JP"/>
        </w:rPr>
      </w:pPr>
      <w:r>
        <w:rPr>
          <w:b/>
          <w:bCs/>
          <w:lang w:val="en-US" w:eastAsia="ja-JP"/>
        </w:rPr>
        <w:t>Proposal 6</w:t>
      </w:r>
      <w:r w:rsidRPr="00E30A43">
        <w:rPr>
          <w:b/>
          <w:bCs/>
          <w:lang w:val="en-US" w:eastAsia="ja-JP"/>
        </w:rPr>
        <w:t xml:space="preserve">: </w:t>
      </w:r>
      <w:r>
        <w:rPr>
          <w:b/>
          <w:bCs/>
          <w:lang w:val="en-US" w:eastAsia="ja-JP"/>
        </w:rPr>
        <w:t>RAN2 to consider improving the Rel-16 WUS functionality for moving cell scenario for Rel-17.</w:t>
      </w:r>
    </w:p>
    <w:p w14:paraId="4403A96E" w14:textId="77777777" w:rsidR="001656EB" w:rsidRPr="005E0A89" w:rsidRDefault="001656EB" w:rsidP="001656EB">
      <w:r w:rsidRPr="005E0A89">
        <w:rPr>
          <w:b/>
        </w:rPr>
        <w:t>Proposal</w:t>
      </w:r>
      <w:r>
        <w:rPr>
          <w:b/>
        </w:rPr>
        <w:t xml:space="preserve"> 7</w:t>
      </w:r>
      <w:r w:rsidRPr="005E0A89">
        <w:rPr>
          <w:b/>
        </w:rPr>
        <w:t xml:space="preserve">: RAN2 to consider modifications to the relaxed monitoring functionality based on </w:t>
      </w:r>
      <w:r>
        <w:rPr>
          <w:b/>
        </w:rPr>
        <w:t>UE location changes and ephemeris information instead of serving cell radio condition changes for IoT-NTN.</w:t>
      </w:r>
    </w:p>
    <w:p w14:paraId="7CCD81EB" w14:textId="77777777" w:rsidR="00576C6A" w:rsidRDefault="00576C6A" w:rsidP="004F73A7"/>
    <w:p w14:paraId="35F222F4" w14:textId="318DC54C" w:rsidR="00080512" w:rsidRDefault="00E15320" w:rsidP="00F54D75">
      <w:pPr>
        <w:pStyle w:val="Heading1"/>
      </w:pPr>
      <w:r>
        <w:t>Reference</w:t>
      </w:r>
    </w:p>
    <w:p w14:paraId="26D6D485" w14:textId="3BEED513" w:rsidR="007A08AC" w:rsidRPr="007A08AC" w:rsidRDefault="007A08AC" w:rsidP="007A08AC">
      <w:r>
        <w:t xml:space="preserve">[1] </w:t>
      </w:r>
      <w:r w:rsidRPr="007A08AC">
        <w:rPr>
          <w:rFonts w:hint="eastAsia"/>
        </w:rPr>
        <w:t>R</w:t>
      </w:r>
      <w:r w:rsidRPr="007A08AC">
        <w:t>2</w:t>
      </w:r>
      <w:r w:rsidRPr="007A08AC">
        <w:rPr>
          <w:rFonts w:hint="eastAsia"/>
        </w:rPr>
        <w:t>-</w:t>
      </w:r>
      <w:r w:rsidRPr="007A08AC">
        <w:t>2107813 Analysis on mobility aspects for IoT-NTN</w:t>
      </w:r>
    </w:p>
    <w:p w14:paraId="648C869A" w14:textId="24D11A00" w:rsidR="00F54D75" w:rsidRDefault="00F54D75" w:rsidP="00F54D75"/>
    <w:p w14:paraId="2BAE7AE5" w14:textId="7D63DD01" w:rsidR="00F54D75" w:rsidRDefault="009B589C" w:rsidP="00F54D75">
      <w:pPr>
        <w:pStyle w:val="Heading1"/>
      </w:pPr>
      <w:r>
        <w:t>Annexure: RAN2-115e Agreements</w:t>
      </w:r>
    </w:p>
    <w:p w14:paraId="2DDE9703" w14:textId="77777777" w:rsidR="009B589C" w:rsidRDefault="009B589C" w:rsidP="009B589C">
      <w:pPr>
        <w:pStyle w:val="Agreement"/>
        <w:tabs>
          <w:tab w:val="clear" w:pos="360"/>
          <w:tab w:val="num" w:pos="1619"/>
        </w:tabs>
        <w:ind w:left="1619"/>
      </w:pPr>
      <w:r>
        <w:t>Cell selection / reselection procedures for NB-IoT and LTE-M in TN is the baseline in NB-IoT/LTE-M NTN.</w:t>
      </w:r>
    </w:p>
    <w:p w14:paraId="4F540875" w14:textId="77777777" w:rsidR="009B589C" w:rsidRDefault="009B589C" w:rsidP="009B589C">
      <w:pPr>
        <w:pStyle w:val="Agreement"/>
        <w:tabs>
          <w:tab w:val="clear" w:pos="360"/>
          <w:tab w:val="num" w:pos="1619"/>
        </w:tabs>
        <w:ind w:left="1619"/>
      </w:pPr>
      <w:r>
        <w:t>RAN2 assumes that Satellite assistance information, e.g. for cell selection reselection, for serving cell is provided to UE.</w:t>
      </w:r>
    </w:p>
    <w:p w14:paraId="65D55D73" w14:textId="77777777" w:rsidR="009B589C" w:rsidRDefault="009B589C" w:rsidP="009B589C">
      <w:pPr>
        <w:pStyle w:val="Agreement"/>
        <w:tabs>
          <w:tab w:val="clear" w:pos="360"/>
          <w:tab w:val="num" w:pos="1619"/>
        </w:tabs>
        <w:ind w:left="1619"/>
      </w:pPr>
      <w:r>
        <w:t>Wait for the progress in RAN1 before discussion on whether satellite assistance information is broadcast in a separate information block.</w:t>
      </w:r>
    </w:p>
    <w:p w14:paraId="456EE2AA" w14:textId="77777777" w:rsidR="009B589C" w:rsidRDefault="009B589C" w:rsidP="009B589C">
      <w:pPr>
        <w:pStyle w:val="Agreement"/>
        <w:tabs>
          <w:tab w:val="clear" w:pos="360"/>
          <w:tab w:val="num" w:pos="1619"/>
        </w:tabs>
        <w:ind w:left="1619"/>
      </w:pPr>
      <w:r>
        <w:t xml:space="preserve">The timing information on when a cell is going to stop serving the area is broadcast at least for the quasi-earth fixed case. FFS details. </w:t>
      </w:r>
    </w:p>
    <w:p w14:paraId="49FA5E16" w14:textId="77777777" w:rsidR="009B589C" w:rsidRDefault="009B589C" w:rsidP="009B589C">
      <w:pPr>
        <w:pStyle w:val="Agreement"/>
        <w:tabs>
          <w:tab w:val="clear" w:pos="360"/>
          <w:tab w:val="num" w:pos="1619"/>
        </w:tabs>
        <w:ind w:left="1619"/>
      </w:pPr>
      <w:r>
        <w:t>The network may broadcast more than one TAC per PLMN in a cell, which is up to network implementation.</w:t>
      </w:r>
    </w:p>
    <w:p w14:paraId="24F85307" w14:textId="77777777" w:rsidR="009B589C" w:rsidRDefault="009B589C" w:rsidP="009B589C">
      <w:pPr>
        <w:pStyle w:val="Agreement"/>
        <w:tabs>
          <w:tab w:val="clear" w:pos="360"/>
          <w:tab w:val="num" w:pos="1619"/>
        </w:tabs>
        <w:ind w:left="1619"/>
      </w:pPr>
      <w:r>
        <w:lastRenderedPageBreak/>
        <w:t>The UE determines the Tracking Area based on the broadcast information (the use of other information is not excluded).</w:t>
      </w:r>
    </w:p>
    <w:p w14:paraId="6595EFA2" w14:textId="77777777" w:rsidR="009B589C" w:rsidRDefault="009B589C" w:rsidP="009B589C">
      <w:pPr>
        <w:pStyle w:val="Agreement"/>
        <w:tabs>
          <w:tab w:val="clear" w:pos="360"/>
          <w:tab w:val="num" w:pos="1619"/>
        </w:tabs>
        <w:ind w:left="1619"/>
      </w:pPr>
      <w:r>
        <w:t xml:space="preserve">When the network stops broadcasting a TAC, the UE needs to know it. FFS how this is done. </w:t>
      </w:r>
    </w:p>
    <w:p w14:paraId="44170D9E" w14:textId="77777777" w:rsidR="009B589C" w:rsidRDefault="009B589C" w:rsidP="009B589C">
      <w:pPr>
        <w:pStyle w:val="Agreement"/>
        <w:tabs>
          <w:tab w:val="clear" w:pos="360"/>
          <w:tab w:val="num" w:pos="1619"/>
        </w:tabs>
        <w:ind w:left="1619"/>
      </w:pPr>
      <w:r>
        <w:t>UE does not do TAU if one of the currently broadcasted TAC belongs to UE’s registration area.</w:t>
      </w:r>
    </w:p>
    <w:p w14:paraId="4372323A" w14:textId="77777777" w:rsidR="009B589C" w:rsidRDefault="009B589C" w:rsidP="009B589C">
      <w:pPr>
        <w:pStyle w:val="Agreement"/>
        <w:tabs>
          <w:tab w:val="clear" w:pos="360"/>
          <w:tab w:val="num" w:pos="1619"/>
        </w:tabs>
        <w:ind w:left="1619"/>
      </w:pPr>
      <w:r>
        <w:t>Rel-16 LTE CHO mechanism is supported for LTE-M devices in IoT NTN. FFS which CE Mode(s) to apply</w:t>
      </w:r>
    </w:p>
    <w:p w14:paraId="0EFDAE05" w14:textId="77777777" w:rsidR="009B589C" w:rsidRDefault="009B589C" w:rsidP="009B589C">
      <w:pPr>
        <w:pStyle w:val="Agreement"/>
        <w:tabs>
          <w:tab w:val="clear" w:pos="360"/>
          <w:tab w:val="num" w:pos="1619"/>
        </w:tabs>
        <w:ind w:left="1619"/>
      </w:pPr>
      <w:r w:rsidRPr="008769D6">
        <w:t>No procedural update is required to support connected mode mobility for LTE-M.</w:t>
      </w:r>
    </w:p>
    <w:p w14:paraId="3509AC37" w14:textId="77777777" w:rsidR="009B589C" w:rsidRDefault="009B589C" w:rsidP="009B589C">
      <w:pPr>
        <w:pStyle w:val="Agreement"/>
        <w:tabs>
          <w:tab w:val="clear" w:pos="360"/>
          <w:tab w:val="num" w:pos="1619"/>
        </w:tabs>
        <w:ind w:left="1619"/>
      </w:pPr>
      <w:r>
        <w:t>Rel-16 RLF / connection re-establishment mechanisms are supported in IoT NTN assuming that minor adjustments to UE specific timers and constants would be sufficient.</w:t>
      </w:r>
    </w:p>
    <w:p w14:paraId="4F208EE0" w14:textId="77777777" w:rsidR="009B589C" w:rsidRDefault="009B589C" w:rsidP="009B589C">
      <w:pPr>
        <w:rPr>
          <w:lang w:eastAsia="ja-JP"/>
        </w:rPr>
      </w:pPr>
    </w:p>
    <w:p w14:paraId="2F15F97F" w14:textId="77777777" w:rsidR="009B589C" w:rsidRDefault="009B589C" w:rsidP="009B589C">
      <w:pPr>
        <w:rPr>
          <w:lang w:eastAsia="ja-JP"/>
        </w:rPr>
      </w:pPr>
    </w:p>
    <w:p w14:paraId="791159F8" w14:textId="77777777" w:rsidR="009B589C" w:rsidRDefault="009B589C" w:rsidP="009B589C">
      <w:pPr>
        <w:pStyle w:val="Agreement"/>
        <w:tabs>
          <w:tab w:val="clear" w:pos="360"/>
          <w:tab w:val="num" w:pos="1619"/>
        </w:tabs>
        <w:ind w:left="1619"/>
      </w:pPr>
      <w:r>
        <w:t xml:space="preserve">FFS if Satellite assistance information for neighbour cell(s) is provided to UE for cell selection/reselection (justification would be needed). </w:t>
      </w:r>
    </w:p>
    <w:p w14:paraId="29B58152" w14:textId="77777777" w:rsidR="009B589C" w:rsidRDefault="009B589C" w:rsidP="009B589C">
      <w:pPr>
        <w:pStyle w:val="Agreement"/>
        <w:tabs>
          <w:tab w:val="clear" w:pos="360"/>
          <w:tab w:val="num" w:pos="1619"/>
        </w:tabs>
        <w:ind w:left="1619"/>
      </w:pPr>
      <w:r>
        <w:t>The value range for parameter t304 is not extended with larger values.</w:t>
      </w:r>
    </w:p>
    <w:p w14:paraId="332EF4F1" w14:textId="77777777" w:rsidR="009B589C" w:rsidRDefault="009B589C" w:rsidP="009B589C">
      <w:pPr>
        <w:pStyle w:val="Agreement"/>
        <w:tabs>
          <w:tab w:val="clear" w:pos="360"/>
          <w:tab w:val="num" w:pos="1619"/>
        </w:tabs>
        <w:ind w:left="1619"/>
      </w:pPr>
      <w:r>
        <w:t>Send an LS to RAN4 to inform that RRM impacts for supporting CHO should be taken into consideration.</w:t>
      </w:r>
    </w:p>
    <w:p w14:paraId="2B778656" w14:textId="77777777" w:rsidR="009B589C" w:rsidRDefault="009B589C" w:rsidP="009B589C">
      <w:pPr>
        <w:pStyle w:val="Agreement"/>
        <w:tabs>
          <w:tab w:val="clear" w:pos="360"/>
          <w:tab w:val="num" w:pos="1619"/>
        </w:tabs>
        <w:ind w:left="1619"/>
      </w:pPr>
      <w:r>
        <w:t>Postpone the discussion on whether specific timers and constants for RLF and RRC connection re-establishment procedures require extended value range and/or new behaviour till next meeting.</w:t>
      </w:r>
    </w:p>
    <w:p w14:paraId="23696158" w14:textId="77777777" w:rsidR="009B589C" w:rsidRDefault="009B589C" w:rsidP="009B589C">
      <w:pPr>
        <w:pStyle w:val="Agreement"/>
        <w:tabs>
          <w:tab w:val="clear" w:pos="360"/>
          <w:tab w:val="num" w:pos="1619"/>
        </w:tabs>
        <w:ind w:left="1619"/>
      </w:pPr>
      <w:r>
        <w:t>System information update notification procedure is not used to inform TAC updates, at least for TAC additions (FFS removals)</w:t>
      </w:r>
    </w:p>
    <w:p w14:paraId="62C154C9" w14:textId="77777777" w:rsidR="009B589C" w:rsidRPr="009B589C" w:rsidRDefault="009B589C" w:rsidP="009B589C"/>
    <w:p w14:paraId="04DF38A9" w14:textId="77777777" w:rsidR="00F54D75" w:rsidRPr="00F54D75" w:rsidRDefault="00F54D75" w:rsidP="00F54D75"/>
    <w:sectPr w:rsidR="00F54D75" w:rsidRPr="00F54D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30FDF" w14:textId="77777777" w:rsidR="004B0E95" w:rsidRDefault="004B0E95">
      <w:r>
        <w:separator/>
      </w:r>
    </w:p>
  </w:endnote>
  <w:endnote w:type="continuationSeparator" w:id="0">
    <w:p w14:paraId="1341902F" w14:textId="77777777" w:rsidR="004B0E95" w:rsidRDefault="004B0E95">
      <w:r>
        <w:continuationSeparator/>
      </w:r>
    </w:p>
  </w:endnote>
  <w:endnote w:type="continuationNotice" w:id="1">
    <w:p w14:paraId="565A3CBD" w14:textId="77777777" w:rsidR="004B0E95" w:rsidRDefault="004B0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03E99" w14:textId="77777777" w:rsidR="004B0E95" w:rsidRDefault="004B0E95">
      <w:r>
        <w:separator/>
      </w:r>
    </w:p>
  </w:footnote>
  <w:footnote w:type="continuationSeparator" w:id="0">
    <w:p w14:paraId="5CE46072" w14:textId="77777777" w:rsidR="004B0E95" w:rsidRDefault="004B0E95">
      <w:r>
        <w:continuationSeparator/>
      </w:r>
    </w:p>
  </w:footnote>
  <w:footnote w:type="continuationNotice" w:id="1">
    <w:p w14:paraId="109FC24A" w14:textId="77777777" w:rsidR="004B0E95" w:rsidRDefault="004B0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65193"/>
    <w:multiLevelType w:val="hybridMultilevel"/>
    <w:tmpl w:val="87DA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A5412"/>
    <w:multiLevelType w:val="hybridMultilevel"/>
    <w:tmpl w:val="FF4A522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6730F"/>
    <w:multiLevelType w:val="hybridMultilevel"/>
    <w:tmpl w:val="B46E4F64"/>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5"/>
  </w:num>
  <w:num w:numId="6">
    <w:abstractNumId w:val="7"/>
  </w:num>
  <w:num w:numId="7">
    <w:abstractNumId w:val="8"/>
  </w:num>
  <w:num w:numId="8">
    <w:abstractNumId w:val="3"/>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CE"/>
    <w:rsid w:val="00005745"/>
    <w:rsid w:val="00005A57"/>
    <w:rsid w:val="00016557"/>
    <w:rsid w:val="00023C40"/>
    <w:rsid w:val="00033397"/>
    <w:rsid w:val="00040095"/>
    <w:rsid w:val="00065268"/>
    <w:rsid w:val="00073C9C"/>
    <w:rsid w:val="00080512"/>
    <w:rsid w:val="00090468"/>
    <w:rsid w:val="00094568"/>
    <w:rsid w:val="000B7BCF"/>
    <w:rsid w:val="000C522B"/>
    <w:rsid w:val="000D58AB"/>
    <w:rsid w:val="00112F1A"/>
    <w:rsid w:val="00145075"/>
    <w:rsid w:val="001656EB"/>
    <w:rsid w:val="001741A0"/>
    <w:rsid w:val="00175FA0"/>
    <w:rsid w:val="00194CD0"/>
    <w:rsid w:val="001B49C9"/>
    <w:rsid w:val="001C23F4"/>
    <w:rsid w:val="001C4F79"/>
    <w:rsid w:val="001F168B"/>
    <w:rsid w:val="001F7831"/>
    <w:rsid w:val="00204045"/>
    <w:rsid w:val="0020712B"/>
    <w:rsid w:val="00217FEB"/>
    <w:rsid w:val="0022606D"/>
    <w:rsid w:val="00231728"/>
    <w:rsid w:val="00244A05"/>
    <w:rsid w:val="00250404"/>
    <w:rsid w:val="002610D8"/>
    <w:rsid w:val="002747EC"/>
    <w:rsid w:val="002855BF"/>
    <w:rsid w:val="002900A4"/>
    <w:rsid w:val="002C20C3"/>
    <w:rsid w:val="002D55FF"/>
    <w:rsid w:val="002E1A60"/>
    <w:rsid w:val="002F0D22"/>
    <w:rsid w:val="00311B17"/>
    <w:rsid w:val="00311B5F"/>
    <w:rsid w:val="0031225F"/>
    <w:rsid w:val="003172DC"/>
    <w:rsid w:val="00325AE3"/>
    <w:rsid w:val="00326069"/>
    <w:rsid w:val="0035462D"/>
    <w:rsid w:val="0036459E"/>
    <w:rsid w:val="00364B41"/>
    <w:rsid w:val="00375A51"/>
    <w:rsid w:val="00383096"/>
    <w:rsid w:val="0039346C"/>
    <w:rsid w:val="003A41EF"/>
    <w:rsid w:val="003A4B11"/>
    <w:rsid w:val="003B40AD"/>
    <w:rsid w:val="003C4E37"/>
    <w:rsid w:val="003D55F3"/>
    <w:rsid w:val="003E16BE"/>
    <w:rsid w:val="003E2087"/>
    <w:rsid w:val="003E26A4"/>
    <w:rsid w:val="003F4E28"/>
    <w:rsid w:val="003F5E20"/>
    <w:rsid w:val="003F6F71"/>
    <w:rsid w:val="004006E8"/>
    <w:rsid w:val="00401855"/>
    <w:rsid w:val="0040247A"/>
    <w:rsid w:val="00427E64"/>
    <w:rsid w:val="00443C2C"/>
    <w:rsid w:val="00450584"/>
    <w:rsid w:val="00465587"/>
    <w:rsid w:val="00477455"/>
    <w:rsid w:val="00490004"/>
    <w:rsid w:val="00494FDB"/>
    <w:rsid w:val="004A1F7B"/>
    <w:rsid w:val="004B0E95"/>
    <w:rsid w:val="004B47F2"/>
    <w:rsid w:val="004C44D2"/>
    <w:rsid w:val="004D3578"/>
    <w:rsid w:val="004D380D"/>
    <w:rsid w:val="004E213A"/>
    <w:rsid w:val="004F4540"/>
    <w:rsid w:val="004F73A7"/>
    <w:rsid w:val="00503171"/>
    <w:rsid w:val="00506C28"/>
    <w:rsid w:val="00506E6E"/>
    <w:rsid w:val="00534DA0"/>
    <w:rsid w:val="00543E6C"/>
    <w:rsid w:val="00565087"/>
    <w:rsid w:val="0056573F"/>
    <w:rsid w:val="00571279"/>
    <w:rsid w:val="00576C6A"/>
    <w:rsid w:val="005A0B4B"/>
    <w:rsid w:val="005A49C6"/>
    <w:rsid w:val="005C275B"/>
    <w:rsid w:val="00611566"/>
    <w:rsid w:val="00625EC5"/>
    <w:rsid w:val="006453A5"/>
    <w:rsid w:val="00646D99"/>
    <w:rsid w:val="0065258F"/>
    <w:rsid w:val="00656910"/>
    <w:rsid w:val="006574C0"/>
    <w:rsid w:val="00696821"/>
    <w:rsid w:val="00697897"/>
    <w:rsid w:val="006C66D8"/>
    <w:rsid w:val="006C7042"/>
    <w:rsid w:val="006D1E24"/>
    <w:rsid w:val="006D35DE"/>
    <w:rsid w:val="006E1057"/>
    <w:rsid w:val="006E1417"/>
    <w:rsid w:val="006F6A2C"/>
    <w:rsid w:val="007069DC"/>
    <w:rsid w:val="00710201"/>
    <w:rsid w:val="0072073A"/>
    <w:rsid w:val="007342B5"/>
    <w:rsid w:val="00734A5B"/>
    <w:rsid w:val="0073533C"/>
    <w:rsid w:val="00744E76"/>
    <w:rsid w:val="00757D40"/>
    <w:rsid w:val="00765690"/>
    <w:rsid w:val="007662B5"/>
    <w:rsid w:val="00781F0F"/>
    <w:rsid w:val="0078346C"/>
    <w:rsid w:val="0078727C"/>
    <w:rsid w:val="0079049D"/>
    <w:rsid w:val="00793DC5"/>
    <w:rsid w:val="00796823"/>
    <w:rsid w:val="007A08AC"/>
    <w:rsid w:val="007A2E55"/>
    <w:rsid w:val="007A76BE"/>
    <w:rsid w:val="007B18D8"/>
    <w:rsid w:val="007C095F"/>
    <w:rsid w:val="007C2DD0"/>
    <w:rsid w:val="007F2E08"/>
    <w:rsid w:val="008028A4"/>
    <w:rsid w:val="00813245"/>
    <w:rsid w:val="00815031"/>
    <w:rsid w:val="00840C27"/>
    <w:rsid w:val="00840DE0"/>
    <w:rsid w:val="008607A8"/>
    <w:rsid w:val="0086354A"/>
    <w:rsid w:val="008768CA"/>
    <w:rsid w:val="00877EF9"/>
    <w:rsid w:val="00880559"/>
    <w:rsid w:val="00886131"/>
    <w:rsid w:val="008B4289"/>
    <w:rsid w:val="008B5306"/>
    <w:rsid w:val="008C022F"/>
    <w:rsid w:val="008C2E2A"/>
    <w:rsid w:val="008C3057"/>
    <w:rsid w:val="008C77A8"/>
    <w:rsid w:val="008D2E4D"/>
    <w:rsid w:val="008F396F"/>
    <w:rsid w:val="008F3DCD"/>
    <w:rsid w:val="0090271F"/>
    <w:rsid w:val="00902DB9"/>
    <w:rsid w:val="0090466A"/>
    <w:rsid w:val="00923655"/>
    <w:rsid w:val="00936071"/>
    <w:rsid w:val="009376CD"/>
    <w:rsid w:val="00940212"/>
    <w:rsid w:val="00942EC2"/>
    <w:rsid w:val="009472C0"/>
    <w:rsid w:val="0095349A"/>
    <w:rsid w:val="00961B32"/>
    <w:rsid w:val="00962509"/>
    <w:rsid w:val="00970094"/>
    <w:rsid w:val="00970DB3"/>
    <w:rsid w:val="00974BB0"/>
    <w:rsid w:val="00975BCD"/>
    <w:rsid w:val="009928A9"/>
    <w:rsid w:val="009A0AF3"/>
    <w:rsid w:val="009A22D6"/>
    <w:rsid w:val="009B07CD"/>
    <w:rsid w:val="009B589C"/>
    <w:rsid w:val="009C19E9"/>
    <w:rsid w:val="009C33C4"/>
    <w:rsid w:val="009D5637"/>
    <w:rsid w:val="009D74A6"/>
    <w:rsid w:val="009E0E87"/>
    <w:rsid w:val="00A011BB"/>
    <w:rsid w:val="00A10F02"/>
    <w:rsid w:val="00A204CA"/>
    <w:rsid w:val="00A209D6"/>
    <w:rsid w:val="00A22738"/>
    <w:rsid w:val="00A430EC"/>
    <w:rsid w:val="00A53724"/>
    <w:rsid w:val="00A54B2B"/>
    <w:rsid w:val="00A636D6"/>
    <w:rsid w:val="00A73B3F"/>
    <w:rsid w:val="00A82346"/>
    <w:rsid w:val="00A9671C"/>
    <w:rsid w:val="00AA1553"/>
    <w:rsid w:val="00AB385B"/>
    <w:rsid w:val="00AE04EE"/>
    <w:rsid w:val="00B05380"/>
    <w:rsid w:val="00B05962"/>
    <w:rsid w:val="00B05DD0"/>
    <w:rsid w:val="00B15449"/>
    <w:rsid w:val="00B16C2F"/>
    <w:rsid w:val="00B22C6A"/>
    <w:rsid w:val="00B27303"/>
    <w:rsid w:val="00B47FD1"/>
    <w:rsid w:val="00B516BB"/>
    <w:rsid w:val="00B53AF8"/>
    <w:rsid w:val="00B606E6"/>
    <w:rsid w:val="00B72274"/>
    <w:rsid w:val="00B7538C"/>
    <w:rsid w:val="00B84DB2"/>
    <w:rsid w:val="00BC3555"/>
    <w:rsid w:val="00C12B51"/>
    <w:rsid w:val="00C24650"/>
    <w:rsid w:val="00C25465"/>
    <w:rsid w:val="00C33079"/>
    <w:rsid w:val="00C55A12"/>
    <w:rsid w:val="00C6278C"/>
    <w:rsid w:val="00C6553E"/>
    <w:rsid w:val="00C65CA4"/>
    <w:rsid w:val="00C77CDA"/>
    <w:rsid w:val="00C8277C"/>
    <w:rsid w:val="00C83A13"/>
    <w:rsid w:val="00C86F10"/>
    <w:rsid w:val="00C9068C"/>
    <w:rsid w:val="00C92967"/>
    <w:rsid w:val="00CA3D0C"/>
    <w:rsid w:val="00CA654B"/>
    <w:rsid w:val="00CB72B8"/>
    <w:rsid w:val="00CD0BA8"/>
    <w:rsid w:val="00CD4088"/>
    <w:rsid w:val="00CD4C7B"/>
    <w:rsid w:val="00CD58FE"/>
    <w:rsid w:val="00CF4B42"/>
    <w:rsid w:val="00D33BE3"/>
    <w:rsid w:val="00D3792D"/>
    <w:rsid w:val="00D55E47"/>
    <w:rsid w:val="00D560C6"/>
    <w:rsid w:val="00D62E19"/>
    <w:rsid w:val="00D67CD1"/>
    <w:rsid w:val="00D738D6"/>
    <w:rsid w:val="00D80795"/>
    <w:rsid w:val="00D82DC0"/>
    <w:rsid w:val="00D854BE"/>
    <w:rsid w:val="00D87E00"/>
    <w:rsid w:val="00D9134D"/>
    <w:rsid w:val="00D96D11"/>
    <w:rsid w:val="00DA7A03"/>
    <w:rsid w:val="00DB0DB8"/>
    <w:rsid w:val="00DB1818"/>
    <w:rsid w:val="00DC309B"/>
    <w:rsid w:val="00DC4DA2"/>
    <w:rsid w:val="00DC5261"/>
    <w:rsid w:val="00DD19AC"/>
    <w:rsid w:val="00DD27CA"/>
    <w:rsid w:val="00DE25D2"/>
    <w:rsid w:val="00DF1978"/>
    <w:rsid w:val="00DF4467"/>
    <w:rsid w:val="00E15320"/>
    <w:rsid w:val="00E422EE"/>
    <w:rsid w:val="00E46C08"/>
    <w:rsid w:val="00E471CF"/>
    <w:rsid w:val="00E62835"/>
    <w:rsid w:val="00E77645"/>
    <w:rsid w:val="00E83697"/>
    <w:rsid w:val="00E859B6"/>
    <w:rsid w:val="00EA66C9"/>
    <w:rsid w:val="00EC4A25"/>
    <w:rsid w:val="00EF612C"/>
    <w:rsid w:val="00F025A2"/>
    <w:rsid w:val="00F036E9"/>
    <w:rsid w:val="00F07388"/>
    <w:rsid w:val="00F1125E"/>
    <w:rsid w:val="00F2026E"/>
    <w:rsid w:val="00F2210A"/>
    <w:rsid w:val="00F23E2E"/>
    <w:rsid w:val="00F31372"/>
    <w:rsid w:val="00F37743"/>
    <w:rsid w:val="00F54A3D"/>
    <w:rsid w:val="00F54CB0"/>
    <w:rsid w:val="00F54D75"/>
    <w:rsid w:val="00F579CD"/>
    <w:rsid w:val="00F653B8"/>
    <w:rsid w:val="00F71B89"/>
    <w:rsid w:val="00F7353C"/>
    <w:rsid w:val="00F76F8F"/>
    <w:rsid w:val="00F87725"/>
    <w:rsid w:val="00F941DF"/>
    <w:rsid w:val="00FA1266"/>
    <w:rsid w:val="00FA6D4C"/>
    <w:rsid w:val="00FB24E8"/>
    <w:rsid w:val="00FB36FA"/>
    <w:rsid w:val="00FC1192"/>
    <w:rsid w:val="00FE08BE"/>
    <w:rsid w:val="00FE106D"/>
    <w:rsid w:val="00FE251B"/>
    <w:rsid w:val="00FE4AF8"/>
    <w:rsid w:val="00FF58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E1532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1st level - Bullet List Paragraph,List Paragraph1,Lettre d'introduction,Paragrafo elenco,Normal bullet 2,Bullet list,Numbered List,Task Body"/>
    <w:basedOn w:val="Normal"/>
    <w:link w:val="ListParagraphChar"/>
    <w:uiPriority w:val="34"/>
    <w:qFormat/>
    <w:rsid w:val="003A4B11"/>
    <w:pPr>
      <w:ind w:left="720"/>
      <w:contextualSpacing/>
    </w:pPr>
  </w:style>
  <w:style w:type="character" w:styleId="CommentReference">
    <w:name w:val="annotation reference"/>
    <w:basedOn w:val="DefaultParagraphFont"/>
    <w:rsid w:val="00FB24E8"/>
    <w:rPr>
      <w:sz w:val="16"/>
      <w:szCs w:val="16"/>
    </w:rPr>
  </w:style>
  <w:style w:type="paragraph" w:styleId="CommentText">
    <w:name w:val="annotation text"/>
    <w:basedOn w:val="Normal"/>
    <w:link w:val="CommentTextChar"/>
    <w:rsid w:val="00FB24E8"/>
  </w:style>
  <w:style w:type="character" w:customStyle="1" w:styleId="CommentTextChar">
    <w:name w:val="Comment Text Char"/>
    <w:basedOn w:val="DefaultParagraphFont"/>
    <w:link w:val="CommentText"/>
    <w:rsid w:val="00FB24E8"/>
    <w:rPr>
      <w:lang w:eastAsia="en-US"/>
    </w:rPr>
  </w:style>
  <w:style w:type="paragraph" w:styleId="CommentSubject">
    <w:name w:val="annotation subject"/>
    <w:basedOn w:val="CommentText"/>
    <w:next w:val="CommentText"/>
    <w:link w:val="CommentSubjectChar"/>
    <w:rsid w:val="00FB24E8"/>
    <w:rPr>
      <w:b/>
      <w:bCs/>
    </w:rPr>
  </w:style>
  <w:style w:type="character" w:customStyle="1" w:styleId="CommentSubjectChar">
    <w:name w:val="Comment Subject Char"/>
    <w:basedOn w:val="CommentTextChar"/>
    <w:link w:val="CommentSubject"/>
    <w:rsid w:val="00FB24E8"/>
    <w:rPr>
      <w:b/>
      <w:bCs/>
      <w:lang w:eastAsia="en-US"/>
    </w:rPr>
  </w:style>
  <w:style w:type="paragraph" w:customStyle="1" w:styleId="Agreement">
    <w:name w:val="Agreement"/>
    <w:basedOn w:val="Normal"/>
    <w:next w:val="Normal"/>
    <w:uiPriority w:val="99"/>
    <w:qFormat/>
    <w:rsid w:val="00B53AF8"/>
    <w:pPr>
      <w:numPr>
        <w:numId w:val="9"/>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1st level - Bullet List Paragraph Char,List Paragraph1 Char,Lettre d'introduction Char,Paragrafo elenco Char"/>
    <w:basedOn w:val="DefaultParagraphFont"/>
    <w:link w:val="ListParagraph"/>
    <w:uiPriority w:val="34"/>
    <w:qFormat/>
    <w:locked/>
    <w:rsid w:val="00B53AF8"/>
    <w:rPr>
      <w:lang w:eastAsia="en-US"/>
    </w:rPr>
  </w:style>
  <w:style w:type="paragraph" w:styleId="Caption">
    <w:name w:val="caption"/>
    <w:basedOn w:val="Normal"/>
    <w:next w:val="Normal"/>
    <w:unhideWhenUsed/>
    <w:qFormat/>
    <w:rsid w:val="004900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348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5AIRPNAIUNRU-859666464-9847</_dlc_DocId>
    <_dlc_DocIdUrl xmlns="71c5aaf6-e6ce-465b-b873-5148d2a4c105">
      <Url>https://nokia.sharepoint.com/sites/c5g/e2earch/_layouts/15/DocIdRedir.aspx?ID=5AIRPNAIUNRU-859666464-9847</Url>
      <Description>5AIRPNAIUNRU-859666464-9847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schemas.microsoft.com/office/2006/documentManagement/types"/>
    <ds:schemaRef ds:uri="71c5aaf6-e6ce-465b-b873-5148d2a4c105"/>
    <ds:schemaRef ds:uri="http://schemas.microsoft.com/office/infopath/2007/PartnerControls"/>
    <ds:schemaRef ds:uri="83f22d2f-d16e-4be6-ad4f-29fa0b067c3c"/>
    <ds:schemaRef ds:uri="http://purl.org/dc/elements/1.1/"/>
    <ds:schemaRef ds:uri="http://schemas.microsoft.com/office/2006/metadata/properties"/>
    <ds:schemaRef ds:uri="http://purl.org/dc/dcmitype/"/>
    <ds:schemaRef ds:uri="a3840f4f-04be-43d1-b2ef-6ff1382503c7"/>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9704C-8EBA-4730-A25B-E9D885C74CFF}">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12053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2021-10-22T05:03:00Z</dcterms:created>
  <dcterms:modified xsi:type="dcterms:W3CDTF">2021-10-22T05:03:00Z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9a173fa1-1c71-462f-9fc6-5436e7b9d4e6</vt:lpwstr>
  </property>
</Properties>
</file>