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FEFA2" w14:textId="680591B5"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957CB9">
        <w:rPr>
          <w:rFonts w:ascii="Arial" w:hAnsi="Arial" w:cs="Arial"/>
          <w:b/>
          <w:sz w:val="24"/>
        </w:rPr>
        <w:t>5</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C4152A">
        <w:rPr>
          <w:rFonts w:ascii="Arial" w:hAnsi="Arial" w:cs="Arial"/>
          <w:b/>
          <w:bCs/>
          <w:kern w:val="0"/>
          <w:sz w:val="24"/>
          <w:lang w:val="en-GB"/>
        </w:rPr>
        <w:t>0</w:t>
      </w:r>
      <w:r w:rsidR="007541D6">
        <w:rPr>
          <w:rFonts w:ascii="Arial" w:hAnsi="Arial" w:cs="Arial"/>
          <w:b/>
          <w:bCs/>
          <w:kern w:val="0"/>
          <w:sz w:val="24"/>
          <w:lang w:val="en-GB"/>
        </w:rPr>
        <w:t>7606</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957CB9" w:rsidRPr="002A321A">
        <w:rPr>
          <w:rFonts w:ascii="Arial" w:hAnsi="Arial" w:cs="Arial"/>
          <w:b/>
          <w:sz w:val="24"/>
          <w:lang w:val="de-DE"/>
        </w:rPr>
        <w:t xml:space="preserve">August </w:t>
      </w:r>
      <w:r w:rsidR="00957CB9">
        <w:rPr>
          <w:rFonts w:ascii="Arial" w:hAnsi="Arial" w:cs="Arial"/>
          <w:b/>
          <w:sz w:val="24"/>
          <w:lang w:val="de-DE"/>
        </w:rPr>
        <w:t>9</w:t>
      </w:r>
      <w:r w:rsidR="00957CB9" w:rsidRPr="002A321A">
        <w:rPr>
          <w:rFonts w:ascii="Arial" w:hAnsi="Arial" w:cs="Arial"/>
          <w:b/>
          <w:sz w:val="24"/>
          <w:vertAlign w:val="superscript"/>
          <w:lang w:val="de-DE"/>
        </w:rPr>
        <w:t>th</w:t>
      </w:r>
      <w:r w:rsidR="00957CB9" w:rsidRPr="002A321A">
        <w:rPr>
          <w:rFonts w:ascii="Arial" w:hAnsi="Arial" w:cs="Arial"/>
          <w:b/>
          <w:sz w:val="24"/>
          <w:lang w:val="de-DE"/>
        </w:rPr>
        <w:t xml:space="preserve"> – 2</w:t>
      </w:r>
      <w:r w:rsidR="00957CB9">
        <w:rPr>
          <w:rFonts w:ascii="Arial" w:hAnsi="Arial" w:cs="Arial"/>
          <w:b/>
          <w:sz w:val="24"/>
          <w:lang w:val="de-DE"/>
        </w:rPr>
        <w:t>7</w:t>
      </w:r>
      <w:r w:rsidR="00957CB9" w:rsidRPr="002A321A">
        <w:rPr>
          <w:rFonts w:ascii="Arial" w:hAnsi="Arial" w:cs="Arial"/>
          <w:b/>
          <w:sz w:val="24"/>
          <w:vertAlign w:val="superscript"/>
          <w:lang w:val="de-DE"/>
        </w:rPr>
        <w:t>th</w:t>
      </w:r>
      <w:r w:rsidR="00957CB9" w:rsidRPr="00E75501">
        <w:rPr>
          <w:rFonts w:ascii="Arial" w:hAnsi="Arial" w:cs="Arial"/>
          <w:b/>
          <w:sz w:val="24"/>
          <w:lang w:val="de-DE"/>
        </w:rPr>
        <w:t>, 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19DCB58D"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546CB13D"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21DB2">
        <w:rPr>
          <w:rFonts w:ascii="Arial" w:hAnsi="Arial" w:cs="Arial"/>
          <w:b/>
          <w:bCs/>
          <w:snapToGrid w:val="0"/>
          <w:kern w:val="0"/>
          <w:sz w:val="24"/>
        </w:rPr>
        <w:t>Power-saving aspects from cell access and camping of RedCap UEs</w:t>
      </w:r>
      <w:r w:rsidR="00B1119B">
        <w:rPr>
          <w:rFonts w:ascii="Arial" w:hAnsi="Arial" w:cs="Arial"/>
          <w:b/>
          <w:bCs/>
          <w:snapToGrid w:val="0"/>
          <w:kern w:val="0"/>
          <w:sz w:val="24"/>
        </w:rPr>
        <w:t xml:space="preserve"> </w:t>
      </w:r>
    </w:p>
    <w:p w14:paraId="3DFCE5B5" w14:textId="438B0EC5"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w:t>
      </w:r>
      <w:r w:rsidR="00510377">
        <w:rPr>
          <w:rFonts w:ascii="Arial" w:hAnsi="Arial" w:cs="Arial"/>
          <w:b/>
          <w:sz w:val="24"/>
        </w:rPr>
        <w:t>2</w:t>
      </w:r>
      <w:r w:rsidR="00E2547F">
        <w:rPr>
          <w:rFonts w:ascii="Arial" w:hAnsi="Arial" w:cs="Arial"/>
          <w:b/>
          <w:sz w:val="24"/>
        </w:rPr>
        <w:t>.</w:t>
      </w:r>
      <w:r w:rsidR="00510377">
        <w:rPr>
          <w:rFonts w:ascii="Arial" w:hAnsi="Arial" w:cs="Arial"/>
          <w:b/>
          <w:sz w:val="24"/>
        </w:rPr>
        <w:t>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7B767464" w:rsidR="00170CDB" w:rsidRPr="001A0CD5" w:rsidRDefault="0040796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6E9E51E" w14:textId="149AAFC7" w:rsidR="00C6032C" w:rsidRDefault="00350878" w:rsidP="00C6032C">
      <w:r>
        <w:rPr>
          <w:bCs/>
        </w:rPr>
        <w:t xml:space="preserve">In this paper, we discuss different methods related to camping </w:t>
      </w:r>
      <w:r w:rsidR="00B94C74">
        <w:rPr>
          <w:bCs/>
        </w:rPr>
        <w:t>and re-selection</w:t>
      </w:r>
      <w:r>
        <w:rPr>
          <w:bCs/>
        </w:rPr>
        <w:t xml:space="preserve"> with focus on saving power (which is an important factor) for RedCap UEs. </w:t>
      </w:r>
      <w:r w:rsidR="002927DF">
        <w:t xml:space="preserve"> </w:t>
      </w:r>
      <w:r w:rsidR="005D7AB5">
        <w:t xml:space="preserve"> </w:t>
      </w:r>
    </w:p>
    <w:p w14:paraId="488341B0" w14:textId="0D562E20" w:rsidR="00C6032C" w:rsidRDefault="00D17338"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Camping </w:t>
      </w:r>
      <w:r w:rsidR="00DB2236">
        <w:rPr>
          <w:rFonts w:ascii="Arial" w:hAnsi="Arial" w:cs="Arial"/>
          <w:b w:val="0"/>
          <w:bCs w:val="0"/>
          <w:kern w:val="0"/>
          <w:sz w:val="32"/>
          <w:szCs w:val="36"/>
        </w:rPr>
        <w:t>and re-selection</w:t>
      </w:r>
      <w:r>
        <w:rPr>
          <w:rFonts w:ascii="Arial" w:hAnsi="Arial" w:cs="Arial"/>
          <w:b w:val="0"/>
          <w:bCs w:val="0"/>
          <w:kern w:val="0"/>
          <w:sz w:val="32"/>
          <w:szCs w:val="36"/>
        </w:rPr>
        <w:t xml:space="preserve"> </w:t>
      </w:r>
    </w:p>
    <w:p w14:paraId="13A03C12" w14:textId="3BE1E12F" w:rsidR="00C16BAB" w:rsidRDefault="00C16BAB" w:rsidP="00AC44A4">
      <w:pPr>
        <w:pStyle w:val="Heading2"/>
        <w:numPr>
          <w:ilvl w:val="0"/>
          <w:numId w:val="0"/>
        </w:numPr>
        <w:rPr>
          <w:sz w:val="28"/>
          <w:szCs w:val="28"/>
        </w:rPr>
      </w:pPr>
      <w:r>
        <w:rPr>
          <w:sz w:val="28"/>
          <w:szCs w:val="28"/>
        </w:rPr>
        <w:t>2.1 Camping aspects</w:t>
      </w:r>
    </w:p>
    <w:p w14:paraId="63889254" w14:textId="17133ACF" w:rsidR="00C16BAB" w:rsidRDefault="00C16BAB" w:rsidP="00C16BAB">
      <w:pPr>
        <w:rPr>
          <w:lang w:val="en-GB"/>
        </w:rPr>
      </w:pPr>
      <w:r>
        <w:rPr>
          <w:lang w:val="en-GB"/>
        </w:rPr>
        <w:t>In RAN1 104e meeting, RAN1 progress</w:t>
      </w:r>
      <w:r w:rsidR="0068208C">
        <w:rPr>
          <w:lang w:val="en-GB"/>
        </w:rPr>
        <w:t>ed</w:t>
      </w:r>
      <w:r>
        <w:rPr>
          <w:lang w:val="en-GB"/>
        </w:rPr>
        <w:t xml:space="preserve"> on several aspects of BW and other RedCap UE requirements and Appendix A captures several of agreements made in RAN1. Among these, RAN1 made progress in coming up with WA that the initial DL and UL BWP for RedCap cannot be more than 20MHz. </w:t>
      </w:r>
    </w:p>
    <w:tbl>
      <w:tblPr>
        <w:tblStyle w:val="TableGrid"/>
        <w:tblW w:w="0" w:type="auto"/>
        <w:tblLook w:val="04A0" w:firstRow="1" w:lastRow="0" w:firstColumn="1" w:lastColumn="0" w:noHBand="0" w:noVBand="1"/>
      </w:tblPr>
      <w:tblGrid>
        <w:gridCol w:w="9771"/>
      </w:tblGrid>
      <w:tr w:rsidR="0068208C" w14:paraId="7D96BD79" w14:textId="77777777" w:rsidTr="0068208C">
        <w:tc>
          <w:tcPr>
            <w:tcW w:w="9771" w:type="dxa"/>
          </w:tcPr>
          <w:p w14:paraId="7AB3989F" w14:textId="77777777" w:rsidR="0068208C" w:rsidRPr="0068208C" w:rsidRDefault="0068208C" w:rsidP="0068208C">
            <w:pPr>
              <w:rPr>
                <w:rFonts w:ascii="Calibri" w:hAnsi="Calibri"/>
              </w:rPr>
            </w:pPr>
            <w:r w:rsidRPr="0068208C">
              <w:rPr>
                <w:rStyle w:val="Strong"/>
              </w:rPr>
              <w:t>Working assumption:</w:t>
            </w:r>
          </w:p>
          <w:p w14:paraId="56F3006D" w14:textId="77777777" w:rsidR="0068208C" w:rsidRPr="0068208C" w:rsidRDefault="0068208C" w:rsidP="0068208C">
            <w:pPr>
              <w:pStyle w:val="ListParagraph"/>
              <w:widowControl/>
              <w:numPr>
                <w:ilvl w:val="0"/>
                <w:numId w:val="33"/>
              </w:numPr>
              <w:overflowPunct/>
              <w:autoSpaceDE/>
              <w:autoSpaceDN/>
              <w:adjustRightInd/>
              <w:spacing w:after="0"/>
              <w:contextualSpacing w:val="0"/>
              <w:textAlignment w:val="auto"/>
              <w:rPr>
                <w:rFonts w:eastAsia="Times New Roman"/>
                <w:highlight w:val="yellow"/>
              </w:rPr>
            </w:pPr>
            <w:r w:rsidRPr="0068208C">
              <w:rPr>
                <w:rStyle w:val="Strong"/>
                <w:rFonts w:eastAsia="Times New Roman"/>
                <w:highlight w:val="yellow"/>
              </w:rPr>
              <w:t>During initial access, the bandwidth of the initial DL BWP for RedCap UEs is not expected to exceed the maximum RedCap UE bandwidth.</w:t>
            </w:r>
          </w:p>
          <w:p w14:paraId="43642865" w14:textId="77777777" w:rsidR="0068208C" w:rsidRPr="003C7F12" w:rsidRDefault="0068208C" w:rsidP="0068208C">
            <w:pPr>
              <w:pStyle w:val="ListParagraph"/>
              <w:widowControl/>
              <w:numPr>
                <w:ilvl w:val="1"/>
                <w:numId w:val="33"/>
              </w:numPr>
              <w:overflowPunct/>
              <w:autoSpaceDE/>
              <w:autoSpaceDN/>
              <w:adjustRightInd/>
              <w:spacing w:after="0"/>
              <w:contextualSpacing w:val="0"/>
              <w:textAlignment w:val="auto"/>
              <w:rPr>
                <w:rFonts w:eastAsia="Times New Roman"/>
              </w:rPr>
            </w:pPr>
            <w:r w:rsidRPr="003C7F12">
              <w:rPr>
                <w:rStyle w:val="Strong"/>
                <w:rFonts w:eastAsia="Times New Roman"/>
              </w:rPr>
              <w:t>The bandwidth and location of the initial DL BWP for RedCap UEs can be the same as the bandwidth and location of the MIB-configured initial DL BWP for non-RedCap UEs.</w:t>
            </w:r>
          </w:p>
          <w:p w14:paraId="746E7983" w14:textId="77777777" w:rsidR="0068208C" w:rsidRPr="003C7F12" w:rsidRDefault="0068208C" w:rsidP="0068208C">
            <w:pPr>
              <w:pStyle w:val="ListParagraph"/>
              <w:widowControl/>
              <w:numPr>
                <w:ilvl w:val="1"/>
                <w:numId w:val="33"/>
              </w:numPr>
              <w:overflowPunct/>
              <w:autoSpaceDE/>
              <w:autoSpaceDN/>
              <w:adjustRightInd/>
              <w:spacing w:after="0"/>
              <w:contextualSpacing w:val="0"/>
              <w:textAlignment w:val="auto"/>
              <w:rPr>
                <w:rFonts w:eastAsia="Times New Roman"/>
              </w:rPr>
            </w:pPr>
            <w:r w:rsidRPr="003C7F12">
              <w:rPr>
                <w:rStyle w:val="Strong"/>
                <w:rFonts w:eastAsia="Times New Roman"/>
              </w:rPr>
              <w:t>This does not preclude a SIB-configured initial DL BWP for non-RedCap UEs only with a wider bandwidth than the maximum RedCap UE bandwidth.</w:t>
            </w:r>
          </w:p>
          <w:p w14:paraId="4D389A17" w14:textId="77777777" w:rsidR="0068208C" w:rsidRPr="003C7F12" w:rsidRDefault="0068208C" w:rsidP="0068208C">
            <w:pPr>
              <w:pStyle w:val="ListParagraph"/>
              <w:widowControl/>
              <w:numPr>
                <w:ilvl w:val="1"/>
                <w:numId w:val="33"/>
              </w:numPr>
              <w:overflowPunct/>
              <w:autoSpaceDE/>
              <w:autoSpaceDN/>
              <w:adjustRightInd/>
              <w:spacing w:after="0"/>
              <w:contextualSpacing w:val="0"/>
              <w:textAlignment w:val="auto"/>
              <w:rPr>
                <w:rStyle w:val="Strong"/>
                <w:rFonts w:eastAsia="Calibri"/>
                <w:b w:val="0"/>
                <w:bCs w:val="0"/>
                <w:lang w:val="sv-SE"/>
              </w:rPr>
            </w:pPr>
            <w:r w:rsidRPr="003C7F12">
              <w:rPr>
                <w:rStyle w:val="Strong"/>
                <w:rFonts w:eastAsia="Times New Roman"/>
              </w:rPr>
              <w:t xml:space="preserve">This does not preclude separate or additional bandwidth and location for initial DL BWP for RedCap UEs </w:t>
            </w:r>
            <w:r w:rsidRPr="0028649D">
              <w:rPr>
                <w:rStyle w:val="Strong"/>
                <w:rFonts w:eastAsia="Times New Roman"/>
                <w:highlight w:val="yellow"/>
              </w:rPr>
              <w:t>(FFS).</w:t>
            </w:r>
          </w:p>
          <w:p w14:paraId="0F7C35CE" w14:textId="77777777" w:rsidR="0068208C" w:rsidRPr="003A2D01" w:rsidRDefault="0068208C" w:rsidP="0068208C">
            <w:pPr>
              <w:rPr>
                <w:rStyle w:val="Strong"/>
                <w:b w:val="0"/>
                <w:bCs w:val="0"/>
              </w:rPr>
            </w:pPr>
          </w:p>
          <w:p w14:paraId="2B28E452" w14:textId="77777777" w:rsidR="0068208C" w:rsidRPr="003C7F12" w:rsidRDefault="0068208C" w:rsidP="0068208C">
            <w:pPr>
              <w:pStyle w:val="ListParagraph"/>
              <w:ind w:left="0"/>
              <w:rPr>
                <w:rFonts w:eastAsia="Times New Roman"/>
              </w:rPr>
            </w:pPr>
            <w:r w:rsidRPr="0068208C">
              <w:rPr>
                <w:rFonts w:eastAsia="Times New Roman"/>
                <w:b/>
                <w:bCs/>
              </w:rPr>
              <w:t>Working assumption:</w:t>
            </w:r>
            <w:r w:rsidRPr="0068208C">
              <w:rPr>
                <w:rFonts w:eastAsia="Times New Roman"/>
              </w:rPr>
              <w:t xml:space="preserve"> </w:t>
            </w:r>
            <w:r w:rsidRPr="003C7F12">
              <w:rPr>
                <w:rFonts w:eastAsia="Times New Roman"/>
              </w:rPr>
              <w:t>After initial access, at least for BWP#0 configuration option 1 (as in 38.331, Appendix B2), a RedCap UE is not expected to operate with an initial DL BWP wider than the maximum RedCap UE bandwidth.</w:t>
            </w:r>
          </w:p>
          <w:p w14:paraId="6CC5DC06" w14:textId="04658884" w:rsidR="0068208C" w:rsidRPr="0068208C" w:rsidRDefault="0068208C" w:rsidP="00C16BAB">
            <w:pPr>
              <w:pStyle w:val="ListParagraph"/>
              <w:widowControl/>
              <w:numPr>
                <w:ilvl w:val="1"/>
                <w:numId w:val="33"/>
              </w:numPr>
              <w:overflowPunct/>
              <w:autoSpaceDE/>
              <w:autoSpaceDN/>
              <w:adjustRightInd/>
              <w:spacing w:after="0"/>
              <w:contextualSpacing w:val="0"/>
              <w:textAlignment w:val="auto"/>
              <w:rPr>
                <w:rFonts w:eastAsia="Times New Roman"/>
                <w:lang w:val="sv-SE"/>
              </w:rPr>
            </w:pPr>
            <w:r w:rsidRPr="003C7F12">
              <w:rPr>
                <w:rFonts w:eastAsia="Times New Roman"/>
                <w:lang w:val="sv-SE"/>
              </w:rPr>
              <w:t xml:space="preserve">FFS: BWP#0 </w:t>
            </w:r>
            <w:proofErr w:type="spellStart"/>
            <w:r w:rsidRPr="003C7F12">
              <w:rPr>
                <w:rFonts w:eastAsia="Times New Roman"/>
                <w:lang w:val="sv-SE"/>
              </w:rPr>
              <w:t>configuration</w:t>
            </w:r>
            <w:proofErr w:type="spellEnd"/>
            <w:r w:rsidRPr="003C7F12">
              <w:rPr>
                <w:rFonts w:eastAsia="Times New Roman"/>
                <w:lang w:val="sv-SE"/>
              </w:rPr>
              <w:t xml:space="preserve"> option 2 (</w:t>
            </w:r>
            <w:proofErr w:type="gramStart"/>
            <w:r w:rsidRPr="003C7F12">
              <w:rPr>
                <w:rFonts w:eastAsia="Times New Roman"/>
                <w:lang w:val="sv-SE"/>
              </w:rPr>
              <w:t>as in</w:t>
            </w:r>
            <w:proofErr w:type="gramEnd"/>
            <w:r w:rsidRPr="003C7F12">
              <w:rPr>
                <w:rFonts w:eastAsia="Times New Roman"/>
                <w:lang w:val="sv-SE"/>
              </w:rPr>
              <w:t xml:space="preserve"> 38.331</w:t>
            </w:r>
            <w:r w:rsidRPr="003C7F12">
              <w:rPr>
                <w:rFonts w:eastAsia="Times New Roman"/>
              </w:rPr>
              <w:t>, Appendix B2</w:t>
            </w:r>
            <w:r w:rsidRPr="003C7F12">
              <w:rPr>
                <w:rFonts w:eastAsia="Times New Roman"/>
                <w:lang w:val="sv-SE"/>
              </w:rPr>
              <w:t>)</w:t>
            </w:r>
          </w:p>
        </w:tc>
      </w:tr>
    </w:tbl>
    <w:p w14:paraId="57C3D829" w14:textId="77777777" w:rsidR="0068208C" w:rsidRDefault="0068208C" w:rsidP="00C16BAB">
      <w:pPr>
        <w:rPr>
          <w:lang w:val="en-GB"/>
        </w:rPr>
      </w:pPr>
    </w:p>
    <w:p w14:paraId="12A2191D" w14:textId="06F48578" w:rsidR="00D616FA" w:rsidRDefault="00413F0A" w:rsidP="00C16BAB">
      <w:pPr>
        <w:rPr>
          <w:lang w:val="en-GB"/>
        </w:rPr>
      </w:pPr>
      <w:r>
        <w:rPr>
          <w:lang w:val="en-GB"/>
        </w:rPr>
        <w:t>It is expected that legacy NWs can be upgraded to accommodate/serve RedCap UEs where the available spectrum</w:t>
      </w:r>
      <w:r w:rsidR="00D616FA">
        <w:rPr>
          <w:lang w:val="en-GB"/>
        </w:rPr>
        <w:t xml:space="preserve"> is re-used such that RedCap and legacy NR UEs can co-exist and are served by the same </w:t>
      </w:r>
      <w:proofErr w:type="spellStart"/>
      <w:r w:rsidR="00D616FA">
        <w:rPr>
          <w:lang w:val="en-GB"/>
        </w:rPr>
        <w:t>gNB</w:t>
      </w:r>
      <w:proofErr w:type="spellEnd"/>
      <w:r w:rsidR="00D616FA">
        <w:rPr>
          <w:lang w:val="en-GB"/>
        </w:rPr>
        <w:t xml:space="preserve">. But if the </w:t>
      </w:r>
      <w:proofErr w:type="spellStart"/>
      <w:r w:rsidR="00D616FA">
        <w:rPr>
          <w:lang w:val="en-GB"/>
        </w:rPr>
        <w:t>gNB’s</w:t>
      </w:r>
      <w:proofErr w:type="spellEnd"/>
      <w:r w:rsidR="00D616FA">
        <w:rPr>
          <w:lang w:val="en-GB"/>
        </w:rPr>
        <w:t xml:space="preserve"> initial DL BWP (SIB1-expanded) BW is more than 20 MHz, then the NW </w:t>
      </w:r>
      <w:proofErr w:type="gramStart"/>
      <w:r w:rsidR="00D616FA">
        <w:rPr>
          <w:lang w:val="en-GB"/>
        </w:rPr>
        <w:t>has to</w:t>
      </w:r>
      <w:proofErr w:type="gramEnd"/>
      <w:r w:rsidR="00D616FA">
        <w:rPr>
          <w:lang w:val="en-GB"/>
        </w:rPr>
        <w:t xml:space="preserve"> create additional initial DL BWP for RedCap UEs with 20MHz BW. Additional initial DL BWP may require a separate </w:t>
      </w:r>
      <w:proofErr w:type="gramStart"/>
      <w:r w:rsidR="00D616FA">
        <w:rPr>
          <w:lang w:val="en-GB"/>
        </w:rPr>
        <w:t>cell-defining</w:t>
      </w:r>
      <w:proofErr w:type="gramEnd"/>
      <w:r w:rsidR="00D616FA">
        <w:rPr>
          <w:lang w:val="en-GB"/>
        </w:rPr>
        <w:t xml:space="preserve"> SSB that is meant for RedCap </w:t>
      </w:r>
      <w:r w:rsidR="00D616FA">
        <w:rPr>
          <w:lang w:val="en-GB"/>
        </w:rPr>
        <w:lastRenderedPageBreak/>
        <w:t>UEs alone.</w:t>
      </w:r>
    </w:p>
    <w:p w14:paraId="24783296" w14:textId="7D47AEA0" w:rsidR="00C16BAB" w:rsidRPr="00E813E6" w:rsidRDefault="00D616FA" w:rsidP="00C16BAB">
      <w:pPr>
        <w:rPr>
          <w:b/>
          <w:bCs/>
          <w:lang w:val="en-GB"/>
        </w:rPr>
      </w:pPr>
      <w:r w:rsidRPr="00E813E6">
        <w:rPr>
          <w:b/>
          <w:bCs/>
          <w:lang w:val="en-GB"/>
        </w:rPr>
        <w:t>Observation 1: With the requirement that RedCap initial DL BWP to remain at 20MHz for RedCap, the legacy NWs with SIB1-expanded initial DL BWP, need to create a separate initial DL BWP for RedCap UEs, and this might require a separate cell-defining SSB for RedCap UEs.</w:t>
      </w:r>
    </w:p>
    <w:p w14:paraId="286E3503" w14:textId="77777777" w:rsidR="00142ACA" w:rsidRPr="00E813E6" w:rsidRDefault="00D616FA" w:rsidP="00C16BAB">
      <w:pPr>
        <w:rPr>
          <w:b/>
          <w:bCs/>
          <w:lang w:val="en-GB"/>
        </w:rPr>
      </w:pPr>
      <w:r w:rsidRPr="00E813E6">
        <w:rPr>
          <w:b/>
          <w:bCs/>
          <w:lang w:val="en-GB"/>
        </w:rPr>
        <w:t>Observation 2: Additional logic is needed to prevent legacy NR UEs from camping on the SSB created for RedCap UEs.</w:t>
      </w:r>
    </w:p>
    <w:p w14:paraId="2AF914D1" w14:textId="5B16E404" w:rsidR="00142ACA" w:rsidRPr="00E813E6" w:rsidRDefault="00142ACA" w:rsidP="00C16BAB">
      <w:pPr>
        <w:rPr>
          <w:b/>
          <w:bCs/>
          <w:lang w:val="en-GB"/>
        </w:rPr>
      </w:pPr>
      <w:r w:rsidRPr="00E813E6">
        <w:rPr>
          <w:b/>
          <w:bCs/>
          <w:lang w:val="en-GB"/>
        </w:rPr>
        <w:t xml:space="preserve">Observation </w:t>
      </w:r>
      <w:r w:rsidR="00E813E6" w:rsidRPr="00E813E6">
        <w:rPr>
          <w:b/>
          <w:bCs/>
          <w:lang w:val="en-GB"/>
        </w:rPr>
        <w:t>3</w:t>
      </w:r>
      <w:r w:rsidRPr="00E813E6">
        <w:rPr>
          <w:b/>
          <w:bCs/>
          <w:lang w:val="en-GB"/>
        </w:rPr>
        <w:t>: Deploying RedCap specific SSBs on non-GSCN frequencies result in additional logic and power requirements to have the RedCap UEs also search non-GSCN frequencies during cell search, and this is not a viable approach.</w:t>
      </w:r>
    </w:p>
    <w:tbl>
      <w:tblPr>
        <w:tblStyle w:val="TableGrid"/>
        <w:tblW w:w="0" w:type="auto"/>
        <w:tblLook w:val="04A0" w:firstRow="1" w:lastRow="0" w:firstColumn="1" w:lastColumn="0" w:noHBand="0" w:noVBand="1"/>
      </w:tblPr>
      <w:tblGrid>
        <w:gridCol w:w="9771"/>
      </w:tblGrid>
      <w:tr w:rsidR="005902D6" w14:paraId="64491307" w14:textId="77777777" w:rsidTr="005902D6">
        <w:tc>
          <w:tcPr>
            <w:tcW w:w="9771" w:type="dxa"/>
          </w:tcPr>
          <w:p w14:paraId="44D6174F" w14:textId="2D26004A" w:rsidR="005902D6" w:rsidRDefault="00AE6325" w:rsidP="00AE6325">
            <w:pPr>
              <w:jc w:val="center"/>
              <w:rPr>
                <w:lang w:val="en-GB"/>
              </w:rPr>
            </w:pPr>
            <w:r w:rsidRPr="00AE6325">
              <w:rPr>
                <w:noProof/>
                <w:lang w:val="en-GB"/>
              </w:rPr>
              <w:drawing>
                <wp:inline distT="0" distB="0" distL="0" distR="0" wp14:anchorId="25E5D839" wp14:editId="7DA4C52A">
                  <wp:extent cx="6210935" cy="2012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935" cy="2012950"/>
                          </a:xfrm>
                          <a:prstGeom prst="rect">
                            <a:avLst/>
                          </a:prstGeom>
                        </pic:spPr>
                      </pic:pic>
                    </a:graphicData>
                  </a:graphic>
                </wp:inline>
              </w:drawing>
            </w:r>
          </w:p>
        </w:tc>
      </w:tr>
    </w:tbl>
    <w:p w14:paraId="05C6CC1D" w14:textId="06761547" w:rsidR="005902D6" w:rsidRPr="005902D6" w:rsidRDefault="005902D6" w:rsidP="005902D6">
      <w:pPr>
        <w:jc w:val="center"/>
        <w:rPr>
          <w:b/>
          <w:bCs/>
          <w:lang w:val="en-GB"/>
        </w:rPr>
      </w:pPr>
      <w:r>
        <w:rPr>
          <w:b/>
          <w:bCs/>
          <w:lang w:val="en-GB"/>
        </w:rPr>
        <w:t>Figure 1: Legacy NW handling both legacy and RedCap UEs with a separate initial DL BWP and different SSBs</w:t>
      </w:r>
    </w:p>
    <w:p w14:paraId="65EC5AF8" w14:textId="06C8AB3E" w:rsidR="005902D6" w:rsidRDefault="009C52C9" w:rsidP="00C16BAB">
      <w:pPr>
        <w:rPr>
          <w:lang w:val="en-GB"/>
        </w:rPr>
      </w:pPr>
      <w:r>
        <w:rPr>
          <w:lang w:val="en-GB"/>
        </w:rPr>
        <w:t xml:space="preserve">Having RedCap UEs ignore the </w:t>
      </w:r>
      <w:proofErr w:type="spellStart"/>
      <w:r w:rsidRPr="009C52C9">
        <w:rPr>
          <w:i/>
          <w:iCs/>
          <w:lang w:val="en-GB"/>
        </w:rPr>
        <w:t>cellBarred</w:t>
      </w:r>
      <w:proofErr w:type="spellEnd"/>
      <w:r>
        <w:rPr>
          <w:lang w:val="en-GB"/>
        </w:rPr>
        <w:t xml:space="preserve"> IE from MIB provides an additional means for the NW to separate legacy UEs from accessing SSBs meant for RedCap.</w:t>
      </w:r>
      <w:r w:rsidR="005902D6">
        <w:rPr>
          <w:lang w:val="en-GB"/>
        </w:rPr>
        <w:t xml:space="preserve"> Figure 1 above shows a means by which the NW can accommodate legacy and RedCap UEs with different initial DL BWP/different SSB.</w:t>
      </w:r>
    </w:p>
    <w:p w14:paraId="7C9AD217" w14:textId="376ACCB6" w:rsidR="007054C4" w:rsidRDefault="009C52C9" w:rsidP="00C16BAB">
      <w:pPr>
        <w:rPr>
          <w:lang w:val="en-GB"/>
        </w:rPr>
      </w:pPr>
      <w:proofErr w:type="gramStart"/>
      <w:r>
        <w:rPr>
          <w:lang w:val="en-GB"/>
        </w:rPr>
        <w:t>So</w:t>
      </w:r>
      <w:proofErr w:type="gramEnd"/>
      <w:r>
        <w:rPr>
          <w:lang w:val="en-GB"/>
        </w:rPr>
        <w:t xml:space="preserve"> we propose that RedCap UEs ignore the </w:t>
      </w:r>
      <w:proofErr w:type="spellStart"/>
      <w:r w:rsidR="007054C4" w:rsidRPr="009C52C9">
        <w:rPr>
          <w:i/>
          <w:iCs/>
          <w:lang w:val="en-GB"/>
        </w:rPr>
        <w:t>cellBarred</w:t>
      </w:r>
      <w:proofErr w:type="spellEnd"/>
      <w:r w:rsidR="007054C4">
        <w:rPr>
          <w:lang w:val="en-GB"/>
        </w:rPr>
        <w:t xml:space="preserve"> IE </w:t>
      </w:r>
      <w:r>
        <w:rPr>
          <w:lang w:val="en-GB"/>
        </w:rPr>
        <w:t>from MIB, and cell barring for RedCap UEs would be based on a newly created SIB1 IE.</w:t>
      </w:r>
    </w:p>
    <w:p w14:paraId="27BF58EB" w14:textId="77777777" w:rsidR="006328DD" w:rsidRPr="00E813E6" w:rsidRDefault="007054C4" w:rsidP="00C16BAB">
      <w:pPr>
        <w:rPr>
          <w:b/>
          <w:bCs/>
          <w:lang w:val="en-GB"/>
        </w:rPr>
      </w:pPr>
      <w:r w:rsidRPr="00E813E6">
        <w:rPr>
          <w:b/>
          <w:bCs/>
          <w:lang w:val="en-GB"/>
        </w:rPr>
        <w:t xml:space="preserve">Proposal 1: RedCap UEs ignore the </w:t>
      </w:r>
      <w:proofErr w:type="spellStart"/>
      <w:r w:rsidRPr="00E813E6">
        <w:rPr>
          <w:b/>
          <w:bCs/>
          <w:i/>
          <w:iCs/>
          <w:lang w:val="en-GB"/>
        </w:rPr>
        <w:t>cellBarred</w:t>
      </w:r>
      <w:proofErr w:type="spellEnd"/>
      <w:r w:rsidRPr="00E813E6">
        <w:rPr>
          <w:b/>
          <w:bCs/>
          <w:i/>
          <w:iCs/>
          <w:lang w:val="en-GB"/>
        </w:rPr>
        <w:t xml:space="preserve"> </w:t>
      </w:r>
      <w:r w:rsidRPr="00E813E6">
        <w:rPr>
          <w:b/>
          <w:bCs/>
          <w:lang w:val="en-GB"/>
        </w:rPr>
        <w:t>IE from MIB. Cell barring for RedCap UEs is via a new IE created in SIB1 that is meant for RedCap UEs.</w:t>
      </w:r>
    </w:p>
    <w:p w14:paraId="420327DC" w14:textId="4DA400CB" w:rsidR="00D616FA" w:rsidRPr="00C16BAB" w:rsidRDefault="00D616FA" w:rsidP="00C16BAB">
      <w:pPr>
        <w:rPr>
          <w:lang w:val="en-GB"/>
        </w:rPr>
      </w:pPr>
      <w:r>
        <w:rPr>
          <w:lang w:val="en-GB"/>
        </w:rPr>
        <w:t xml:space="preserve"> </w:t>
      </w:r>
    </w:p>
    <w:p w14:paraId="58AB2F16" w14:textId="414C05AD" w:rsidR="00AD21FF" w:rsidRPr="00AC44A4" w:rsidRDefault="0050003B" w:rsidP="00AC44A4">
      <w:pPr>
        <w:pStyle w:val="Heading2"/>
        <w:numPr>
          <w:ilvl w:val="0"/>
          <w:numId w:val="0"/>
        </w:numPr>
        <w:rPr>
          <w:sz w:val="28"/>
          <w:szCs w:val="28"/>
        </w:rPr>
      </w:pPr>
      <w:r>
        <w:rPr>
          <w:sz w:val="28"/>
          <w:szCs w:val="28"/>
        </w:rPr>
        <w:t>2.2</w:t>
      </w:r>
      <w:r w:rsidR="00AD21FF" w:rsidRPr="00761688">
        <w:rPr>
          <w:sz w:val="28"/>
          <w:szCs w:val="28"/>
        </w:rPr>
        <w:t xml:space="preserve"> </w:t>
      </w:r>
      <w:r w:rsidR="00AD21FF">
        <w:rPr>
          <w:sz w:val="28"/>
          <w:szCs w:val="28"/>
        </w:rPr>
        <w:t xml:space="preserve">Camping restrictions on </w:t>
      </w:r>
      <w:proofErr w:type="spellStart"/>
      <w:r w:rsidR="00AD21FF">
        <w:rPr>
          <w:sz w:val="28"/>
          <w:szCs w:val="28"/>
        </w:rPr>
        <w:t>NCells</w:t>
      </w:r>
      <w:proofErr w:type="spellEnd"/>
      <w:r w:rsidR="00AD21FF">
        <w:rPr>
          <w:sz w:val="28"/>
          <w:szCs w:val="28"/>
        </w:rPr>
        <w:t xml:space="preserve"> </w:t>
      </w:r>
    </w:p>
    <w:p w14:paraId="1D7D9846" w14:textId="1A35104F" w:rsidR="00DB2236" w:rsidRDefault="00DB2236" w:rsidP="00DB2236">
      <w:pPr>
        <w:rPr>
          <w:lang w:val="en-GB"/>
        </w:rPr>
      </w:pPr>
      <w:r>
        <w:rPr>
          <w:lang w:val="en-GB"/>
        </w:rPr>
        <w:t xml:space="preserve">RedCap UEs (like legacy NR devices) also perform RRM on neighbour cells in IDLE/INACTIVE for cell re-selection as part of UE mobility. Typical re-selection procedure involves the UE measuring the current serving cell and based on the measurements, triggering measurement of potential neighbour cells based on the SIB3/4 broadcasted neighbour cell/frequency info. And if the target </w:t>
      </w:r>
      <w:proofErr w:type="spellStart"/>
      <w:r>
        <w:rPr>
          <w:lang w:val="en-GB"/>
        </w:rPr>
        <w:t>NCell</w:t>
      </w:r>
      <w:proofErr w:type="spellEnd"/>
      <w:r>
        <w:rPr>
          <w:lang w:val="en-GB"/>
        </w:rPr>
        <w:t xml:space="preserve"> measurement as well the current serving cell measurement satisfy the cell re-selection trigger, the UE then starts reading the MIB/SIB1 of the neighbour cell to determine if this target cell allows camping.  If the target neighbour cell does not allow the RedCap UE based on the access restrictions (either RedCap UEs are not allowed, or this type of RedCap UEs are not allowed), then the effort from the RedCap UE is wasted </w:t>
      </w:r>
      <w:r w:rsidR="00C26869">
        <w:rPr>
          <w:lang w:val="en-GB"/>
        </w:rPr>
        <w:t>in unnecessary</w:t>
      </w:r>
      <w:r>
        <w:rPr>
          <w:lang w:val="en-GB"/>
        </w:rPr>
        <w:t xml:space="preserve"> </w:t>
      </w:r>
      <w:r w:rsidR="00C26869">
        <w:rPr>
          <w:lang w:val="en-GB"/>
        </w:rPr>
        <w:t>additional</w:t>
      </w:r>
      <w:r>
        <w:rPr>
          <w:lang w:val="en-GB"/>
        </w:rPr>
        <w:t xml:space="preserve"> UE power </w:t>
      </w:r>
      <w:r w:rsidR="00C26869">
        <w:rPr>
          <w:lang w:val="en-GB"/>
        </w:rPr>
        <w:t xml:space="preserve">consumption </w:t>
      </w:r>
      <w:proofErr w:type="gramStart"/>
      <w:r w:rsidR="00C26869">
        <w:rPr>
          <w:lang w:val="en-GB"/>
        </w:rPr>
        <w:t>and also</w:t>
      </w:r>
      <w:proofErr w:type="gramEnd"/>
      <w:r w:rsidR="00C26869">
        <w:rPr>
          <w:lang w:val="en-GB"/>
        </w:rPr>
        <w:t xml:space="preserve"> a slight chance of missing a paging </w:t>
      </w:r>
      <w:r w:rsidR="00C727F3">
        <w:rPr>
          <w:lang w:val="en-GB"/>
        </w:rPr>
        <w:t>opportunity</w:t>
      </w:r>
      <w:r>
        <w:rPr>
          <w:lang w:val="en-GB"/>
        </w:rPr>
        <w:t xml:space="preserve">. </w:t>
      </w:r>
    </w:p>
    <w:p w14:paraId="0CCA52A0" w14:textId="4954D9AB" w:rsidR="00D66D90" w:rsidRDefault="00D66D90" w:rsidP="00D66D90">
      <w:pPr>
        <w:rPr>
          <w:lang w:val="en-GB"/>
        </w:rPr>
      </w:pPr>
      <w:r>
        <w:rPr>
          <w:lang w:val="en-GB"/>
        </w:rPr>
        <w:lastRenderedPageBreak/>
        <w:t xml:space="preserve">It is better for the serving cell to indicate which neighbour cells support RedCap UEs </w:t>
      </w:r>
      <w:proofErr w:type="gramStart"/>
      <w:r>
        <w:rPr>
          <w:lang w:val="en-GB"/>
        </w:rPr>
        <w:t>and also</w:t>
      </w:r>
      <w:proofErr w:type="gramEnd"/>
      <w:r>
        <w:rPr>
          <w:lang w:val="en-GB"/>
        </w:rPr>
        <w:t xml:space="preserve"> to indicate the access restrictions (if any) that are placed on the RedCap UEs by these neighbour cells as shown in Fig</w:t>
      </w:r>
      <w:r w:rsidR="00C727F3">
        <w:rPr>
          <w:lang w:val="en-GB"/>
        </w:rPr>
        <w:t>2</w:t>
      </w:r>
      <w:r>
        <w:rPr>
          <w:lang w:val="en-GB"/>
        </w:rPr>
        <w:t xml:space="preserve">.  </w:t>
      </w:r>
    </w:p>
    <w:p w14:paraId="48D08934" w14:textId="22A25FE8" w:rsidR="00D66D90" w:rsidRPr="00DB2236" w:rsidRDefault="00D66D90" w:rsidP="00D66D90">
      <w:pPr>
        <w:rPr>
          <w:b/>
          <w:bCs/>
        </w:rPr>
      </w:pPr>
      <w:r w:rsidRPr="00DB2236">
        <w:rPr>
          <w:b/>
          <w:bCs/>
        </w:rPr>
        <w:t xml:space="preserve">Observation </w:t>
      </w:r>
      <w:r w:rsidR="00C727F3">
        <w:rPr>
          <w:b/>
          <w:bCs/>
        </w:rPr>
        <w:t>4</w:t>
      </w:r>
      <w:r w:rsidRPr="00DB2236">
        <w:rPr>
          <w:b/>
          <w:bCs/>
        </w:rPr>
        <w:t xml:space="preserve">. </w:t>
      </w:r>
      <w:r w:rsidRPr="00DB2236">
        <w:rPr>
          <w:b/>
          <w:bCs/>
        </w:rPr>
        <w:tab/>
      </w:r>
      <w:r>
        <w:rPr>
          <w:b/>
          <w:bCs/>
        </w:rPr>
        <w:t xml:space="preserve">There are power saving benefits if the serving cell indicates the info of neighbor cell support of RedCap and the access restrictions broadcasted in these </w:t>
      </w:r>
      <w:r w:rsidR="00C727F3">
        <w:rPr>
          <w:b/>
          <w:bCs/>
        </w:rPr>
        <w:t>neighbor</w:t>
      </w:r>
      <w:r>
        <w:rPr>
          <w:b/>
          <w:bCs/>
        </w:rPr>
        <w:t xml:space="preserve"> cells. This can help the RedCap UEs avoid RRM measurement and cell re-selection to </w:t>
      </w:r>
      <w:r w:rsidR="00C727F3">
        <w:rPr>
          <w:b/>
          <w:bCs/>
        </w:rPr>
        <w:t>neighbor</w:t>
      </w:r>
      <w:r>
        <w:rPr>
          <w:b/>
          <w:bCs/>
        </w:rPr>
        <w:t xml:space="preserve"> cells which do not allow this RedCap UE to camp.</w:t>
      </w:r>
      <w:r w:rsidRPr="00DB2236">
        <w:rPr>
          <w:b/>
          <w:bCs/>
        </w:rPr>
        <w:t xml:space="preserve"> </w:t>
      </w:r>
    </w:p>
    <w:p w14:paraId="032C68BE" w14:textId="59E29DD4" w:rsidR="00D66D90" w:rsidRPr="00DB2236" w:rsidRDefault="00D66D90" w:rsidP="00D66D90">
      <w:r w:rsidRPr="00DB2236">
        <w:rPr>
          <w:b/>
          <w:bCs/>
        </w:rPr>
        <w:t xml:space="preserve">Proposal </w:t>
      </w:r>
      <w:r w:rsidR="00C727F3">
        <w:rPr>
          <w:b/>
          <w:bCs/>
        </w:rPr>
        <w:t>2</w:t>
      </w:r>
      <w:r w:rsidRPr="00DB2236">
        <w:rPr>
          <w:b/>
          <w:bCs/>
        </w:rPr>
        <w:t xml:space="preserve">. </w:t>
      </w:r>
      <w:r w:rsidRPr="00DB2236">
        <w:rPr>
          <w:b/>
          <w:bCs/>
        </w:rPr>
        <w:tab/>
      </w:r>
      <w:r>
        <w:rPr>
          <w:b/>
          <w:bCs/>
        </w:rPr>
        <w:t>SIB3/4 include</w:t>
      </w:r>
      <w:r w:rsidR="00A37EFB">
        <w:rPr>
          <w:b/>
          <w:bCs/>
        </w:rPr>
        <w:t>s</w:t>
      </w:r>
      <w:r>
        <w:rPr>
          <w:b/>
          <w:bCs/>
        </w:rPr>
        <w:t xml:space="preserve"> the information of the support of RedCap U</w:t>
      </w:r>
      <w:r w:rsidR="00A37EFB">
        <w:rPr>
          <w:b/>
          <w:bCs/>
        </w:rPr>
        <w:t>E</w:t>
      </w:r>
      <w:r>
        <w:rPr>
          <w:b/>
          <w:bCs/>
        </w:rPr>
        <w:t xml:space="preserve">s by the </w:t>
      </w:r>
      <w:r w:rsidR="00C3687E">
        <w:rPr>
          <w:b/>
          <w:bCs/>
        </w:rPr>
        <w:t>neighbor</w:t>
      </w:r>
      <w:r>
        <w:rPr>
          <w:b/>
          <w:bCs/>
        </w:rPr>
        <w:t xml:space="preserve"> cells as well as any RedCap UE specific camping restrictions these </w:t>
      </w:r>
      <w:r w:rsidR="00C727F3">
        <w:rPr>
          <w:b/>
          <w:bCs/>
        </w:rPr>
        <w:t>neighbor</w:t>
      </w:r>
      <w:r>
        <w:rPr>
          <w:b/>
          <w:bCs/>
        </w:rPr>
        <w:t xml:space="preserve"> cells have broadcasted.</w:t>
      </w:r>
    </w:p>
    <w:p w14:paraId="007111F3" w14:textId="77777777" w:rsidR="00D66D90" w:rsidRDefault="00D66D90" w:rsidP="00DB2236">
      <w:pPr>
        <w:rPr>
          <w:lang w:val="en-GB"/>
        </w:rPr>
      </w:pPr>
    </w:p>
    <w:tbl>
      <w:tblPr>
        <w:tblStyle w:val="TableGrid"/>
        <w:tblW w:w="0" w:type="auto"/>
        <w:tblLook w:val="04A0" w:firstRow="1" w:lastRow="0" w:firstColumn="1" w:lastColumn="0" w:noHBand="0" w:noVBand="1"/>
      </w:tblPr>
      <w:tblGrid>
        <w:gridCol w:w="9771"/>
      </w:tblGrid>
      <w:tr w:rsidR="00D66D90" w14:paraId="04479025" w14:textId="77777777" w:rsidTr="00D66D90">
        <w:tc>
          <w:tcPr>
            <w:tcW w:w="9771" w:type="dxa"/>
          </w:tcPr>
          <w:p w14:paraId="0CBE86D7" w14:textId="21AB2EC2" w:rsidR="00D66D90" w:rsidRDefault="00D66D90" w:rsidP="00DB2236">
            <w:pPr>
              <w:rPr>
                <w:lang w:val="en-GB"/>
              </w:rPr>
            </w:pPr>
            <w:r w:rsidRPr="00D66D90">
              <w:rPr>
                <w:noProof/>
                <w:lang w:val="en-GB"/>
              </w:rPr>
              <w:drawing>
                <wp:inline distT="0" distB="0" distL="0" distR="0" wp14:anchorId="3F2D9C79" wp14:editId="22AD2942">
                  <wp:extent cx="5798506" cy="133269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13809" cy="1336207"/>
                          </a:xfrm>
                          <a:prstGeom prst="rect">
                            <a:avLst/>
                          </a:prstGeom>
                        </pic:spPr>
                      </pic:pic>
                    </a:graphicData>
                  </a:graphic>
                </wp:inline>
              </w:drawing>
            </w:r>
          </w:p>
        </w:tc>
      </w:tr>
    </w:tbl>
    <w:p w14:paraId="0748F3AC" w14:textId="494392E3" w:rsidR="00D66D90" w:rsidRPr="00D66D90" w:rsidRDefault="00D66D90" w:rsidP="00D66D90">
      <w:pPr>
        <w:jc w:val="center"/>
        <w:rPr>
          <w:b/>
          <w:bCs/>
          <w:lang w:val="en-GB"/>
        </w:rPr>
      </w:pPr>
      <w:r>
        <w:rPr>
          <w:b/>
          <w:bCs/>
          <w:lang w:val="en-GB"/>
        </w:rPr>
        <w:t xml:space="preserve">Figure </w:t>
      </w:r>
      <w:r w:rsidR="00C727F3">
        <w:rPr>
          <w:b/>
          <w:bCs/>
          <w:lang w:val="en-GB"/>
        </w:rPr>
        <w:t>2</w:t>
      </w:r>
      <w:r>
        <w:rPr>
          <w:b/>
          <w:bCs/>
          <w:lang w:val="en-GB"/>
        </w:rPr>
        <w:t xml:space="preserve">: </w:t>
      </w:r>
      <w:proofErr w:type="spellStart"/>
      <w:r>
        <w:rPr>
          <w:b/>
          <w:bCs/>
          <w:lang w:val="en-GB"/>
        </w:rPr>
        <w:t>Neighbor</w:t>
      </w:r>
      <w:proofErr w:type="spellEnd"/>
      <w:r>
        <w:rPr>
          <w:b/>
          <w:bCs/>
          <w:lang w:val="en-GB"/>
        </w:rPr>
        <w:t xml:space="preserve"> cell RedCap UE camping restrictions broadcasted in serving cell SIB3/4</w:t>
      </w:r>
    </w:p>
    <w:p w14:paraId="362B4316" w14:textId="34B97D6F" w:rsidR="000D6D6F" w:rsidRDefault="000D6D6F" w:rsidP="00C6032C"/>
    <w:p w14:paraId="086D600A" w14:textId="5503D720" w:rsidR="00AC00E6" w:rsidRPr="00761688" w:rsidRDefault="00C04753" w:rsidP="00AC00E6">
      <w:pPr>
        <w:pStyle w:val="Heading2"/>
        <w:numPr>
          <w:ilvl w:val="0"/>
          <w:numId w:val="0"/>
        </w:numPr>
        <w:rPr>
          <w:sz w:val="28"/>
          <w:szCs w:val="28"/>
        </w:rPr>
      </w:pPr>
      <w:r>
        <w:rPr>
          <w:sz w:val="28"/>
          <w:szCs w:val="28"/>
        </w:rPr>
        <w:t>2.3</w:t>
      </w:r>
      <w:r w:rsidR="00AC00E6" w:rsidRPr="00761688">
        <w:rPr>
          <w:sz w:val="28"/>
          <w:szCs w:val="28"/>
        </w:rPr>
        <w:t xml:space="preserve"> </w:t>
      </w:r>
      <w:proofErr w:type="spellStart"/>
      <w:r w:rsidR="00AC00E6">
        <w:rPr>
          <w:sz w:val="28"/>
          <w:szCs w:val="28"/>
        </w:rPr>
        <w:t>eDRX</w:t>
      </w:r>
      <w:proofErr w:type="spellEnd"/>
      <w:r w:rsidR="00AC00E6">
        <w:rPr>
          <w:sz w:val="28"/>
          <w:szCs w:val="28"/>
        </w:rPr>
        <w:t xml:space="preserve"> support</w:t>
      </w:r>
    </w:p>
    <w:p w14:paraId="0E9F798B" w14:textId="4E645D77" w:rsidR="00F36C68" w:rsidRDefault="00F36C68" w:rsidP="00C6032C">
      <w:proofErr w:type="spellStart"/>
      <w:r>
        <w:t>eDRX</w:t>
      </w:r>
      <w:proofErr w:type="spellEnd"/>
      <w:r>
        <w:t xml:space="preserve"> </w:t>
      </w:r>
      <w:r w:rsidR="00E340FA">
        <w:t>is</w:t>
      </w:r>
      <w:r>
        <w:t xml:space="preserve"> </w:t>
      </w:r>
      <w:r w:rsidR="009E3EB2">
        <w:t>the main</w:t>
      </w:r>
      <w:r>
        <w:t xml:space="preserve"> power-saving </w:t>
      </w:r>
      <w:r w:rsidR="009E3EB2">
        <w:t>option</w:t>
      </w:r>
      <w:r>
        <w:t xml:space="preserve"> for RedCap UEs and </w:t>
      </w:r>
      <w:r w:rsidR="00C6032C">
        <w:t xml:space="preserve">the LTE </w:t>
      </w:r>
      <w:proofErr w:type="spellStart"/>
      <w:r w:rsidR="00C6032C">
        <w:t>eDRX</w:t>
      </w:r>
      <w:proofErr w:type="spellEnd"/>
      <w:r w:rsidR="00C6032C">
        <w:t xml:space="preserve"> operation was agreed to be the baseline for NR RedCap devices (for the purpose of power saving in IDLE/INACTIVE)</w:t>
      </w:r>
      <w:r>
        <w:t>.</w:t>
      </w:r>
      <w:r w:rsidR="00271438">
        <w:t xml:space="preserve"> </w:t>
      </w:r>
    </w:p>
    <w:p w14:paraId="4C5B95DF" w14:textId="2792BC2A" w:rsidR="00630C8D" w:rsidRDefault="0057672E" w:rsidP="00C6032C">
      <w:r>
        <w:t xml:space="preserve">In LTE </w:t>
      </w:r>
      <w:proofErr w:type="spellStart"/>
      <w:r>
        <w:t>eDRX</w:t>
      </w:r>
      <w:proofErr w:type="spellEnd"/>
      <w:r>
        <w:t xml:space="preserve">, all the NWs which actually support </w:t>
      </w:r>
      <w:proofErr w:type="spellStart"/>
      <w:r>
        <w:t>eDRX</w:t>
      </w:r>
      <w:proofErr w:type="spellEnd"/>
      <w:r>
        <w:t xml:space="preserve"> would broadcast this info in LTE SIB1</w:t>
      </w:r>
      <w:r w:rsidR="00630C8D">
        <w:t xml:space="preserve"> (</w:t>
      </w:r>
      <w:r w:rsidR="00630C8D">
        <w:rPr>
          <w:i/>
          <w:iCs/>
        </w:rPr>
        <w:t>eDRX-Allowed-r13)</w:t>
      </w:r>
      <w:r w:rsidR="00630C8D">
        <w:t xml:space="preserve"> and this information would help the LTE UE which operate on </w:t>
      </w:r>
      <w:proofErr w:type="spellStart"/>
      <w:r w:rsidR="00630C8D">
        <w:t>eDRX</w:t>
      </w:r>
      <w:proofErr w:type="spellEnd"/>
      <w:r w:rsidR="00630C8D">
        <w:t xml:space="preserve"> (LTE-M/NB-IOT) to use this information to decide if they want to re-select to this cell.</w:t>
      </w:r>
    </w:p>
    <w:p w14:paraId="43495B25" w14:textId="66B2D06B" w:rsidR="00630C8D" w:rsidRDefault="00630C8D" w:rsidP="00C6032C">
      <w:r>
        <w:t xml:space="preserve">Since we are using LTE </w:t>
      </w:r>
      <w:proofErr w:type="spellStart"/>
      <w:r>
        <w:t>eDRX</w:t>
      </w:r>
      <w:proofErr w:type="spellEnd"/>
      <w:r>
        <w:t xml:space="preserve"> as the baseline for NR, it can be assumed that </w:t>
      </w:r>
      <w:proofErr w:type="spellStart"/>
      <w:r>
        <w:t>eDRX</w:t>
      </w:r>
      <w:proofErr w:type="spellEnd"/>
      <w:r>
        <w:t xml:space="preserve"> support might also be broadcasted in NR SIB1. But in our view, since </w:t>
      </w:r>
      <w:proofErr w:type="spellStart"/>
      <w:r>
        <w:t>eDRX</w:t>
      </w:r>
      <w:proofErr w:type="spellEnd"/>
      <w:r>
        <w:t xml:space="preserve"> operation is integral part of RedCap UE operation (i.e., there would be no </w:t>
      </w:r>
      <w:proofErr w:type="spellStart"/>
      <w:r>
        <w:t>gNB</w:t>
      </w:r>
      <w:proofErr w:type="spellEnd"/>
      <w:r>
        <w:t xml:space="preserve"> that support</w:t>
      </w:r>
      <w:r w:rsidR="004D5589">
        <w:t>s</w:t>
      </w:r>
      <w:r>
        <w:t xml:space="preserve"> RedCap but do not support </w:t>
      </w:r>
      <w:proofErr w:type="spellStart"/>
      <w:r>
        <w:t>eDRX</w:t>
      </w:r>
      <w:proofErr w:type="spellEnd"/>
      <w:r>
        <w:t xml:space="preserve"> operation), we think the support of RedCap by the cell should be sufficient and there is no need to broadcast the support or the lack of support of </w:t>
      </w:r>
      <w:proofErr w:type="spellStart"/>
      <w:r>
        <w:t>eDRX</w:t>
      </w:r>
      <w:proofErr w:type="spellEnd"/>
      <w:r>
        <w:t xml:space="preserve"> in NR RedCap.</w:t>
      </w:r>
    </w:p>
    <w:p w14:paraId="59302C51" w14:textId="2820F3DF" w:rsidR="00630C8D" w:rsidRDefault="00630C8D" w:rsidP="00C6032C"/>
    <w:p w14:paraId="15CB8FD5" w14:textId="77E491AE" w:rsidR="004D5589" w:rsidRPr="00E70278" w:rsidRDefault="004D5589" w:rsidP="00C6032C">
      <w:pPr>
        <w:rPr>
          <w:b/>
          <w:bCs/>
        </w:rPr>
      </w:pPr>
      <w:r w:rsidRPr="00E70278">
        <w:rPr>
          <w:b/>
          <w:bCs/>
        </w:rPr>
        <w:t xml:space="preserve">Observation </w:t>
      </w:r>
      <w:r w:rsidR="007E6139">
        <w:rPr>
          <w:b/>
          <w:bCs/>
        </w:rPr>
        <w:t>5</w:t>
      </w:r>
      <w:r w:rsidRPr="00E70278">
        <w:rPr>
          <w:b/>
          <w:bCs/>
        </w:rPr>
        <w:t xml:space="preserve">: </w:t>
      </w:r>
      <w:proofErr w:type="spellStart"/>
      <w:r w:rsidRPr="00E70278">
        <w:rPr>
          <w:b/>
          <w:bCs/>
        </w:rPr>
        <w:t>eDRX</w:t>
      </w:r>
      <w:proofErr w:type="spellEnd"/>
      <w:r w:rsidRPr="00E70278">
        <w:rPr>
          <w:b/>
          <w:bCs/>
        </w:rPr>
        <w:t xml:space="preserve"> operation is integral part of RedCap and </w:t>
      </w:r>
      <w:r w:rsidR="007E6139">
        <w:rPr>
          <w:b/>
          <w:bCs/>
        </w:rPr>
        <w:t>practically we see</w:t>
      </w:r>
      <w:r w:rsidRPr="00E70278">
        <w:rPr>
          <w:b/>
          <w:bCs/>
        </w:rPr>
        <w:t xml:space="preserve"> no </w:t>
      </w:r>
      <w:proofErr w:type="spellStart"/>
      <w:r w:rsidRPr="00E70278">
        <w:rPr>
          <w:b/>
          <w:bCs/>
        </w:rPr>
        <w:t>gNB</w:t>
      </w:r>
      <w:proofErr w:type="spellEnd"/>
      <w:r w:rsidRPr="00E70278">
        <w:rPr>
          <w:b/>
          <w:bCs/>
        </w:rPr>
        <w:t xml:space="preserve"> that supports RedCap but do not support </w:t>
      </w:r>
      <w:proofErr w:type="spellStart"/>
      <w:r w:rsidRPr="00E70278">
        <w:rPr>
          <w:b/>
          <w:bCs/>
        </w:rPr>
        <w:t>eDRX</w:t>
      </w:r>
      <w:proofErr w:type="spellEnd"/>
      <w:r w:rsidRPr="00E70278">
        <w:rPr>
          <w:b/>
          <w:bCs/>
        </w:rPr>
        <w:t xml:space="preserve"> operation.</w:t>
      </w:r>
    </w:p>
    <w:p w14:paraId="133880B1" w14:textId="038C0CC7" w:rsidR="00630C8D" w:rsidRDefault="004D5589" w:rsidP="00C6032C">
      <w:pPr>
        <w:rPr>
          <w:b/>
          <w:bCs/>
        </w:rPr>
      </w:pPr>
      <w:r w:rsidRPr="00E70278">
        <w:rPr>
          <w:b/>
          <w:bCs/>
        </w:rPr>
        <w:t xml:space="preserve">Proposal </w:t>
      </w:r>
      <w:r w:rsidR="007E6139">
        <w:rPr>
          <w:b/>
          <w:bCs/>
        </w:rPr>
        <w:t>3</w:t>
      </w:r>
      <w:r w:rsidRPr="00E70278">
        <w:rPr>
          <w:b/>
          <w:bCs/>
        </w:rPr>
        <w:t xml:space="preserve">: Support of </w:t>
      </w:r>
      <w:proofErr w:type="spellStart"/>
      <w:r w:rsidRPr="00E70278">
        <w:rPr>
          <w:b/>
          <w:bCs/>
        </w:rPr>
        <w:t>eDRX</w:t>
      </w:r>
      <w:proofErr w:type="spellEnd"/>
      <w:r w:rsidRPr="00E70278">
        <w:rPr>
          <w:b/>
          <w:bCs/>
        </w:rPr>
        <w:t xml:space="preserve"> operation is assumed by </w:t>
      </w:r>
      <w:proofErr w:type="spellStart"/>
      <w:r w:rsidRPr="00E70278">
        <w:rPr>
          <w:b/>
          <w:bCs/>
        </w:rPr>
        <w:t>gNB</w:t>
      </w:r>
      <w:proofErr w:type="spellEnd"/>
      <w:r w:rsidRPr="00E70278">
        <w:rPr>
          <w:b/>
          <w:bCs/>
        </w:rPr>
        <w:t xml:space="preserve"> which supports RedCap, and no explicit </w:t>
      </w:r>
      <w:proofErr w:type="spellStart"/>
      <w:r w:rsidRPr="00E70278">
        <w:rPr>
          <w:b/>
          <w:bCs/>
        </w:rPr>
        <w:t>eDRX</w:t>
      </w:r>
      <w:proofErr w:type="spellEnd"/>
      <w:r w:rsidRPr="00E70278">
        <w:rPr>
          <w:b/>
          <w:bCs/>
        </w:rPr>
        <w:t xml:space="preserve"> support is needed in SIB broadcast by the supporting </w:t>
      </w:r>
      <w:proofErr w:type="spellStart"/>
      <w:r w:rsidRPr="00E70278">
        <w:rPr>
          <w:b/>
          <w:bCs/>
        </w:rPr>
        <w:t>gNB</w:t>
      </w:r>
      <w:proofErr w:type="spellEnd"/>
      <w:r w:rsidRPr="00E70278">
        <w:rPr>
          <w:b/>
          <w:bCs/>
        </w:rPr>
        <w:t xml:space="preserve">. </w:t>
      </w:r>
    </w:p>
    <w:p w14:paraId="2ED2E2BF" w14:textId="6B51728E" w:rsidR="00A9285F" w:rsidRDefault="00A9285F" w:rsidP="00C6032C">
      <w:pPr>
        <w:rPr>
          <w:b/>
          <w:bCs/>
        </w:rPr>
      </w:pPr>
    </w:p>
    <w:p w14:paraId="2EA4A221" w14:textId="77777777" w:rsidR="00A9285F" w:rsidRPr="00E70278" w:rsidRDefault="00A9285F" w:rsidP="00C6032C">
      <w:pPr>
        <w:rPr>
          <w:b/>
          <w:bCs/>
        </w:rPr>
      </w:pP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 xml:space="preserve">Proposals </w:t>
      </w:r>
    </w:p>
    <w:p w14:paraId="7BC2CAE8" w14:textId="77777777" w:rsidR="00A9285F" w:rsidRPr="00E813E6" w:rsidRDefault="00A9285F" w:rsidP="00A9285F">
      <w:pPr>
        <w:rPr>
          <w:b/>
          <w:bCs/>
          <w:lang w:val="en-GB"/>
        </w:rPr>
      </w:pPr>
      <w:r w:rsidRPr="00E813E6">
        <w:rPr>
          <w:b/>
          <w:bCs/>
          <w:lang w:val="en-GB"/>
        </w:rPr>
        <w:t>Observation 1: With the requirement that RedCap initial DL BWP to remain at 20MHz for RedCap, the legacy NWs with SIB1-expanded initial DL BWP, need to create a separate initial DL BWP for RedCap UEs, and this might require a separate cell-defining SSB for RedCap UEs.</w:t>
      </w:r>
    </w:p>
    <w:p w14:paraId="7AEF1B17" w14:textId="77777777" w:rsidR="00A9285F" w:rsidRPr="00E813E6" w:rsidRDefault="00A9285F" w:rsidP="00A9285F">
      <w:pPr>
        <w:rPr>
          <w:b/>
          <w:bCs/>
          <w:lang w:val="en-GB"/>
        </w:rPr>
      </w:pPr>
      <w:r w:rsidRPr="00E813E6">
        <w:rPr>
          <w:b/>
          <w:bCs/>
          <w:lang w:val="en-GB"/>
        </w:rPr>
        <w:t>Observation 2: Additional logic is needed to prevent legacy NR UEs from camping on the SSB created for RedCap UEs.</w:t>
      </w:r>
    </w:p>
    <w:p w14:paraId="41EF4874" w14:textId="77777777" w:rsidR="00A9285F" w:rsidRPr="00E813E6" w:rsidRDefault="00A9285F" w:rsidP="00A9285F">
      <w:pPr>
        <w:rPr>
          <w:b/>
          <w:bCs/>
          <w:lang w:val="en-GB"/>
        </w:rPr>
      </w:pPr>
      <w:r w:rsidRPr="00E813E6">
        <w:rPr>
          <w:b/>
          <w:bCs/>
          <w:lang w:val="en-GB"/>
        </w:rPr>
        <w:t>Observation 3: Deploying RedCap specific SSBs on non-GSCN frequencies result in additional logic and power requirements to have the RedCap UEs also search non-GSCN frequencies during cell search, and this is not a viable approach.</w:t>
      </w:r>
    </w:p>
    <w:p w14:paraId="734CEB35" w14:textId="7CEC9F3B" w:rsidR="00A9285F" w:rsidRDefault="00A9285F" w:rsidP="00A9285F">
      <w:pPr>
        <w:rPr>
          <w:b/>
          <w:bCs/>
        </w:rPr>
      </w:pPr>
      <w:r w:rsidRPr="00DB2236">
        <w:rPr>
          <w:b/>
          <w:bCs/>
        </w:rPr>
        <w:t xml:space="preserve">Observation </w:t>
      </w:r>
      <w:r>
        <w:rPr>
          <w:b/>
          <w:bCs/>
        </w:rPr>
        <w:t>4</w:t>
      </w:r>
      <w:r w:rsidRPr="00DB2236">
        <w:rPr>
          <w:b/>
          <w:bCs/>
        </w:rPr>
        <w:t xml:space="preserve">. </w:t>
      </w:r>
      <w:r w:rsidRPr="00DB2236">
        <w:rPr>
          <w:b/>
          <w:bCs/>
        </w:rPr>
        <w:tab/>
      </w:r>
      <w:r>
        <w:rPr>
          <w:b/>
          <w:bCs/>
        </w:rPr>
        <w:t>There are power saving benefits if the serving cell indicates the info of neighbor cell support of RedCap and the access restrictions broadcasted in these neighbor cells. This can help the RedCap UEs avoid RRM measurement and cell re-selection to neighbor cells which do not allow this RedCap UE to camp.</w:t>
      </w:r>
      <w:r w:rsidRPr="00DB2236">
        <w:rPr>
          <w:b/>
          <w:bCs/>
        </w:rPr>
        <w:t xml:space="preserve"> </w:t>
      </w:r>
    </w:p>
    <w:p w14:paraId="3C5E63D3" w14:textId="2614494E" w:rsidR="00A9285F" w:rsidRPr="00E70278" w:rsidRDefault="00A9285F" w:rsidP="00A9285F">
      <w:pPr>
        <w:rPr>
          <w:b/>
          <w:bCs/>
        </w:rPr>
      </w:pPr>
      <w:r w:rsidRPr="00E70278">
        <w:rPr>
          <w:b/>
          <w:bCs/>
        </w:rPr>
        <w:t xml:space="preserve">Observation </w:t>
      </w:r>
      <w:r>
        <w:rPr>
          <w:b/>
          <w:bCs/>
        </w:rPr>
        <w:t>5</w:t>
      </w:r>
      <w:r w:rsidRPr="00E70278">
        <w:rPr>
          <w:b/>
          <w:bCs/>
        </w:rPr>
        <w:t xml:space="preserve">: </w:t>
      </w:r>
      <w:proofErr w:type="spellStart"/>
      <w:r w:rsidRPr="00E70278">
        <w:rPr>
          <w:b/>
          <w:bCs/>
        </w:rPr>
        <w:t>eDRX</w:t>
      </w:r>
      <w:proofErr w:type="spellEnd"/>
      <w:r w:rsidRPr="00E70278">
        <w:rPr>
          <w:b/>
          <w:bCs/>
        </w:rPr>
        <w:t xml:space="preserve"> operation is integral part of RedCap and </w:t>
      </w:r>
      <w:r>
        <w:rPr>
          <w:b/>
          <w:bCs/>
        </w:rPr>
        <w:t>practically we see</w:t>
      </w:r>
      <w:r w:rsidRPr="00E70278">
        <w:rPr>
          <w:b/>
          <w:bCs/>
        </w:rPr>
        <w:t xml:space="preserve"> no </w:t>
      </w:r>
      <w:proofErr w:type="spellStart"/>
      <w:r w:rsidRPr="00E70278">
        <w:rPr>
          <w:b/>
          <w:bCs/>
        </w:rPr>
        <w:t>gNB</w:t>
      </w:r>
      <w:proofErr w:type="spellEnd"/>
      <w:r w:rsidRPr="00E70278">
        <w:rPr>
          <w:b/>
          <w:bCs/>
        </w:rPr>
        <w:t xml:space="preserve"> that supports RedCap but do not support </w:t>
      </w:r>
      <w:proofErr w:type="spellStart"/>
      <w:r w:rsidRPr="00E70278">
        <w:rPr>
          <w:b/>
          <w:bCs/>
        </w:rPr>
        <w:t>eDRX</w:t>
      </w:r>
      <w:proofErr w:type="spellEnd"/>
      <w:r w:rsidRPr="00E70278">
        <w:rPr>
          <w:b/>
          <w:bCs/>
        </w:rPr>
        <w:t xml:space="preserve"> operation.</w:t>
      </w:r>
    </w:p>
    <w:p w14:paraId="5B7E8C26" w14:textId="77777777" w:rsidR="00A9285F" w:rsidRDefault="00A9285F" w:rsidP="00A9285F">
      <w:pPr>
        <w:rPr>
          <w:b/>
          <w:bCs/>
          <w:lang w:val="en-GB"/>
        </w:rPr>
      </w:pPr>
    </w:p>
    <w:p w14:paraId="6B2A605E" w14:textId="77777777" w:rsidR="00A9285F" w:rsidRDefault="00A9285F" w:rsidP="00A9285F">
      <w:pPr>
        <w:rPr>
          <w:b/>
          <w:bCs/>
          <w:lang w:val="en-GB"/>
        </w:rPr>
      </w:pPr>
    </w:p>
    <w:p w14:paraId="5E32EE7C" w14:textId="20D37489" w:rsidR="00A9285F" w:rsidRDefault="00A9285F" w:rsidP="00A9285F">
      <w:pPr>
        <w:rPr>
          <w:b/>
          <w:bCs/>
        </w:rPr>
      </w:pPr>
      <w:r w:rsidRPr="00E813E6">
        <w:rPr>
          <w:b/>
          <w:bCs/>
          <w:lang w:val="en-GB"/>
        </w:rPr>
        <w:t xml:space="preserve">Proposal 1: RedCap UEs ignore the </w:t>
      </w:r>
      <w:proofErr w:type="spellStart"/>
      <w:r w:rsidRPr="00E813E6">
        <w:rPr>
          <w:b/>
          <w:bCs/>
          <w:i/>
          <w:iCs/>
          <w:lang w:val="en-GB"/>
        </w:rPr>
        <w:t>cellBarred</w:t>
      </w:r>
      <w:proofErr w:type="spellEnd"/>
      <w:r w:rsidRPr="00E813E6">
        <w:rPr>
          <w:b/>
          <w:bCs/>
          <w:i/>
          <w:iCs/>
          <w:lang w:val="en-GB"/>
        </w:rPr>
        <w:t xml:space="preserve"> </w:t>
      </w:r>
      <w:r w:rsidRPr="00E813E6">
        <w:rPr>
          <w:b/>
          <w:bCs/>
          <w:lang w:val="en-GB"/>
        </w:rPr>
        <w:t>IE from MIB. Cell barring for RedCap UEs is via a new IE created in SIB1 that is meant for RedCap UEs.</w:t>
      </w:r>
    </w:p>
    <w:p w14:paraId="62F3E21D" w14:textId="77777777" w:rsidR="00A9285F" w:rsidRPr="00DB2236" w:rsidRDefault="00A9285F" w:rsidP="00A9285F">
      <w:r w:rsidRPr="00DB2236">
        <w:rPr>
          <w:b/>
          <w:bCs/>
        </w:rPr>
        <w:t xml:space="preserve">Proposal </w:t>
      </w:r>
      <w:r>
        <w:rPr>
          <w:b/>
          <w:bCs/>
        </w:rPr>
        <w:t>2</w:t>
      </w:r>
      <w:r w:rsidRPr="00DB2236">
        <w:rPr>
          <w:b/>
          <w:bCs/>
        </w:rPr>
        <w:t xml:space="preserve">. </w:t>
      </w:r>
      <w:r w:rsidRPr="00DB2236">
        <w:rPr>
          <w:b/>
          <w:bCs/>
        </w:rPr>
        <w:tab/>
      </w:r>
      <w:r>
        <w:rPr>
          <w:b/>
          <w:bCs/>
        </w:rPr>
        <w:t>SIB3/4 includes the information of the support of RedCap UEs by the neighbor cells as well as any RedCap UE specific camping restrictions these neighbor cells have broadcasted.</w:t>
      </w:r>
    </w:p>
    <w:p w14:paraId="0C2872F1" w14:textId="6253273B" w:rsidR="00A9285F" w:rsidRPr="00E70278" w:rsidRDefault="00A9285F" w:rsidP="00A9285F">
      <w:pPr>
        <w:rPr>
          <w:b/>
          <w:bCs/>
        </w:rPr>
      </w:pPr>
      <w:r w:rsidRPr="00E70278">
        <w:rPr>
          <w:b/>
          <w:bCs/>
        </w:rPr>
        <w:t xml:space="preserve">Proposal </w:t>
      </w:r>
      <w:r>
        <w:rPr>
          <w:b/>
          <w:bCs/>
        </w:rPr>
        <w:t>3</w:t>
      </w:r>
      <w:r w:rsidRPr="00E70278">
        <w:rPr>
          <w:b/>
          <w:bCs/>
        </w:rPr>
        <w:t xml:space="preserve">: Support of </w:t>
      </w:r>
      <w:proofErr w:type="spellStart"/>
      <w:r w:rsidRPr="00E70278">
        <w:rPr>
          <w:b/>
          <w:bCs/>
        </w:rPr>
        <w:t>eDRX</w:t>
      </w:r>
      <w:proofErr w:type="spellEnd"/>
      <w:r w:rsidRPr="00E70278">
        <w:rPr>
          <w:b/>
          <w:bCs/>
        </w:rPr>
        <w:t xml:space="preserve"> operation is assumed by </w:t>
      </w:r>
      <w:proofErr w:type="spellStart"/>
      <w:r w:rsidRPr="00E70278">
        <w:rPr>
          <w:b/>
          <w:bCs/>
        </w:rPr>
        <w:t>gNB</w:t>
      </w:r>
      <w:proofErr w:type="spellEnd"/>
      <w:r w:rsidRPr="00E70278">
        <w:rPr>
          <w:b/>
          <w:bCs/>
        </w:rPr>
        <w:t xml:space="preserve"> which supports RedCap, and no explicit </w:t>
      </w:r>
      <w:proofErr w:type="spellStart"/>
      <w:r w:rsidRPr="00E70278">
        <w:rPr>
          <w:b/>
          <w:bCs/>
        </w:rPr>
        <w:t>eDRX</w:t>
      </w:r>
      <w:proofErr w:type="spellEnd"/>
      <w:r w:rsidRPr="00E70278">
        <w:rPr>
          <w:b/>
          <w:bCs/>
        </w:rPr>
        <w:t xml:space="preserve"> support is needed in SIB broadcast by the supporting </w:t>
      </w:r>
      <w:proofErr w:type="spellStart"/>
      <w:r w:rsidRPr="00E70278">
        <w:rPr>
          <w:b/>
          <w:bCs/>
        </w:rPr>
        <w:t>gNB</w:t>
      </w:r>
      <w:proofErr w:type="spellEnd"/>
      <w:r w:rsidRPr="00E70278">
        <w:rPr>
          <w:b/>
          <w:bCs/>
        </w:rPr>
        <w:t xml:space="preserve">. </w:t>
      </w:r>
    </w:p>
    <w:p w14:paraId="0C087ADF" w14:textId="77777777" w:rsidR="00A9285F" w:rsidRDefault="00A9285F" w:rsidP="00C16BAB">
      <w:pPr>
        <w:spacing w:before="156"/>
        <w:rPr>
          <w:sz w:val="22"/>
        </w:rPr>
      </w:pPr>
    </w:p>
    <w:p w14:paraId="4967DD76" w14:textId="30A7CEA3" w:rsidR="00C16BAB" w:rsidRDefault="00C16BAB" w:rsidP="00C16BAB">
      <w:pPr>
        <w:spacing w:before="156"/>
        <w:rPr>
          <w:sz w:val="22"/>
        </w:rPr>
      </w:pPr>
    </w:p>
    <w:p w14:paraId="48A157C4" w14:textId="04345665" w:rsidR="00C16BAB" w:rsidRDefault="00C16BAB" w:rsidP="00C16BAB">
      <w:pPr>
        <w:pStyle w:val="Heading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t>Appendix A</w:t>
      </w:r>
    </w:p>
    <w:p w14:paraId="3700D93E" w14:textId="77777777" w:rsidR="00C16BAB" w:rsidRDefault="00C16BAB" w:rsidP="00C16BAB">
      <w:pPr>
        <w:spacing w:before="120"/>
        <w:rPr>
          <w:rFonts w:ascii="Arial" w:hAnsi="Arial" w:cs="Arial"/>
        </w:rPr>
      </w:pPr>
      <w:r>
        <w:rPr>
          <w:rFonts w:ascii="Arial" w:hAnsi="Arial" w:cs="Arial"/>
        </w:rPr>
        <w:t xml:space="preserve">In RAN1 104-bis e-meeting, the following agreements were reached [1]: </w:t>
      </w:r>
    </w:p>
    <w:tbl>
      <w:tblPr>
        <w:tblStyle w:val="TableGrid"/>
        <w:tblW w:w="0" w:type="auto"/>
        <w:tblLook w:val="04A0" w:firstRow="1" w:lastRow="0" w:firstColumn="1" w:lastColumn="0" w:noHBand="0" w:noVBand="1"/>
      </w:tblPr>
      <w:tblGrid>
        <w:gridCol w:w="9771"/>
      </w:tblGrid>
      <w:tr w:rsidR="00C16BAB" w14:paraId="222CC7B8" w14:textId="77777777" w:rsidTr="00610746">
        <w:tc>
          <w:tcPr>
            <w:tcW w:w="9962" w:type="dxa"/>
          </w:tcPr>
          <w:p w14:paraId="369AF71E" w14:textId="77777777" w:rsidR="00C16BAB" w:rsidRPr="003C7F12" w:rsidRDefault="00C16BAB" w:rsidP="00610746">
            <w:pPr>
              <w:rPr>
                <w:rFonts w:ascii="Calibri" w:hAnsi="Calibri"/>
                <w:highlight w:val="darkYellow"/>
              </w:rPr>
            </w:pPr>
            <w:r w:rsidRPr="003C7F12">
              <w:rPr>
                <w:rStyle w:val="Strong"/>
                <w:highlight w:val="darkYellow"/>
              </w:rPr>
              <w:t>Working assumption:</w:t>
            </w:r>
          </w:p>
          <w:p w14:paraId="7206FA56" w14:textId="77777777" w:rsidR="00C16BAB" w:rsidRPr="003C7F12" w:rsidRDefault="00C16BAB" w:rsidP="00610746">
            <w:pPr>
              <w:pStyle w:val="ListParagraph"/>
              <w:widowControl/>
              <w:numPr>
                <w:ilvl w:val="0"/>
                <w:numId w:val="33"/>
              </w:numPr>
              <w:overflowPunct/>
              <w:autoSpaceDE/>
              <w:autoSpaceDN/>
              <w:adjustRightInd/>
              <w:spacing w:after="0"/>
              <w:contextualSpacing w:val="0"/>
              <w:jc w:val="left"/>
              <w:textAlignment w:val="auto"/>
              <w:rPr>
                <w:rFonts w:eastAsia="Times New Roman"/>
              </w:rPr>
            </w:pPr>
            <w:r w:rsidRPr="003C7F12">
              <w:rPr>
                <w:rStyle w:val="Strong"/>
                <w:rFonts w:eastAsia="Times New Roman"/>
              </w:rPr>
              <w:t>During initial access, the bandwidth of the initial DL BWP for RedCap UEs is not expected to exceed the maximum RedCap UE bandwidth.</w:t>
            </w:r>
          </w:p>
          <w:p w14:paraId="10BE972D" w14:textId="77777777" w:rsidR="00C16BAB" w:rsidRPr="003C7F12" w:rsidRDefault="00C16BAB" w:rsidP="00610746">
            <w:pPr>
              <w:pStyle w:val="ListParagraph"/>
              <w:widowControl/>
              <w:numPr>
                <w:ilvl w:val="1"/>
                <w:numId w:val="33"/>
              </w:numPr>
              <w:overflowPunct/>
              <w:autoSpaceDE/>
              <w:autoSpaceDN/>
              <w:adjustRightInd/>
              <w:spacing w:after="0"/>
              <w:contextualSpacing w:val="0"/>
              <w:jc w:val="left"/>
              <w:textAlignment w:val="auto"/>
              <w:rPr>
                <w:rFonts w:eastAsia="Times New Roman"/>
              </w:rPr>
            </w:pPr>
            <w:r w:rsidRPr="003C7F12">
              <w:rPr>
                <w:rStyle w:val="Strong"/>
                <w:rFonts w:eastAsia="Times New Roman"/>
              </w:rPr>
              <w:t>The bandwidth and location of the initial DL BWP for RedCap UEs can be the same as the bandwidth and location of the MIB-configured initial DL BWP for non-RedCap UEs.</w:t>
            </w:r>
          </w:p>
          <w:p w14:paraId="7ABA5C68" w14:textId="77777777" w:rsidR="00C16BAB" w:rsidRPr="003C7F12" w:rsidRDefault="00C16BAB" w:rsidP="00610746">
            <w:pPr>
              <w:pStyle w:val="ListParagraph"/>
              <w:widowControl/>
              <w:numPr>
                <w:ilvl w:val="1"/>
                <w:numId w:val="33"/>
              </w:numPr>
              <w:overflowPunct/>
              <w:autoSpaceDE/>
              <w:autoSpaceDN/>
              <w:adjustRightInd/>
              <w:spacing w:after="0"/>
              <w:contextualSpacing w:val="0"/>
              <w:jc w:val="left"/>
              <w:textAlignment w:val="auto"/>
              <w:rPr>
                <w:rFonts w:eastAsia="Times New Roman"/>
              </w:rPr>
            </w:pPr>
            <w:r w:rsidRPr="003C7F12">
              <w:rPr>
                <w:rStyle w:val="Strong"/>
                <w:rFonts w:eastAsia="Times New Roman"/>
              </w:rPr>
              <w:t>This does not preclude a SIB-configured initial DL BWP for non-RedCap UEs only with a wider bandwidth than the maximum RedCap UE bandwidth.</w:t>
            </w:r>
          </w:p>
          <w:p w14:paraId="5A77F16C" w14:textId="77777777" w:rsidR="00C16BAB" w:rsidRPr="003C7F12" w:rsidRDefault="00C16BAB" w:rsidP="00610746">
            <w:pPr>
              <w:pStyle w:val="ListParagraph"/>
              <w:widowControl/>
              <w:numPr>
                <w:ilvl w:val="1"/>
                <w:numId w:val="33"/>
              </w:numPr>
              <w:overflowPunct/>
              <w:autoSpaceDE/>
              <w:autoSpaceDN/>
              <w:adjustRightInd/>
              <w:spacing w:after="0"/>
              <w:contextualSpacing w:val="0"/>
              <w:jc w:val="left"/>
              <w:textAlignment w:val="auto"/>
              <w:rPr>
                <w:rStyle w:val="Strong"/>
                <w:rFonts w:eastAsia="Calibri"/>
                <w:b w:val="0"/>
                <w:bCs w:val="0"/>
                <w:lang w:val="sv-SE"/>
              </w:rPr>
            </w:pPr>
            <w:r w:rsidRPr="003C7F12">
              <w:rPr>
                <w:rStyle w:val="Strong"/>
                <w:rFonts w:eastAsia="Times New Roman"/>
              </w:rPr>
              <w:t xml:space="preserve">This does not preclude separate or additional bandwidth and location for initial DL BWP for RedCap UEs </w:t>
            </w:r>
            <w:r w:rsidRPr="0028649D">
              <w:rPr>
                <w:rStyle w:val="Strong"/>
                <w:rFonts w:eastAsia="Times New Roman"/>
                <w:highlight w:val="yellow"/>
              </w:rPr>
              <w:t>(FFS).</w:t>
            </w:r>
          </w:p>
          <w:p w14:paraId="4675AEF3" w14:textId="77777777" w:rsidR="00C16BAB" w:rsidRPr="003A2D01" w:rsidRDefault="00C16BAB" w:rsidP="00610746">
            <w:pPr>
              <w:rPr>
                <w:rStyle w:val="Strong"/>
                <w:b w:val="0"/>
                <w:bCs w:val="0"/>
              </w:rPr>
            </w:pPr>
          </w:p>
          <w:p w14:paraId="2BC57DA4" w14:textId="77777777" w:rsidR="00C16BAB" w:rsidRPr="003C7F12" w:rsidRDefault="00C16BAB" w:rsidP="00610746">
            <w:pPr>
              <w:pStyle w:val="ListParagraph"/>
              <w:ind w:left="0"/>
              <w:rPr>
                <w:rFonts w:eastAsia="Times New Roman"/>
              </w:rPr>
            </w:pPr>
            <w:r w:rsidRPr="003C7F12">
              <w:rPr>
                <w:rFonts w:eastAsia="Times New Roman"/>
                <w:highlight w:val="darkYellow"/>
              </w:rPr>
              <w:t xml:space="preserve">Working assumption: </w:t>
            </w:r>
            <w:r w:rsidRPr="003C7F12">
              <w:rPr>
                <w:rFonts w:eastAsia="Times New Roman"/>
              </w:rPr>
              <w:t>After initial access, at least for BWP#0 configuration option 1 (as in 38.331, Appendix B2), a RedCap UE is not expected to operate with an initial DL BWP wider than the maximum RedCap UE bandwidth.</w:t>
            </w:r>
          </w:p>
          <w:p w14:paraId="5271BC7E" w14:textId="77777777" w:rsidR="00C16BAB" w:rsidRPr="003C7F12" w:rsidRDefault="00C16BAB" w:rsidP="00610746">
            <w:pPr>
              <w:pStyle w:val="ListParagraph"/>
              <w:widowControl/>
              <w:numPr>
                <w:ilvl w:val="1"/>
                <w:numId w:val="33"/>
              </w:numPr>
              <w:overflowPunct/>
              <w:autoSpaceDE/>
              <w:autoSpaceDN/>
              <w:adjustRightInd/>
              <w:spacing w:after="0"/>
              <w:contextualSpacing w:val="0"/>
              <w:jc w:val="left"/>
              <w:textAlignment w:val="auto"/>
              <w:rPr>
                <w:rFonts w:eastAsia="Times New Roman"/>
                <w:lang w:val="sv-SE"/>
              </w:rPr>
            </w:pPr>
            <w:r w:rsidRPr="003C7F12">
              <w:rPr>
                <w:rFonts w:eastAsia="Times New Roman"/>
                <w:lang w:val="sv-SE"/>
              </w:rPr>
              <w:t xml:space="preserve">FFS: BWP#0 </w:t>
            </w:r>
            <w:proofErr w:type="spellStart"/>
            <w:r w:rsidRPr="003C7F12">
              <w:rPr>
                <w:rFonts w:eastAsia="Times New Roman"/>
                <w:lang w:val="sv-SE"/>
              </w:rPr>
              <w:t>configuration</w:t>
            </w:r>
            <w:proofErr w:type="spellEnd"/>
            <w:r w:rsidRPr="003C7F12">
              <w:rPr>
                <w:rFonts w:eastAsia="Times New Roman"/>
                <w:lang w:val="sv-SE"/>
              </w:rPr>
              <w:t xml:space="preserve"> option 2 (</w:t>
            </w:r>
            <w:proofErr w:type="gramStart"/>
            <w:r w:rsidRPr="003C7F12">
              <w:rPr>
                <w:rFonts w:eastAsia="Times New Roman"/>
                <w:lang w:val="sv-SE"/>
              </w:rPr>
              <w:t>as in</w:t>
            </w:r>
            <w:proofErr w:type="gramEnd"/>
            <w:r w:rsidRPr="003C7F12">
              <w:rPr>
                <w:rFonts w:eastAsia="Times New Roman"/>
                <w:lang w:val="sv-SE"/>
              </w:rPr>
              <w:t xml:space="preserve"> 38.331</w:t>
            </w:r>
            <w:r w:rsidRPr="003C7F12">
              <w:rPr>
                <w:rFonts w:eastAsia="Times New Roman"/>
              </w:rPr>
              <w:t>, Appendix B2</w:t>
            </w:r>
            <w:r w:rsidRPr="003C7F12">
              <w:rPr>
                <w:rFonts w:eastAsia="Times New Roman"/>
                <w:lang w:val="sv-SE"/>
              </w:rPr>
              <w:t>)</w:t>
            </w:r>
          </w:p>
          <w:p w14:paraId="70590549" w14:textId="77777777" w:rsidR="00C16BAB" w:rsidRPr="001C315E" w:rsidRDefault="00C16BAB" w:rsidP="00610746">
            <w:pPr>
              <w:spacing w:after="0"/>
            </w:pPr>
          </w:p>
        </w:tc>
      </w:tr>
    </w:tbl>
    <w:p w14:paraId="2AF69D9C" w14:textId="77777777" w:rsidR="00C16BAB" w:rsidRDefault="00C16BAB" w:rsidP="00C16BAB">
      <w:pPr>
        <w:spacing w:before="120"/>
        <w:rPr>
          <w:rFonts w:ascii="Arial" w:hAnsi="Arial" w:cs="Arial"/>
        </w:rPr>
      </w:pPr>
    </w:p>
    <w:p w14:paraId="52093340" w14:textId="77777777" w:rsidR="00C16BAB" w:rsidRDefault="00C16BAB" w:rsidP="00C16BAB">
      <w:pPr>
        <w:spacing w:before="120"/>
        <w:rPr>
          <w:rFonts w:ascii="Arial" w:hAnsi="Arial" w:cs="Arial"/>
        </w:rPr>
      </w:pPr>
      <w:r>
        <w:rPr>
          <w:rFonts w:ascii="Arial" w:hAnsi="Arial" w:cs="Arial"/>
        </w:rPr>
        <w:t xml:space="preserve">In RAN1 #105 e-meeting, further progress was made with the following agreements: </w:t>
      </w:r>
    </w:p>
    <w:tbl>
      <w:tblPr>
        <w:tblStyle w:val="TableGrid"/>
        <w:tblW w:w="0" w:type="auto"/>
        <w:tblLook w:val="04A0" w:firstRow="1" w:lastRow="0" w:firstColumn="1" w:lastColumn="0" w:noHBand="0" w:noVBand="1"/>
      </w:tblPr>
      <w:tblGrid>
        <w:gridCol w:w="9771"/>
      </w:tblGrid>
      <w:tr w:rsidR="00C16BAB" w14:paraId="4C2D2CF9" w14:textId="77777777" w:rsidTr="00610746">
        <w:tc>
          <w:tcPr>
            <w:tcW w:w="9962" w:type="dxa"/>
          </w:tcPr>
          <w:p w14:paraId="46000653" w14:textId="77777777" w:rsidR="00C16BAB" w:rsidRPr="00E568DA" w:rsidRDefault="00C16BAB" w:rsidP="00610746">
            <w:r w:rsidRPr="00E568DA">
              <w:rPr>
                <w:highlight w:val="green"/>
              </w:rPr>
              <w:t>Agreements</w:t>
            </w:r>
            <w:r w:rsidRPr="00E568DA">
              <w:t>: Replace the RAN1#104bis-e working assumption with the following working assumption (for option 1) and working assumption (for option 2):</w:t>
            </w:r>
          </w:p>
          <w:p w14:paraId="09FF8376" w14:textId="77777777" w:rsidR="00C16BAB" w:rsidRPr="00E568DA" w:rsidRDefault="00C16BAB" w:rsidP="00610746">
            <w:pPr>
              <w:widowControl/>
              <w:numPr>
                <w:ilvl w:val="0"/>
                <w:numId w:val="34"/>
              </w:numPr>
              <w:spacing w:after="0" w:line="252" w:lineRule="auto"/>
              <w:jc w:val="left"/>
              <w:rPr>
                <w:rFonts w:eastAsia="Times New Roman" w:cs="Times"/>
                <w:lang w:eastAsia="zh-CN"/>
              </w:rPr>
            </w:pPr>
            <w:r w:rsidRPr="00E568DA">
              <w:rPr>
                <w:rFonts w:eastAsia="Times New Roman" w:cs="Times"/>
                <w:highlight w:val="darkYellow"/>
                <w:lang w:eastAsia="ja-JP"/>
              </w:rPr>
              <w:t>Working assumption</w:t>
            </w:r>
            <w:r w:rsidRPr="00E568DA">
              <w:rPr>
                <w:rFonts w:eastAsia="Times New Roman" w:cs="Times"/>
                <w:lang w:eastAsia="ja-JP"/>
              </w:rPr>
              <w:t xml:space="preserve">: After initial access </w:t>
            </w:r>
            <w:r w:rsidRPr="00E568DA">
              <w:rPr>
                <w:rFonts w:eastAsia="Times New Roman" w:cs="Times"/>
                <w:color w:val="FF0000"/>
                <w:u w:val="single"/>
                <w:lang w:eastAsia="ja-JP"/>
              </w:rPr>
              <w:t>(i.e., after RRC Setup, RRC Resume, or RRC Reestablishment)</w:t>
            </w:r>
            <w:r w:rsidRPr="00E568DA">
              <w:rPr>
                <w:rFonts w:eastAsia="Times New Roman" w:cs="Times"/>
                <w:lang w:eastAsia="ja-JP"/>
              </w:rPr>
              <w:t>, for BWP#0 configuration option 1 (as in 38.331, Appendix B2), a RedCap UE is not expected to operate with an initial DL BWP wider than the maximum RedCap UE bandwidth.</w:t>
            </w:r>
          </w:p>
          <w:p w14:paraId="2A62E929" w14:textId="77777777" w:rsidR="00C16BAB" w:rsidRPr="00E568DA" w:rsidRDefault="00C16BAB" w:rsidP="00610746">
            <w:pPr>
              <w:widowControl/>
              <w:numPr>
                <w:ilvl w:val="0"/>
                <w:numId w:val="34"/>
              </w:numPr>
              <w:spacing w:after="0" w:line="252" w:lineRule="auto"/>
              <w:jc w:val="left"/>
              <w:rPr>
                <w:rFonts w:eastAsia="Times New Roman" w:cs="Times"/>
                <w:lang w:eastAsia="zh-CN"/>
              </w:rPr>
            </w:pPr>
            <w:r w:rsidRPr="00E568DA">
              <w:rPr>
                <w:rFonts w:eastAsia="Times New Roman" w:cs="Times"/>
                <w:highlight w:val="darkYellow"/>
                <w:lang w:eastAsia="ja-JP"/>
              </w:rPr>
              <w:t>Working assumption</w:t>
            </w:r>
            <w:r w:rsidRPr="00E568DA">
              <w:rPr>
                <w:rFonts w:eastAsia="Times New Roman" w:cs="Times"/>
                <w:lang w:eastAsia="ja-JP"/>
              </w:rPr>
              <w:t>: After initial access (</w:t>
            </w:r>
            <w:r w:rsidRPr="00E568DA">
              <w:rPr>
                <w:rFonts w:eastAsia="Times New Roman" w:cs="Times"/>
                <w:color w:val="FF0000"/>
                <w:u w:val="single"/>
                <w:lang w:eastAsia="ja-JP"/>
              </w:rPr>
              <w:t>i.e., after RRC Setup, RRC Resume, or RRC Reestablishment</w:t>
            </w:r>
            <w:r w:rsidRPr="00E568DA">
              <w:rPr>
                <w:rFonts w:eastAsia="Times New Roman" w:cs="Times"/>
                <w:lang w:eastAsia="ja-JP"/>
              </w:rPr>
              <w:t>), for BWP#0 configuration option 2 (as in 38.331, Appendix B2), a RedCap UE is not expected to operate with an initial DL BWP wider than the maximum RedCap UE bandwidth.</w:t>
            </w:r>
          </w:p>
          <w:p w14:paraId="2F979294" w14:textId="77777777" w:rsidR="00C16BAB" w:rsidRPr="005E3F44" w:rsidRDefault="00C16BAB" w:rsidP="00610746">
            <w:pPr>
              <w:rPr>
                <w:rFonts w:eastAsia="Calibri"/>
                <w:b/>
                <w:bCs/>
                <w:highlight w:val="yellow"/>
              </w:rPr>
            </w:pPr>
          </w:p>
          <w:p w14:paraId="64DEF295" w14:textId="77777777" w:rsidR="00C16BAB" w:rsidRPr="00210505" w:rsidRDefault="00C16BAB" w:rsidP="00610746">
            <w:r w:rsidRPr="00210505">
              <w:rPr>
                <w:highlight w:val="green"/>
              </w:rPr>
              <w:t>Agreements:</w:t>
            </w:r>
          </w:p>
          <w:p w14:paraId="580D2E85" w14:textId="77777777" w:rsidR="00C16BAB" w:rsidRPr="00210505" w:rsidRDefault="00C16BAB" w:rsidP="00610746">
            <w:pPr>
              <w:widowControl/>
              <w:numPr>
                <w:ilvl w:val="0"/>
                <w:numId w:val="34"/>
              </w:numPr>
              <w:spacing w:after="0" w:line="252" w:lineRule="auto"/>
              <w:jc w:val="left"/>
              <w:rPr>
                <w:rFonts w:eastAsia="Times New Roman" w:cs="Times"/>
                <w:lang w:eastAsia="ja-JP"/>
              </w:rPr>
            </w:pPr>
            <w:r w:rsidRPr="00210505">
              <w:rPr>
                <w:rFonts w:eastAsia="Times New Roman" w:cs="Times"/>
                <w:lang w:eastAsia="ja-JP"/>
              </w:rPr>
              <w:t>Both during and after initial access, the scenario where the initial UL BWP for non-RedCap UEs is configured to be wider than the maximum RedCap UE bandwidth is allowed.</w:t>
            </w:r>
          </w:p>
          <w:p w14:paraId="0CBE8FD8" w14:textId="77777777" w:rsidR="00C16BAB" w:rsidRPr="00210505" w:rsidRDefault="00C16BAB" w:rsidP="00610746">
            <w:pPr>
              <w:widowControl/>
              <w:numPr>
                <w:ilvl w:val="0"/>
                <w:numId w:val="34"/>
              </w:numPr>
              <w:spacing w:after="0" w:line="252" w:lineRule="auto"/>
              <w:jc w:val="left"/>
              <w:rPr>
                <w:rFonts w:eastAsia="Times New Roman" w:cs="Times"/>
                <w:lang w:eastAsia="ja-JP"/>
              </w:rPr>
            </w:pPr>
            <w:r w:rsidRPr="00210505">
              <w:rPr>
                <w:rFonts w:eastAsia="Times New Roman" w:cs="Times"/>
                <w:highlight w:val="darkYellow"/>
                <w:lang w:eastAsia="ja-JP"/>
              </w:rPr>
              <w:t>Working assumption</w:t>
            </w:r>
            <w:r w:rsidRPr="00210505">
              <w:rPr>
                <w:rFonts w:eastAsia="Times New Roman" w:cs="Time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5A0F7B0" w14:textId="77777777" w:rsidR="00C16BAB" w:rsidRPr="00210505" w:rsidRDefault="00C16BAB" w:rsidP="00610746">
            <w:pPr>
              <w:widowControl/>
              <w:numPr>
                <w:ilvl w:val="1"/>
                <w:numId w:val="34"/>
              </w:numPr>
              <w:spacing w:after="0" w:line="252" w:lineRule="auto"/>
              <w:jc w:val="left"/>
              <w:rPr>
                <w:rFonts w:eastAsia="Times New Roman" w:cs="Times"/>
                <w:lang w:eastAsia="ja-JP"/>
              </w:rPr>
            </w:pPr>
            <w:r w:rsidRPr="00210505">
              <w:rPr>
                <w:rFonts w:eastAsia="Times New Roman" w:cs="Times"/>
                <w:lang w:eastAsia="ja-JP"/>
              </w:rPr>
              <w:t>FFS: whether/how to avoid or minimize PUSCH resource fragmentation due to PUCCH transmission for the above case</w:t>
            </w:r>
          </w:p>
          <w:p w14:paraId="0B4AC07B" w14:textId="77777777" w:rsidR="00C16BAB" w:rsidRDefault="00C16BAB" w:rsidP="00610746">
            <w:pPr>
              <w:widowControl/>
              <w:numPr>
                <w:ilvl w:val="1"/>
                <w:numId w:val="34"/>
              </w:numPr>
              <w:spacing w:after="0" w:line="252" w:lineRule="auto"/>
              <w:jc w:val="left"/>
              <w:rPr>
                <w:rFonts w:eastAsia="Times New Roman" w:cs="Times"/>
                <w:lang w:eastAsia="ja-JP"/>
              </w:rPr>
            </w:pPr>
            <w:r w:rsidRPr="00210505">
              <w:rPr>
                <w:rFonts w:eastAsia="Times New Roman" w:cs="Times"/>
                <w:lang w:eastAsia="ja-JP"/>
              </w:rPr>
              <w:t xml:space="preserve">Support the case when the </w:t>
            </w:r>
            <w:proofErr w:type="spellStart"/>
            <w:r w:rsidRPr="00210505">
              <w:rPr>
                <w:rFonts w:eastAsia="Times New Roman" w:cs="Times"/>
                <w:lang w:eastAsia="ja-JP"/>
              </w:rPr>
              <w:t>centre</w:t>
            </w:r>
            <w:proofErr w:type="spellEnd"/>
            <w:r w:rsidRPr="00210505">
              <w:rPr>
                <w:rFonts w:eastAsia="Times New Roman" w:cs="Times"/>
                <w:lang w:eastAsia="ja-JP"/>
              </w:rPr>
              <w:t xml:space="preserve"> frequency is assumed to be the same for the initial DL and UL BWPs in TDD. </w:t>
            </w:r>
          </w:p>
          <w:p w14:paraId="4DC6E23C" w14:textId="77777777" w:rsidR="00C16BAB" w:rsidRDefault="00C16BAB" w:rsidP="00610746">
            <w:pPr>
              <w:widowControl/>
              <w:numPr>
                <w:ilvl w:val="1"/>
                <w:numId w:val="34"/>
              </w:numPr>
              <w:spacing w:after="0" w:line="252" w:lineRule="auto"/>
              <w:jc w:val="left"/>
              <w:rPr>
                <w:rFonts w:eastAsia="Times New Roman" w:cs="Times"/>
                <w:lang w:eastAsia="ja-JP"/>
              </w:rPr>
            </w:pPr>
            <w:r w:rsidRPr="00043671">
              <w:rPr>
                <w:rFonts w:eastAsia="Times New Roman" w:cs="Times"/>
                <w:lang w:eastAsia="ja-JP"/>
              </w:rPr>
              <w:t xml:space="preserve">FFS </w:t>
            </w:r>
            <w:proofErr w:type="gramStart"/>
            <w:r w:rsidRPr="00043671">
              <w:rPr>
                <w:rFonts w:eastAsia="Times New Roman" w:cs="Times"/>
                <w:lang w:eastAsia="ja-JP"/>
              </w:rPr>
              <w:t>whether or not</w:t>
            </w:r>
            <w:proofErr w:type="gramEnd"/>
            <w:r w:rsidRPr="00043671">
              <w:rPr>
                <w:rFonts w:eastAsia="Times New Roman" w:cs="Times"/>
                <w:lang w:eastAsia="ja-JP"/>
              </w:rPr>
              <w:t xml:space="preserve"> to additionally support the case when the </w:t>
            </w:r>
            <w:proofErr w:type="spellStart"/>
            <w:r w:rsidRPr="00043671">
              <w:rPr>
                <w:rFonts w:eastAsia="Times New Roman" w:cs="Times"/>
                <w:lang w:eastAsia="ja-JP"/>
              </w:rPr>
              <w:t>centre</w:t>
            </w:r>
            <w:proofErr w:type="spellEnd"/>
            <w:r w:rsidRPr="00043671">
              <w:rPr>
                <w:rFonts w:eastAsia="Times New Roman" w:cs="Times"/>
                <w:lang w:eastAsia="ja-JP"/>
              </w:rPr>
              <w:t xml:space="preserve"> frequency is different; if so, how to minimize </w:t>
            </w:r>
            <w:proofErr w:type="spellStart"/>
            <w:r w:rsidRPr="00043671">
              <w:rPr>
                <w:rFonts w:eastAsia="Times New Roman" w:cs="Times"/>
                <w:lang w:eastAsia="ja-JP"/>
              </w:rPr>
              <w:t>centre</w:t>
            </w:r>
            <w:proofErr w:type="spellEnd"/>
            <w:r w:rsidRPr="00043671">
              <w:rPr>
                <w:rFonts w:eastAsia="Times New Roman" w:cs="Times"/>
                <w:lang w:eastAsia="ja-JP"/>
              </w:rPr>
              <w:t xml:space="preserve"> frequency retuning</w:t>
            </w:r>
          </w:p>
          <w:p w14:paraId="61E1F06F" w14:textId="77777777" w:rsidR="00C16BAB" w:rsidRPr="00043671" w:rsidRDefault="00C16BAB" w:rsidP="00610746">
            <w:pPr>
              <w:spacing w:after="0" w:line="252" w:lineRule="auto"/>
              <w:ind w:left="1440"/>
              <w:rPr>
                <w:rFonts w:eastAsia="Times New Roman" w:cs="Times"/>
                <w:lang w:eastAsia="ja-JP"/>
              </w:rPr>
            </w:pPr>
            <w:r w:rsidRPr="00043671">
              <w:rPr>
                <w:rFonts w:eastAsia="Times New Roman" w:cs="Times"/>
                <w:lang w:eastAsia="ja-JP"/>
              </w:rPr>
              <w:t xml:space="preserve">  </w:t>
            </w:r>
          </w:p>
          <w:p w14:paraId="33D1CDF5" w14:textId="77777777" w:rsidR="00C16BAB" w:rsidRPr="00F51979" w:rsidRDefault="00C16BAB" w:rsidP="00610746">
            <w:r w:rsidRPr="00F51979">
              <w:rPr>
                <w:highlight w:val="green"/>
              </w:rPr>
              <w:t>Agreement</w:t>
            </w:r>
            <w:r w:rsidRPr="00F51979">
              <w:t>:</w:t>
            </w:r>
            <w:r>
              <w:t xml:space="preserve"> </w:t>
            </w:r>
            <w:r w:rsidRPr="00F51979">
              <w:t>Take the following as an agreement, revised from the RAN1#104bis-e working assumption:</w:t>
            </w:r>
          </w:p>
          <w:p w14:paraId="12D6FE9B" w14:textId="77777777" w:rsidR="00C16BAB" w:rsidRPr="00F51979" w:rsidRDefault="00C16BAB" w:rsidP="00610746">
            <w:pPr>
              <w:widowControl/>
              <w:numPr>
                <w:ilvl w:val="0"/>
                <w:numId w:val="34"/>
              </w:numPr>
              <w:spacing w:after="0" w:line="252" w:lineRule="auto"/>
              <w:jc w:val="left"/>
              <w:rPr>
                <w:rFonts w:eastAsia="Times New Roman"/>
                <w:lang w:eastAsia="ja-JP"/>
              </w:rPr>
            </w:pPr>
            <w:r w:rsidRPr="00F51979">
              <w:rPr>
                <w:rFonts w:eastAsia="Times New Roman"/>
                <w:lang w:eastAsia="ja-JP"/>
              </w:rPr>
              <w:t>A RedCap UE cannot be configured with a non-initial (DL or UL) BWP (i.e., a BWP with a non-zero index) wider than the maximum bandwidth of the RedCap UE.</w:t>
            </w:r>
          </w:p>
          <w:p w14:paraId="5CF2488A" w14:textId="77777777" w:rsidR="00C16BAB" w:rsidRPr="00F51979" w:rsidRDefault="00C16BAB" w:rsidP="00610746">
            <w:pPr>
              <w:widowControl/>
              <w:numPr>
                <w:ilvl w:val="1"/>
                <w:numId w:val="34"/>
              </w:numPr>
              <w:spacing w:after="0" w:line="252" w:lineRule="auto"/>
              <w:jc w:val="left"/>
              <w:rPr>
                <w:rFonts w:eastAsia="Times New Roman"/>
                <w:lang w:eastAsia="ja-JP"/>
              </w:rPr>
            </w:pPr>
            <w:r w:rsidRPr="00F51979">
              <w:rPr>
                <w:rFonts w:eastAsia="Times New Roman"/>
                <w:lang w:eastAsia="ja-JP"/>
              </w:rPr>
              <w:t xml:space="preserve">At least for FR1, FG 6-1 (“Basic BWP operation with restriction” as described in TR 38.822) is used as a starting point for the </w:t>
            </w:r>
            <w:r w:rsidRPr="00F51979">
              <w:rPr>
                <w:rFonts w:eastAsia="Times New Roman"/>
                <w:color w:val="FF0000"/>
                <w:u w:val="single"/>
                <w:lang w:eastAsia="ja-JP"/>
              </w:rPr>
              <w:t>mandatory</w:t>
            </w:r>
            <w:r w:rsidRPr="00F51979">
              <w:rPr>
                <w:rFonts w:eastAsia="Times New Roman"/>
                <w:lang w:eastAsia="ja-JP"/>
              </w:rPr>
              <w:t xml:space="preserve"> RedCap UE type capability.</w:t>
            </w:r>
          </w:p>
          <w:p w14:paraId="55D5B3DE" w14:textId="77777777" w:rsidR="00C16BAB" w:rsidRPr="00F51979" w:rsidRDefault="00C16BAB" w:rsidP="00610746">
            <w:pPr>
              <w:widowControl/>
              <w:numPr>
                <w:ilvl w:val="2"/>
                <w:numId w:val="34"/>
              </w:numPr>
              <w:spacing w:after="0" w:line="252" w:lineRule="auto"/>
              <w:jc w:val="left"/>
              <w:rPr>
                <w:rFonts w:eastAsia="Times New Roman"/>
                <w:color w:val="FF0000"/>
                <w:u w:val="single"/>
                <w:lang w:eastAsia="ja-JP"/>
              </w:rPr>
            </w:pPr>
            <w:r w:rsidRPr="00F51979">
              <w:rPr>
                <w:rFonts w:eastAsia="Times New Roman"/>
                <w:color w:val="FF0000"/>
                <w:u w:val="single"/>
                <w:lang w:eastAsia="ja-JP"/>
              </w:rPr>
              <w:t>This does not preclude support of FG 6-1a (</w:t>
            </w:r>
            <w:r w:rsidRPr="00F51979">
              <w:rPr>
                <w:rFonts w:eastAsia="Times New Roman" w:cs="Times"/>
                <w:color w:val="FF0000"/>
                <w:u w:val="single"/>
                <w:lang w:eastAsia="ja-JP"/>
              </w:rPr>
              <w:t>“BWP operation without restriction on BW of BWP(s)” as described in TR 38.822</w:t>
            </w:r>
            <w:r w:rsidRPr="00F51979">
              <w:rPr>
                <w:rFonts w:eastAsia="Times New Roman"/>
                <w:color w:val="FF0000"/>
                <w:u w:val="single"/>
                <w:lang w:eastAsia="ja-JP"/>
              </w:rPr>
              <w:t>) as a UE capability for RedCap UEs.</w:t>
            </w:r>
          </w:p>
          <w:p w14:paraId="02622E68" w14:textId="77777777" w:rsidR="00C16BAB" w:rsidRDefault="00C16BAB" w:rsidP="00610746"/>
          <w:p w14:paraId="0B9B0EB2" w14:textId="77777777" w:rsidR="00C16BAB" w:rsidRPr="005F2A22" w:rsidRDefault="00C16BAB" w:rsidP="00610746">
            <w:r w:rsidRPr="005F2A22">
              <w:rPr>
                <w:highlight w:val="darkYellow"/>
              </w:rPr>
              <w:t xml:space="preserve">Working assumption: </w:t>
            </w:r>
            <w:r w:rsidRPr="005F2A22">
              <w:t xml:space="preserve">Both during and after initial access, even for the scenario where the initial UL BWP for non-RedCap UEs is not configured to be wider than the RedCap UE bandwidth, a separate initial UL BWP can optionally </w:t>
            </w:r>
            <w:r w:rsidRPr="005F2A22">
              <w:lastRenderedPageBreak/>
              <w:t>be configured/defined for RedCap UEs.</w:t>
            </w:r>
          </w:p>
          <w:p w14:paraId="568F7E02" w14:textId="77777777" w:rsidR="00C16BAB" w:rsidRPr="005F2A22" w:rsidRDefault="00C16BAB" w:rsidP="00610746">
            <w:pPr>
              <w:widowControl/>
              <w:numPr>
                <w:ilvl w:val="0"/>
                <w:numId w:val="35"/>
              </w:numPr>
              <w:spacing w:after="0"/>
              <w:jc w:val="left"/>
            </w:pPr>
            <w:r w:rsidRPr="005F2A22">
              <w:t>RO sharing between RedCap and non-RedCap is not precluded.</w:t>
            </w:r>
          </w:p>
          <w:p w14:paraId="59E1FE2A" w14:textId="77777777" w:rsidR="00C16BAB" w:rsidRDefault="00C16BAB" w:rsidP="00610746"/>
          <w:p w14:paraId="4DE06DF2" w14:textId="77777777" w:rsidR="00C16BAB" w:rsidRPr="00BA6BDE" w:rsidRDefault="00C16BAB" w:rsidP="00610746">
            <w:pPr>
              <w:spacing w:line="252" w:lineRule="auto"/>
              <w:rPr>
                <w:rFonts w:eastAsia="Times New Roman" w:cs="Times"/>
                <w:lang w:eastAsia="ja-JP"/>
              </w:rPr>
            </w:pPr>
            <w:r w:rsidRPr="00BA6BDE">
              <w:rPr>
                <w:rFonts w:eastAsia="Times New Roman" w:cs="Times"/>
                <w:highlight w:val="darkYellow"/>
                <w:lang w:eastAsia="ja-JP"/>
              </w:rPr>
              <w:t>Working assumption</w:t>
            </w:r>
            <w:r w:rsidRPr="00BA6BDE">
              <w:rPr>
                <w:rFonts w:eastAsia="Times New Roman" w:cs="Time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5E6AAD7" w14:textId="77777777" w:rsidR="00C16BAB" w:rsidRPr="00BA6BDE" w:rsidRDefault="00C16BAB" w:rsidP="00610746">
            <w:pPr>
              <w:widowControl/>
              <w:numPr>
                <w:ilvl w:val="0"/>
                <w:numId w:val="34"/>
              </w:numPr>
              <w:spacing w:after="0" w:line="252" w:lineRule="auto"/>
              <w:jc w:val="left"/>
              <w:rPr>
                <w:rFonts w:eastAsia="Times New Roman" w:cs="Times"/>
                <w:lang w:eastAsia="ja-JP"/>
              </w:rPr>
            </w:pPr>
            <w:r w:rsidRPr="00BA6BDE">
              <w:rPr>
                <w:rFonts w:eastAsia="Times New Roman" w:cs="Times"/>
                <w:lang w:eastAsia="ja-JP"/>
              </w:rPr>
              <w:t>Note: these ROs can be dedicated for RedCap UEs or shared with non-RedCap UEs.</w:t>
            </w:r>
          </w:p>
          <w:p w14:paraId="6D34D058" w14:textId="77777777" w:rsidR="00C16BAB" w:rsidRDefault="00C16BAB" w:rsidP="00610746"/>
          <w:p w14:paraId="1E29C2CC" w14:textId="77777777" w:rsidR="00C16BAB" w:rsidRPr="007A5645" w:rsidRDefault="00C16BAB" w:rsidP="00610746">
            <w:pPr>
              <w:rPr>
                <w:rFonts w:eastAsia="Times New Roman" w:cs="Times"/>
                <w:highlight w:val="darkYellow"/>
                <w:lang w:eastAsia="ja-JP"/>
              </w:rPr>
            </w:pPr>
            <w:r w:rsidRPr="007A5645">
              <w:rPr>
                <w:rFonts w:eastAsia="Times New Roman" w:cs="Times"/>
                <w:highlight w:val="darkYellow"/>
                <w:lang w:eastAsia="ja-JP"/>
              </w:rPr>
              <w:t xml:space="preserve">Working assumption: </w:t>
            </w:r>
          </w:p>
          <w:p w14:paraId="4322C548" w14:textId="77777777" w:rsidR="00C16BAB" w:rsidRPr="007A5645" w:rsidRDefault="00C16BAB" w:rsidP="00610746">
            <w:pPr>
              <w:widowControl/>
              <w:numPr>
                <w:ilvl w:val="0"/>
                <w:numId w:val="35"/>
              </w:numPr>
              <w:spacing w:after="180"/>
              <w:jc w:val="left"/>
            </w:pPr>
            <w:r w:rsidRPr="007A5645">
              <w:rPr>
                <w:rFonts w:eastAsia="Times New Roman" w:cs="Times"/>
                <w:lang w:eastAsia="ja-JP"/>
              </w:rPr>
              <w:t>For enabling/supporting that PUCCH (for Msg4/[</w:t>
            </w:r>
            <w:proofErr w:type="spellStart"/>
            <w:r w:rsidRPr="007A5645">
              <w:rPr>
                <w:rFonts w:eastAsia="Times New Roman" w:cs="Times"/>
                <w:lang w:eastAsia="ja-JP"/>
              </w:rPr>
              <w:t>MsgB</w:t>
            </w:r>
            <w:proofErr w:type="spellEnd"/>
            <w:r w:rsidRPr="007A5645">
              <w:rPr>
                <w:rFonts w:eastAsia="Times New Roman" w:cs="Times"/>
                <w:lang w:eastAsia="ja-JP"/>
              </w:rPr>
              <w:t>] HARQ feedback) and/or PUSCH (for Msg3/[</w:t>
            </w:r>
            <w:proofErr w:type="spellStart"/>
            <w:r w:rsidRPr="007A5645">
              <w:rPr>
                <w:rFonts w:eastAsia="Times New Roman" w:cs="Times"/>
                <w:lang w:eastAsia="ja-JP"/>
              </w:rPr>
              <w:t>MsgA</w:t>
            </w:r>
            <w:proofErr w:type="spellEnd"/>
            <w:r w:rsidRPr="007A5645">
              <w:rPr>
                <w:rFonts w:eastAsia="Times New Roman" w:cs="Times"/>
                <w:lang w:eastAsia="ja-JP"/>
              </w:rPr>
              <w:t>]) transmissions fall within the RedCap UE bandwidth during initial access, support separate initial UL BWP for RedCap UEs (which is not expected to exceed the maximum RedCap UE bandwidth).</w:t>
            </w:r>
          </w:p>
          <w:p w14:paraId="27F72556" w14:textId="77777777" w:rsidR="00C16BAB" w:rsidRPr="007A5645" w:rsidRDefault="00C16BAB" w:rsidP="00610746">
            <w:pPr>
              <w:widowControl/>
              <w:numPr>
                <w:ilvl w:val="1"/>
                <w:numId w:val="34"/>
              </w:numPr>
              <w:spacing w:after="0" w:line="252" w:lineRule="auto"/>
              <w:jc w:val="left"/>
              <w:rPr>
                <w:rFonts w:eastAsia="Times New Roman" w:cs="Times"/>
                <w:lang w:eastAsia="ja-JP"/>
              </w:rPr>
            </w:pPr>
            <w:r w:rsidRPr="007A5645">
              <w:rPr>
                <w:rFonts w:eastAsia="Times New Roman" w:cs="Times"/>
                <w:lang w:eastAsia="ja-JP"/>
              </w:rPr>
              <w:t>FFS: whether/how the specification also supports separate PUCCH/Msg3/[</w:t>
            </w:r>
            <w:proofErr w:type="spellStart"/>
            <w:r w:rsidRPr="007A5645">
              <w:rPr>
                <w:rFonts w:eastAsia="Times New Roman" w:cs="Times"/>
                <w:lang w:eastAsia="ja-JP"/>
              </w:rPr>
              <w:t>MsgA</w:t>
            </w:r>
            <w:proofErr w:type="spellEnd"/>
            <w:r w:rsidRPr="007A5645">
              <w:rPr>
                <w:rFonts w:eastAsia="Times New Roman" w:cs="Times"/>
                <w:lang w:eastAsia="ja-JP"/>
              </w:rPr>
              <w:t>] PUSCH configuration/indication or a different interpretation of the same configuration/indication for RedCap (e.g., disabled frequency hopping or different frequency hopping)</w:t>
            </w:r>
          </w:p>
          <w:p w14:paraId="4F602756" w14:textId="77777777" w:rsidR="00C16BAB" w:rsidRPr="00043671" w:rsidRDefault="00C16BAB" w:rsidP="00610746">
            <w:pPr>
              <w:spacing w:after="0" w:line="252" w:lineRule="auto"/>
              <w:ind w:left="2160"/>
              <w:rPr>
                <w:rFonts w:eastAsia="Times New Roman" w:cs="Times"/>
                <w:lang w:eastAsia="ja-JP"/>
              </w:rPr>
            </w:pPr>
          </w:p>
          <w:p w14:paraId="36D1F8F1" w14:textId="77777777" w:rsidR="00C16BAB" w:rsidRPr="00356F00" w:rsidRDefault="00C16BAB" w:rsidP="00610746">
            <w:r w:rsidRPr="00356F00">
              <w:rPr>
                <w:highlight w:val="darkYellow"/>
              </w:rPr>
              <w:t>Working assumption</w:t>
            </w:r>
            <w:r w:rsidRPr="00356F00">
              <w:t>: At least for TDD, an initial DL BWP for RedCap UEs (which is not expected to exceed the maximum RedCap UE bandwidth) can be optionally configured/defined separately from the initial DL BWP for non-RedCap UEs at least after initial access</w:t>
            </w:r>
          </w:p>
          <w:p w14:paraId="30480234" w14:textId="77777777" w:rsidR="00C16BAB" w:rsidRPr="00EA0FB9" w:rsidRDefault="00C16BAB" w:rsidP="00610746">
            <w:pPr>
              <w:pStyle w:val="ListParagraph"/>
              <w:widowControl/>
              <w:numPr>
                <w:ilvl w:val="0"/>
                <w:numId w:val="34"/>
              </w:numPr>
              <w:overflowPunct/>
              <w:autoSpaceDE/>
              <w:adjustRightInd/>
              <w:spacing w:after="180" w:line="252" w:lineRule="auto"/>
              <w:jc w:val="left"/>
              <w:textAlignment w:val="auto"/>
            </w:pPr>
            <w:r w:rsidRPr="00EA0FB9">
              <w:t>FFS the details of the configuration/definition</w:t>
            </w:r>
          </w:p>
          <w:p w14:paraId="558957C3" w14:textId="77777777" w:rsidR="00C16BAB" w:rsidRPr="00EA0FB9" w:rsidRDefault="00C16BAB" w:rsidP="00610746">
            <w:pPr>
              <w:pStyle w:val="ListParagraph"/>
              <w:widowControl/>
              <w:numPr>
                <w:ilvl w:val="1"/>
                <w:numId w:val="34"/>
              </w:numPr>
              <w:overflowPunct/>
              <w:autoSpaceDE/>
              <w:adjustRightInd/>
              <w:spacing w:after="180" w:line="252" w:lineRule="auto"/>
              <w:jc w:val="left"/>
              <w:textAlignment w:val="auto"/>
            </w:pPr>
            <w:r w:rsidRPr="00EA0FB9">
              <w:t>The configuration for a separately configured initial DL BWP for RedCap UEs is signaled in SIB.</w:t>
            </w:r>
          </w:p>
          <w:p w14:paraId="10F8A9A3" w14:textId="77777777" w:rsidR="00C16BAB" w:rsidRPr="00EA0FB9" w:rsidRDefault="00C16BAB" w:rsidP="00610746">
            <w:pPr>
              <w:pStyle w:val="ListParagraph"/>
              <w:widowControl/>
              <w:numPr>
                <w:ilvl w:val="1"/>
                <w:numId w:val="34"/>
              </w:numPr>
              <w:overflowPunct/>
              <w:autoSpaceDE/>
              <w:adjustRightInd/>
              <w:spacing w:after="180" w:line="252" w:lineRule="auto"/>
              <w:jc w:val="left"/>
              <w:textAlignment w:val="auto"/>
            </w:pPr>
            <w:r w:rsidRPr="00EA0FB9">
              <w:t>whether to support that separate initial DL BWP for RedCap UEs can include a configuration of CORESET and CSS(s)</w:t>
            </w:r>
            <w:r>
              <w:t xml:space="preserve"> </w:t>
            </w:r>
          </w:p>
          <w:p w14:paraId="2E9084DE" w14:textId="77777777" w:rsidR="00C16BAB" w:rsidRPr="00EA0FB9" w:rsidRDefault="00C16BAB" w:rsidP="00610746">
            <w:pPr>
              <w:pStyle w:val="ListParagraph"/>
              <w:widowControl/>
              <w:numPr>
                <w:ilvl w:val="1"/>
                <w:numId w:val="34"/>
              </w:numPr>
              <w:overflowPunct/>
              <w:autoSpaceDE/>
              <w:adjustRightInd/>
              <w:spacing w:after="180" w:line="252" w:lineRule="auto"/>
              <w:jc w:val="left"/>
              <w:textAlignment w:val="auto"/>
            </w:pPr>
            <w:r w:rsidRPr="00EA0FB9">
              <w:t>whether part of the configuration can be defined instead of signaled</w:t>
            </w:r>
          </w:p>
          <w:p w14:paraId="79460A64" w14:textId="77777777" w:rsidR="00C16BAB" w:rsidRDefault="00C16BAB" w:rsidP="00610746">
            <w:pPr>
              <w:pStyle w:val="ListParagraph"/>
              <w:widowControl/>
              <w:numPr>
                <w:ilvl w:val="0"/>
                <w:numId w:val="34"/>
              </w:numPr>
              <w:overflowPunct/>
              <w:autoSpaceDE/>
              <w:adjustRightInd/>
              <w:spacing w:after="180" w:line="252" w:lineRule="auto"/>
              <w:jc w:val="left"/>
              <w:textAlignment w:val="auto"/>
            </w:pPr>
            <w:r w:rsidRPr="00EA0FB9">
              <w:t xml:space="preserve">If a separate initial DL BWP for RedCap UEs is configured/defined, this separate initial DL BWP for RedCap UEs can be used </w:t>
            </w:r>
            <w:r>
              <w:t xml:space="preserve">at least </w:t>
            </w:r>
            <w:r w:rsidRPr="00EA0FB9">
              <w:t xml:space="preserve">after initial access (i.e., </w:t>
            </w:r>
            <w:r>
              <w:t xml:space="preserve">at least </w:t>
            </w:r>
            <w:r w:rsidRPr="00EA0FB9">
              <w:t>after RRC Setup, RRC Resume, or RRC Reestablishment).</w:t>
            </w:r>
          </w:p>
          <w:p w14:paraId="0F09A50D" w14:textId="77777777" w:rsidR="00C16BAB" w:rsidRPr="00EA0FB9" w:rsidRDefault="00C16BAB" w:rsidP="00610746">
            <w:pPr>
              <w:pStyle w:val="ListParagraph"/>
              <w:widowControl/>
              <w:numPr>
                <w:ilvl w:val="1"/>
                <w:numId w:val="34"/>
              </w:numPr>
              <w:overflowPunct/>
              <w:autoSpaceDE/>
              <w:adjustRightInd/>
              <w:spacing w:after="180" w:line="252" w:lineRule="auto"/>
              <w:jc w:val="left"/>
              <w:textAlignment w:val="auto"/>
            </w:pPr>
            <w:r>
              <w:t>FFS during the initial access</w:t>
            </w:r>
          </w:p>
          <w:p w14:paraId="000DADFB" w14:textId="77777777" w:rsidR="00C16BAB" w:rsidRPr="00EA0FB9" w:rsidRDefault="00C16BAB" w:rsidP="00610746">
            <w:pPr>
              <w:pStyle w:val="ListParagraph"/>
              <w:widowControl/>
              <w:numPr>
                <w:ilvl w:val="0"/>
                <w:numId w:val="34"/>
              </w:numPr>
              <w:overflowPunct/>
              <w:autoSpaceDE/>
              <w:adjustRightInd/>
              <w:spacing w:after="180" w:line="252" w:lineRule="auto"/>
              <w:jc w:val="left"/>
              <w:textAlignment w:val="auto"/>
            </w:pPr>
            <w:r w:rsidRPr="00EA0FB9">
              <w:t xml:space="preserve">FFS: whether a separately configured initial DL BWP for RedCap UEs needs to contain the entire CORESET #0, and, if not, the Redcap UE </w:t>
            </w:r>
            <w:proofErr w:type="spellStart"/>
            <w:r w:rsidRPr="00EA0FB9">
              <w:t>behaviour</w:t>
            </w:r>
            <w:proofErr w:type="spellEnd"/>
            <w:r w:rsidRPr="00EA0FB9">
              <w:t xml:space="preserve"> for CORESET #0 monitoring</w:t>
            </w:r>
          </w:p>
          <w:p w14:paraId="27D829E3" w14:textId="77777777" w:rsidR="00C16BAB" w:rsidRPr="00EA0FB9" w:rsidRDefault="00C16BAB" w:rsidP="00610746">
            <w:pPr>
              <w:pStyle w:val="ListParagraph"/>
              <w:widowControl/>
              <w:numPr>
                <w:ilvl w:val="0"/>
                <w:numId w:val="34"/>
              </w:numPr>
              <w:overflowPunct/>
              <w:autoSpaceDE/>
              <w:adjustRightInd/>
              <w:spacing w:after="180" w:line="252" w:lineRule="auto"/>
              <w:jc w:val="left"/>
              <w:textAlignment w:val="auto"/>
            </w:pPr>
            <w:r w:rsidRPr="00EA0FB9">
              <w:t>FFS: supported bandwidths in the separate initial DL BWP</w:t>
            </w:r>
          </w:p>
          <w:p w14:paraId="2ACBA9AE" w14:textId="77777777" w:rsidR="00C16BAB" w:rsidRPr="00EA0FB9" w:rsidRDefault="00C16BAB" w:rsidP="00610746">
            <w:pPr>
              <w:pStyle w:val="ListParagraph"/>
              <w:widowControl/>
              <w:numPr>
                <w:ilvl w:val="0"/>
                <w:numId w:val="34"/>
              </w:numPr>
              <w:overflowPunct/>
              <w:autoSpaceDE/>
              <w:adjustRightInd/>
              <w:spacing w:after="180" w:line="252" w:lineRule="auto"/>
              <w:jc w:val="left"/>
              <w:textAlignment w:val="auto"/>
            </w:pPr>
            <w:r w:rsidRPr="00EA0FB9">
              <w:t>FFS: whether additional SSB is transmitted in the separately configured initial DL BWP for RedCap UEs</w:t>
            </w:r>
          </w:p>
          <w:p w14:paraId="623952DF" w14:textId="77777777" w:rsidR="00C16BAB" w:rsidRPr="00043671" w:rsidRDefault="00C16BAB" w:rsidP="00610746">
            <w:pPr>
              <w:pStyle w:val="ListParagraph"/>
              <w:widowControl/>
              <w:numPr>
                <w:ilvl w:val="0"/>
                <w:numId w:val="34"/>
              </w:numPr>
              <w:overflowPunct/>
              <w:autoSpaceDE/>
              <w:adjustRightInd/>
              <w:spacing w:after="180" w:line="252" w:lineRule="auto"/>
              <w:jc w:val="left"/>
              <w:textAlignment w:val="auto"/>
              <w:rPr>
                <w:lang w:val="sv-SE"/>
              </w:rPr>
            </w:pPr>
            <w:r w:rsidRPr="00EA0FB9">
              <w:rPr>
                <w:lang w:val="sv-SE"/>
              </w:rPr>
              <w:t xml:space="preserve">FFS: FDD </w:t>
            </w:r>
            <w:proofErr w:type="spellStart"/>
            <w:r w:rsidRPr="00EA0FB9">
              <w:rPr>
                <w:lang w:val="sv-SE"/>
              </w:rPr>
              <w:t>case</w:t>
            </w:r>
            <w:proofErr w:type="spellEnd"/>
          </w:p>
        </w:tc>
      </w:tr>
    </w:tbl>
    <w:p w14:paraId="7C231EE0" w14:textId="77777777" w:rsidR="00C16BAB" w:rsidRDefault="00C16BAB" w:rsidP="00C16BAB">
      <w:pPr>
        <w:spacing w:before="120"/>
        <w:rPr>
          <w:rFonts w:ascii="Arial" w:hAnsi="Arial" w:cs="Arial"/>
        </w:rPr>
      </w:pPr>
    </w:p>
    <w:p w14:paraId="30AF1ABB" w14:textId="77777777" w:rsidR="00C16BAB" w:rsidRPr="00C16BAB" w:rsidRDefault="00C16BAB" w:rsidP="00C16BAB">
      <w:pPr>
        <w:spacing w:before="156"/>
        <w:rPr>
          <w:sz w:val="22"/>
        </w:rPr>
      </w:pPr>
    </w:p>
    <w:sectPr w:rsidR="00C16BAB" w:rsidRPr="00C16BAB">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BCF1F" w14:textId="77777777" w:rsidR="0093089A" w:rsidRDefault="0093089A">
      <w:pPr>
        <w:spacing w:after="0"/>
      </w:pPr>
      <w:r>
        <w:separator/>
      </w:r>
    </w:p>
  </w:endnote>
  <w:endnote w:type="continuationSeparator" w:id="0">
    <w:p w14:paraId="4C93B508" w14:textId="77777777" w:rsidR="0093089A" w:rsidRDefault="00930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ĝ㫐ᚹ翁"/>
    <w:panose1 w:val="00000500000000020000"/>
    <w:charset w:val="00"/>
    <w:family w:val="auto"/>
    <w:pitch w:val="variable"/>
    <w:sig w:usb0="E00002FF" w:usb1="5000205A" w:usb2="00000000" w:usb3="00000000" w:csb0="000001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7416" w14:textId="77777777" w:rsidR="0093089A" w:rsidRDefault="0093089A">
      <w:pPr>
        <w:spacing w:after="0"/>
      </w:pPr>
      <w:r>
        <w:separator/>
      </w:r>
    </w:p>
  </w:footnote>
  <w:footnote w:type="continuationSeparator" w:id="0">
    <w:p w14:paraId="40E9F13D" w14:textId="77777777" w:rsidR="0093089A" w:rsidRDefault="009308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5"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20"/>
  </w:num>
  <w:num w:numId="3">
    <w:abstractNumId w:val="4"/>
  </w:num>
  <w:num w:numId="4">
    <w:abstractNumId w:val="18"/>
  </w:num>
  <w:num w:numId="5">
    <w:abstractNumId w:val="19"/>
  </w:num>
  <w:num w:numId="6">
    <w:abstractNumId w:val="12"/>
  </w:num>
  <w:num w:numId="7">
    <w:abstractNumId w:val="1"/>
  </w:num>
  <w:num w:numId="8">
    <w:abstractNumId w:val="24"/>
  </w:num>
  <w:num w:numId="9">
    <w:abstractNumId w:val="0"/>
  </w:num>
  <w:num w:numId="10">
    <w:abstractNumId w:val="9"/>
  </w:num>
  <w:num w:numId="11">
    <w:abstractNumId w:val="10"/>
  </w:num>
  <w:num w:numId="12">
    <w:abstractNumId w:val="13"/>
  </w:num>
  <w:num w:numId="13">
    <w:abstractNumId w:val="16"/>
  </w:num>
  <w:num w:numId="14">
    <w:abstractNumId w:val="28"/>
  </w:num>
  <w:num w:numId="15">
    <w:abstractNumId w:val="14"/>
  </w:num>
  <w:num w:numId="16">
    <w:abstractNumId w:val="25"/>
  </w:num>
  <w:num w:numId="17">
    <w:abstractNumId w:val="5"/>
  </w:num>
  <w:num w:numId="18">
    <w:abstractNumId w:val="15"/>
  </w:num>
  <w:num w:numId="19">
    <w:abstractNumId w:val="22"/>
  </w:num>
  <w:num w:numId="20">
    <w:abstractNumId w:val="21"/>
  </w:num>
  <w:num w:numId="21">
    <w:abstractNumId w:val="8"/>
  </w:num>
  <w:num w:numId="22">
    <w:abstractNumId w:val="11"/>
  </w:num>
  <w:num w:numId="23">
    <w:abstractNumId w:val="29"/>
  </w:num>
  <w:num w:numId="24">
    <w:abstractNumId w:val="3"/>
  </w:num>
  <w:num w:numId="25">
    <w:abstractNumId w:val="17"/>
  </w:num>
  <w:num w:numId="26">
    <w:abstractNumId w:val="27"/>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6"/>
  </w:num>
  <w:num w:numId="34">
    <w:abstractNumId w:val="7"/>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00EE5"/>
    <w:rsid w:val="00035CE0"/>
    <w:rsid w:val="00054BF1"/>
    <w:rsid w:val="00056A86"/>
    <w:rsid w:val="00090557"/>
    <w:rsid w:val="00091F24"/>
    <w:rsid w:val="000B07BF"/>
    <w:rsid w:val="000D6D6F"/>
    <w:rsid w:val="00142ACA"/>
    <w:rsid w:val="001707CF"/>
    <w:rsid w:val="00170CDB"/>
    <w:rsid w:val="00182DDA"/>
    <w:rsid w:val="001868CE"/>
    <w:rsid w:val="001A0CD5"/>
    <w:rsid w:val="001A6921"/>
    <w:rsid w:val="001A73DD"/>
    <w:rsid w:val="001B4554"/>
    <w:rsid w:val="001C4E3D"/>
    <w:rsid w:val="001C56FD"/>
    <w:rsid w:val="001E7551"/>
    <w:rsid w:val="00255D1C"/>
    <w:rsid w:val="00271438"/>
    <w:rsid w:val="00286B08"/>
    <w:rsid w:val="00286D02"/>
    <w:rsid w:val="002927DF"/>
    <w:rsid w:val="002A06AF"/>
    <w:rsid w:val="002D23FD"/>
    <w:rsid w:val="002F0075"/>
    <w:rsid w:val="002F4026"/>
    <w:rsid w:val="003127E8"/>
    <w:rsid w:val="00315FFF"/>
    <w:rsid w:val="0031652B"/>
    <w:rsid w:val="003202E7"/>
    <w:rsid w:val="00350878"/>
    <w:rsid w:val="00377AD3"/>
    <w:rsid w:val="003970CF"/>
    <w:rsid w:val="003B045F"/>
    <w:rsid w:val="003B6F03"/>
    <w:rsid w:val="003E7586"/>
    <w:rsid w:val="0040524F"/>
    <w:rsid w:val="00407967"/>
    <w:rsid w:val="00410949"/>
    <w:rsid w:val="004131AC"/>
    <w:rsid w:val="00413F0A"/>
    <w:rsid w:val="00421DB2"/>
    <w:rsid w:val="00424D51"/>
    <w:rsid w:val="00427FAD"/>
    <w:rsid w:val="004362A6"/>
    <w:rsid w:val="0046731D"/>
    <w:rsid w:val="0048309B"/>
    <w:rsid w:val="00483F01"/>
    <w:rsid w:val="004C6FB7"/>
    <w:rsid w:val="004C7734"/>
    <w:rsid w:val="004D5589"/>
    <w:rsid w:val="004E0013"/>
    <w:rsid w:val="004E5FCB"/>
    <w:rsid w:val="004F081C"/>
    <w:rsid w:val="0050003B"/>
    <w:rsid w:val="00510377"/>
    <w:rsid w:val="00517220"/>
    <w:rsid w:val="00553794"/>
    <w:rsid w:val="0056522A"/>
    <w:rsid w:val="0057672E"/>
    <w:rsid w:val="00587E32"/>
    <w:rsid w:val="005902D6"/>
    <w:rsid w:val="005A374B"/>
    <w:rsid w:val="005B39C3"/>
    <w:rsid w:val="005D0D02"/>
    <w:rsid w:val="005D228C"/>
    <w:rsid w:val="005D309F"/>
    <w:rsid w:val="005D7AB5"/>
    <w:rsid w:val="006007B9"/>
    <w:rsid w:val="00616C38"/>
    <w:rsid w:val="00630C8D"/>
    <w:rsid w:val="006328DD"/>
    <w:rsid w:val="0068208C"/>
    <w:rsid w:val="006B58B3"/>
    <w:rsid w:val="007054C4"/>
    <w:rsid w:val="00721A88"/>
    <w:rsid w:val="007541D6"/>
    <w:rsid w:val="00756701"/>
    <w:rsid w:val="00756914"/>
    <w:rsid w:val="00761688"/>
    <w:rsid w:val="00770B79"/>
    <w:rsid w:val="0078280D"/>
    <w:rsid w:val="00784092"/>
    <w:rsid w:val="007E6139"/>
    <w:rsid w:val="00803196"/>
    <w:rsid w:val="00814A76"/>
    <w:rsid w:val="008437C9"/>
    <w:rsid w:val="008476E8"/>
    <w:rsid w:val="00857BEF"/>
    <w:rsid w:val="008773C0"/>
    <w:rsid w:val="008A162D"/>
    <w:rsid w:val="008B4A7A"/>
    <w:rsid w:val="00901D54"/>
    <w:rsid w:val="00923C22"/>
    <w:rsid w:val="0093089A"/>
    <w:rsid w:val="009341F8"/>
    <w:rsid w:val="00954E6B"/>
    <w:rsid w:val="00957CB9"/>
    <w:rsid w:val="00964863"/>
    <w:rsid w:val="009809EB"/>
    <w:rsid w:val="0098328C"/>
    <w:rsid w:val="009B28F7"/>
    <w:rsid w:val="009C0AEB"/>
    <w:rsid w:val="009C52C9"/>
    <w:rsid w:val="009D7E1C"/>
    <w:rsid w:val="009E3EB2"/>
    <w:rsid w:val="00A10045"/>
    <w:rsid w:val="00A201AB"/>
    <w:rsid w:val="00A24A94"/>
    <w:rsid w:val="00A35127"/>
    <w:rsid w:val="00A37EFB"/>
    <w:rsid w:val="00A5387D"/>
    <w:rsid w:val="00A66DD1"/>
    <w:rsid w:val="00A9285F"/>
    <w:rsid w:val="00AB5281"/>
    <w:rsid w:val="00AC00E6"/>
    <w:rsid w:val="00AC44A4"/>
    <w:rsid w:val="00AD0C91"/>
    <w:rsid w:val="00AD21FF"/>
    <w:rsid w:val="00AE4B90"/>
    <w:rsid w:val="00AE618D"/>
    <w:rsid w:val="00AE6325"/>
    <w:rsid w:val="00B1119B"/>
    <w:rsid w:val="00B1253E"/>
    <w:rsid w:val="00B26D97"/>
    <w:rsid w:val="00B3568A"/>
    <w:rsid w:val="00B43A04"/>
    <w:rsid w:val="00B524E6"/>
    <w:rsid w:val="00B67AC3"/>
    <w:rsid w:val="00B70449"/>
    <w:rsid w:val="00B94C74"/>
    <w:rsid w:val="00BC79BC"/>
    <w:rsid w:val="00BD428A"/>
    <w:rsid w:val="00BE0CA2"/>
    <w:rsid w:val="00C00147"/>
    <w:rsid w:val="00C04753"/>
    <w:rsid w:val="00C16BAB"/>
    <w:rsid w:val="00C26869"/>
    <w:rsid w:val="00C3687E"/>
    <w:rsid w:val="00C4152A"/>
    <w:rsid w:val="00C6032C"/>
    <w:rsid w:val="00C626A1"/>
    <w:rsid w:val="00C727F3"/>
    <w:rsid w:val="00C74FB5"/>
    <w:rsid w:val="00C76477"/>
    <w:rsid w:val="00C97915"/>
    <w:rsid w:val="00CA1BB3"/>
    <w:rsid w:val="00CB479A"/>
    <w:rsid w:val="00CB5947"/>
    <w:rsid w:val="00CB766E"/>
    <w:rsid w:val="00CD26AF"/>
    <w:rsid w:val="00CE2F38"/>
    <w:rsid w:val="00CF173E"/>
    <w:rsid w:val="00D17338"/>
    <w:rsid w:val="00D23AC1"/>
    <w:rsid w:val="00D2627F"/>
    <w:rsid w:val="00D276DE"/>
    <w:rsid w:val="00D51972"/>
    <w:rsid w:val="00D5253F"/>
    <w:rsid w:val="00D616FA"/>
    <w:rsid w:val="00D66979"/>
    <w:rsid w:val="00D66D90"/>
    <w:rsid w:val="00D740CF"/>
    <w:rsid w:val="00D76C43"/>
    <w:rsid w:val="00DB2236"/>
    <w:rsid w:val="00DB66AA"/>
    <w:rsid w:val="00E2547F"/>
    <w:rsid w:val="00E340FA"/>
    <w:rsid w:val="00E364DE"/>
    <w:rsid w:val="00E70278"/>
    <w:rsid w:val="00E813E6"/>
    <w:rsid w:val="00E94CEF"/>
    <w:rsid w:val="00EA40DD"/>
    <w:rsid w:val="00F129C1"/>
    <w:rsid w:val="00F36C68"/>
    <w:rsid w:val="00F36F60"/>
    <w:rsid w:val="00F81946"/>
    <w:rsid w:val="00F9035F"/>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 Bullets Char1,목록 단락 Char1,リスト段落 Char1,列出段落 Char1,?? ?? Char1,????? Char1,???? Char1,Lista1 Char1,列出段落1 Char1,中等深浅网格 1 - 着色 21 Char1,列表段落 Char1,¥¡¡¡¡ì¬º¥¹¥È¶ÎÂä Char1,ÁÐ³ö¶ÎÂä Char1,列表段落1 Char1,—ño’i—Ž Char1,¥ê¥¹¥È¶ÎÂä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 w:type="character" w:styleId="Strong">
    <w:name w:val="Strong"/>
    <w:uiPriority w:val="22"/>
    <w:qFormat/>
    <w:rsid w:val="00B94C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5.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6.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7.xml><?xml version="1.0" encoding="utf-8"?>
<ds:datastoreItem xmlns:ds="http://schemas.openxmlformats.org/officeDocument/2006/customXml" ds:itemID="{507004EA-0EA2-4788-8A12-3FA5CE96EB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2023</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26</cp:revision>
  <cp:lastPrinted>2113-01-01T00:00:00Z</cp:lastPrinted>
  <dcterms:created xsi:type="dcterms:W3CDTF">2021-05-10T21:53:00Z</dcterms:created>
  <dcterms:modified xsi:type="dcterms:W3CDTF">2021-08-05T19:13:00Z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