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694E0" w14:textId="27819C5A" w:rsidR="008327D8" w:rsidRDefault="003D0F93">
      <w:pPr>
        <w:keepLines/>
        <w:widowControl/>
        <w:tabs>
          <w:tab w:val="left" w:pos="567"/>
        </w:tabs>
        <w:adjustRightInd w:val="0"/>
        <w:snapToGrid w:val="0"/>
        <w:spacing w:after="0" w:line="276" w:lineRule="auto"/>
        <w:jc w:val="left"/>
        <w:rPr>
          <w:rFonts w:eastAsia="SimSun" w:cs="Arial"/>
          <w:b/>
          <w:kern w:val="0"/>
          <w:sz w:val="28"/>
          <w:szCs w:val="28"/>
          <w:lang w:val="en-US" w:eastAsia="en-US"/>
        </w:rPr>
      </w:pPr>
      <w:r>
        <w:rPr>
          <w:rFonts w:eastAsia="SimSun" w:cs="Arial"/>
          <w:b/>
          <w:kern w:val="0"/>
          <w:sz w:val="28"/>
          <w:szCs w:val="28"/>
          <w:lang w:val="en-US" w:eastAsia="en-US"/>
        </w:rPr>
        <w:t>3GPP TSG-RAN2#114-e</w:t>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sidR="00361D03" w:rsidRPr="00361D03">
        <w:rPr>
          <w:rFonts w:eastAsia="SimSun" w:cs="Arial"/>
          <w:b/>
          <w:kern w:val="0"/>
          <w:sz w:val="28"/>
          <w:szCs w:val="28"/>
          <w:lang w:val="en-US" w:eastAsia="en-US"/>
        </w:rPr>
        <w:t>R2-2105928</w:t>
      </w:r>
    </w:p>
    <w:p w14:paraId="083A39EF" w14:textId="77777777" w:rsidR="008327D8" w:rsidRDefault="003D0F93">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Electronic meeting, May 19 – 27, 2021</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3CCD3029" w14:textId="77777777" w:rsidR="008327D8" w:rsidRDefault="003D0F93">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 xml:space="preserve">ZTE Corporation, </w:t>
      </w:r>
      <w:proofErr w:type="spellStart"/>
      <w:r>
        <w:rPr>
          <w:rFonts w:cs="Arial"/>
          <w:b/>
          <w:bCs/>
          <w:snapToGrid w:val="0"/>
          <w:kern w:val="0"/>
          <w:sz w:val="28"/>
          <w:szCs w:val="28"/>
        </w:rPr>
        <w:t>Sanechips</w:t>
      </w:r>
      <w:proofErr w:type="spellEnd"/>
    </w:p>
    <w:p w14:paraId="26BD606D" w14:textId="77777777" w:rsidR="008327D8" w:rsidRDefault="003D0F93">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 xml:space="preserve">Control plane common aspects of SDT </w:t>
      </w:r>
    </w:p>
    <w:p w14:paraId="4A28ECAB" w14:textId="77777777" w:rsidR="008327D8" w:rsidRDefault="003D0F93">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0" w:name="Source"/>
      <w:bookmarkEnd w:id="0"/>
      <w:r>
        <w:rPr>
          <w:rFonts w:cs="Arial"/>
          <w:b/>
          <w:bCs/>
          <w:snapToGrid w:val="0"/>
          <w:kern w:val="0"/>
          <w:sz w:val="28"/>
          <w:szCs w:val="28"/>
        </w:rPr>
        <w:t>8.6.3</w:t>
      </w:r>
    </w:p>
    <w:p w14:paraId="1F0C495E" w14:textId="77777777" w:rsidR="008327D8" w:rsidRDefault="003D0F93">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1" w:name="DocumentFor"/>
      <w:bookmarkEnd w:id="1"/>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35676E8B" w14:textId="77777777" w:rsidR="008327D8" w:rsidRDefault="003D0F9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2" w:name="_Toc18413600"/>
      <w:bookmarkStart w:id="3" w:name="_Toc18403966"/>
      <w:bookmarkStart w:id="4" w:name="_Toc18404533"/>
      <w:r>
        <w:rPr>
          <w:rFonts w:cs="Arial"/>
          <w:b w:val="0"/>
          <w:bCs w:val="0"/>
          <w:kern w:val="0"/>
          <w:sz w:val="32"/>
          <w:szCs w:val="36"/>
        </w:rPr>
        <w:t>Introduction</w:t>
      </w:r>
      <w:bookmarkEnd w:id="2"/>
      <w:bookmarkEnd w:id="3"/>
      <w:bookmarkEnd w:id="4"/>
    </w:p>
    <w:p w14:paraId="5C08AAB4" w14:textId="77777777" w:rsidR="008327D8" w:rsidRDefault="003D0F93">
      <w:pPr>
        <w:pStyle w:val="NormalWeb"/>
        <w:spacing w:before="75" w:beforeAutospacing="0" w:after="75" w:afterAutospacing="0" w:line="315" w:lineRule="atLeast"/>
      </w:pPr>
      <w:r>
        <w:rPr>
          <w:rFonts w:cs="Arial"/>
          <w:color w:val="000000"/>
          <w:sz w:val="21"/>
        </w:rPr>
        <w:t>The details of CCCH solution vs DCCH solution for indicating non-SDT data arrival during SDT phase are discussed further in this contribution. The goal is to identify any open issues for both the solutions so that we are ready to implement one of the solutions as soon as the relevant responses from CT1 and SA3 are received (</w:t>
      </w:r>
      <w:proofErr w:type="gramStart"/>
      <w:r>
        <w:rPr>
          <w:rFonts w:cs="Arial"/>
          <w:color w:val="000000"/>
          <w:sz w:val="21"/>
        </w:rPr>
        <w:t>i.e.</w:t>
      </w:r>
      <w:proofErr w:type="gramEnd"/>
      <w:r>
        <w:rPr>
          <w:rFonts w:cs="Arial"/>
          <w:color w:val="000000"/>
          <w:sz w:val="21"/>
        </w:rPr>
        <w:t xml:space="preserve"> the discussion in this </w:t>
      </w:r>
      <w:proofErr w:type="spellStart"/>
      <w:r>
        <w:rPr>
          <w:rFonts w:cs="Arial"/>
          <w:color w:val="000000"/>
          <w:sz w:val="21"/>
        </w:rPr>
        <w:t>tdoc</w:t>
      </w:r>
      <w:proofErr w:type="spellEnd"/>
      <w:r>
        <w:rPr>
          <w:rFonts w:cs="Arial"/>
          <w:color w:val="000000"/>
          <w:sz w:val="21"/>
        </w:rPr>
        <w:t xml:space="preserve"> for CCCH and DCCH solutions is orthogonal to the feedback from SA3/CT1). Further some other open issues for control plane are also discussed.   </w:t>
      </w:r>
    </w:p>
    <w:p w14:paraId="53899DEC" w14:textId="77777777" w:rsidR="008327D8" w:rsidRDefault="003D0F9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Open issues for DCCH based solution</w:t>
      </w:r>
    </w:p>
    <w:p w14:paraId="617C3B1A" w14:textId="77777777" w:rsidR="008327D8" w:rsidRDefault="003D0F93">
      <w:r>
        <w:t xml:space="preserve">When data arrives for non-SDT RBs, then the UE needs to indicate this to the network so that the network can trigger the normal resume. In case of the DCCH solution, the RRC layer can include the DCCH message as soon as the data for non-SDT bearers arrives. This can be implemented in two ways: </w:t>
      </w:r>
    </w:p>
    <w:p w14:paraId="75F44283" w14:textId="77777777" w:rsidR="008327D8" w:rsidRDefault="003D0F93">
      <w:r>
        <w:rPr>
          <w:b/>
          <w:bCs/>
          <w:u w:val="single"/>
        </w:rPr>
        <w:t>Option 1:</w:t>
      </w:r>
      <w:r>
        <w:t xml:space="preserve"> Upper layers trigger new request for UE to move to RRC_CONNECTED state: </w:t>
      </w:r>
    </w:p>
    <w:p w14:paraId="36A89546" w14:textId="77777777" w:rsidR="008327D8" w:rsidRDefault="003D0F93">
      <w:r>
        <w:t>In this case, the RRC can generate a DCCH message up on receiving such trigger from upper layers and submit to the lower layers.</w:t>
      </w:r>
    </w:p>
    <w:p w14:paraId="7C7377AA" w14:textId="77777777" w:rsidR="008327D8" w:rsidRDefault="003D0F93">
      <w:r>
        <w:rPr>
          <w:b/>
          <w:bCs/>
          <w:u w:val="single"/>
        </w:rPr>
        <w:t>Option 2:</w:t>
      </w:r>
      <w:r>
        <w:t xml:space="preserve"> No explicit trigger from upper layers but the data is provided to lower layers for transmission over non-SDT bearers</w:t>
      </w:r>
    </w:p>
    <w:p w14:paraId="74C2C1C5" w14:textId="77777777" w:rsidR="008327D8" w:rsidRDefault="003D0F93">
      <w:r>
        <w:t xml:space="preserve">Also in this case, the RRC can generate a DCCH message upon detecting data arrival for transmission over non-SDT radio bearers. </w:t>
      </w:r>
    </w:p>
    <w:p w14:paraId="6E909D12" w14:textId="77777777" w:rsidR="008327D8" w:rsidRDefault="008327D8"/>
    <w:p w14:paraId="3CE6BB24" w14:textId="77777777" w:rsidR="008327D8" w:rsidRDefault="003D0F93">
      <w:r>
        <w:t xml:space="preserve">Based on the above, regardless of the response from CT1, it can be seen that a DCCH message can be sent to lower layers and can be submitted to the lower layers for transmission. </w:t>
      </w:r>
    </w:p>
    <w:p w14:paraId="7AA63ACD" w14:textId="77777777" w:rsidR="008327D8" w:rsidRDefault="003D0F93">
      <w:pPr>
        <w:rPr>
          <w:b/>
          <w:bCs/>
        </w:rPr>
      </w:pPr>
      <w:r>
        <w:rPr>
          <w:b/>
          <w:bCs/>
        </w:rPr>
        <w:t>Proposal 1: In case of DCCH solution, regardless of the behaviour at NAS (i.e., regardless of whether a new trigger for transitioning to RRC_CONNECTED is received from NAS or not), the lower layers can generate a DCCH message upon arrival of non-SDT data bearers during SDT</w:t>
      </w:r>
    </w:p>
    <w:p w14:paraId="562ACBCC" w14:textId="77777777" w:rsidR="008327D8" w:rsidRDefault="003D0F93">
      <w:r>
        <w:t xml:space="preserve">Once the DCCH message is generated by RRC, it will be submitted to MAC layer and then the MAC will </w:t>
      </w:r>
      <w:r>
        <w:lastRenderedPageBreak/>
        <w:t xml:space="preserve">send it in UL as soon as the UL resource is available to transmit this message. There was some discussion on the timing of the arrival of the DCCH message. The following cases can happen: </w:t>
      </w:r>
    </w:p>
    <w:p w14:paraId="42D93EBB" w14:textId="77777777" w:rsidR="008327D8" w:rsidRDefault="003D0F93">
      <w:pPr>
        <w:rPr>
          <w:b/>
          <w:bCs/>
          <w:u w:val="single"/>
        </w:rPr>
      </w:pPr>
      <w:r>
        <w:rPr>
          <w:b/>
          <w:bCs/>
          <w:u w:val="single"/>
        </w:rPr>
        <w:t xml:space="preserve">Case 1: DCCH message is submitted to lower layers before contention resolution: </w:t>
      </w:r>
    </w:p>
    <w:p w14:paraId="23485BCF" w14:textId="77777777" w:rsidR="008327D8" w:rsidRDefault="003D0F93">
      <w:r>
        <w:t xml:space="preserve">In this case, the CCCH message has been generated and submitted to MAC, and the DCCH message is generated by RRC before contention resolution. However, since the RACH procedure triggered by the CCCH message is still ongoing, the UE, according to the current MAC spec will first complete the RACH procedure. Upon completion of the RACH procedure, the UE can transmit the DCCH message (if there is an UL grant) or can trigger a new scheduling request (i.e., RACH if there is no UL grant) and transmit the DCCH message later. </w:t>
      </w:r>
    </w:p>
    <w:p w14:paraId="29F6DFCE" w14:textId="77777777" w:rsidR="008327D8" w:rsidRDefault="003D0F93">
      <w:pPr>
        <w:rPr>
          <w:b/>
          <w:bCs/>
          <w:u w:val="single"/>
        </w:rPr>
      </w:pPr>
      <w:r>
        <w:rPr>
          <w:b/>
          <w:bCs/>
          <w:u w:val="single"/>
        </w:rPr>
        <w:t>Case 2: DCCH message is submitted to lower layers after contention resolution</w:t>
      </w:r>
    </w:p>
    <w:p w14:paraId="7EF49FE0" w14:textId="77777777" w:rsidR="008327D8" w:rsidRDefault="003D0F93">
      <w:r>
        <w:t xml:space="preserve">In this case, there is no issue and the UE simply transmits the DCCH message in UL if a grant is available or will trigger a RACH if there is no UL grant. </w:t>
      </w:r>
    </w:p>
    <w:p w14:paraId="09A63D81" w14:textId="77777777" w:rsidR="008327D8" w:rsidRDefault="003D0F93">
      <w:r>
        <w:t xml:space="preserve">Note that both in case 1 and case 2 if there is no UL grant a RACH may be triggered, but even with the CCCH based solution the RACH will be triggered anyway. So, from this perspective, there is no difference between CCCH and DCCH solution. However, one advantage of the DCCH solution is that unnecessary RACH will be avoided if there is an UL grant. </w:t>
      </w:r>
    </w:p>
    <w:p w14:paraId="49922B58" w14:textId="77777777" w:rsidR="008327D8" w:rsidRDefault="003D0F93">
      <w:pPr>
        <w:rPr>
          <w:b/>
          <w:bCs/>
        </w:rPr>
      </w:pPr>
      <w:r>
        <w:rPr>
          <w:b/>
          <w:bCs/>
        </w:rPr>
        <w:t xml:space="preserve">Proposal 2: In case of DCCH based solution, if DCCH message is submitted to lower layers before contention resolution, the UE simply waits for contention resolution and transmits the DCCH afterwards. If DCCH message is submitted to lower layers after contention resolution, then it will be transmitted in the next available UL resource (reusing the existing LCP rules etc) – again no changes are needed in MAC for this. </w:t>
      </w:r>
    </w:p>
    <w:p w14:paraId="0795B2A1" w14:textId="77777777" w:rsidR="008327D8" w:rsidRDefault="003D0F93">
      <w:r>
        <w:t xml:space="preserve">Another question raised in </w:t>
      </w:r>
      <w:r>
        <w:fldChar w:fldCharType="begin"/>
      </w:r>
      <w:r>
        <w:instrText xml:space="preserve"> REF _Ref71209174 \r \h </w:instrText>
      </w:r>
      <w:r>
        <w:fldChar w:fldCharType="separate"/>
      </w:r>
      <w:r>
        <w:t>[1]</w:t>
      </w:r>
      <w:r>
        <w:fldChar w:fldCharType="end"/>
      </w:r>
      <w:r>
        <w:t xml:space="preserve"> is whether there is any issue if the DCCH indication is generated but not transmitted by the lower layers within the same SDT procedure. For this to happen however, the SDT procedure should be terminated before the triggered DCCH message is sent. This can happen if the network sends </w:t>
      </w:r>
      <w:proofErr w:type="spellStart"/>
      <w:r>
        <w:t>RRCRelease</w:t>
      </w:r>
      <w:proofErr w:type="spellEnd"/>
      <w:r>
        <w:t xml:space="preserve"> message before the transmission of DCCH message by the lower layers. However, this is not an issue. Firstly, it should be noted that this can already happen today (i.e., UE is in connected mode with some pending UL data which is generated and sent to MAC, but before it is transmitted the UE receives </w:t>
      </w:r>
      <w:proofErr w:type="spellStart"/>
      <w:r>
        <w:t>RRCRelease</w:t>
      </w:r>
      <w:proofErr w:type="spellEnd"/>
      <w:r>
        <w:t xml:space="preserve"> message). However, in this case, the lower layers will indicate </w:t>
      </w:r>
      <w:proofErr w:type="spellStart"/>
      <w:r>
        <w:t>RRCRelease</w:t>
      </w:r>
      <w:proofErr w:type="spellEnd"/>
      <w:r>
        <w:t xml:space="preserve"> to upper layers and since there is pending data, the NAS will trigger a new </w:t>
      </w:r>
      <w:proofErr w:type="spellStart"/>
      <w:r>
        <w:t>RRCResume</w:t>
      </w:r>
      <w:proofErr w:type="spellEnd"/>
      <w:r>
        <w:t xml:space="preserve"> procedure anyway. Thus, a new </w:t>
      </w:r>
      <w:proofErr w:type="spellStart"/>
      <w:r>
        <w:t>RRCResume</w:t>
      </w:r>
      <w:proofErr w:type="spellEnd"/>
      <w:r>
        <w:t xml:space="preserve"> triggered by upper layers can be used for this purpose and since </w:t>
      </w:r>
      <w:proofErr w:type="spellStart"/>
      <w:r>
        <w:t>RRCRelease</w:t>
      </w:r>
      <w:proofErr w:type="spellEnd"/>
      <w:r>
        <w:t xml:space="preserve"> has been received, there is no problem with sending the second CCCH message using the updated security material. Since the previous SDT session has terminated anyway, sending a new CCCH message to initiate next session comes with no additional complexity. </w:t>
      </w:r>
    </w:p>
    <w:p w14:paraId="14F26DEF" w14:textId="77777777" w:rsidR="008327D8" w:rsidRDefault="003D0F93">
      <w:pPr>
        <w:rPr>
          <w:b/>
          <w:bCs/>
        </w:rPr>
      </w:pPr>
      <w:r>
        <w:rPr>
          <w:b/>
          <w:bCs/>
        </w:rPr>
        <w:t xml:space="preserve">Proposal 3: If the SDT session is terminated before reception of the DCCH message, then a new </w:t>
      </w:r>
      <w:proofErr w:type="spellStart"/>
      <w:r>
        <w:rPr>
          <w:b/>
          <w:bCs/>
        </w:rPr>
        <w:t>RRCResume</w:t>
      </w:r>
      <w:proofErr w:type="spellEnd"/>
      <w:r>
        <w:rPr>
          <w:b/>
          <w:bCs/>
        </w:rPr>
        <w:t>/</w:t>
      </w:r>
      <w:proofErr w:type="spellStart"/>
      <w:r>
        <w:rPr>
          <w:b/>
          <w:bCs/>
        </w:rPr>
        <w:t>RRCSetup</w:t>
      </w:r>
      <w:proofErr w:type="spellEnd"/>
      <w:r>
        <w:rPr>
          <w:b/>
          <w:bCs/>
        </w:rPr>
        <w:t xml:space="preserve"> procedure will be triggered by the upper layers (since the UE moves to INACTIVE/IDLE whilst there is pending data/NAS procedure) – again no change is needed for handling this scenario either</w:t>
      </w:r>
    </w:p>
    <w:p w14:paraId="33701A14" w14:textId="77777777" w:rsidR="008327D8" w:rsidRDefault="003D0F9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Open issues for CCCH based solution</w:t>
      </w:r>
    </w:p>
    <w:p w14:paraId="6EA54A34" w14:textId="77777777" w:rsidR="008327D8" w:rsidRDefault="003D0F93">
      <w:r>
        <w:t xml:space="preserve">If CT1 confirms that a second request for </w:t>
      </w:r>
      <w:proofErr w:type="spellStart"/>
      <w:r>
        <w:t>RRCResume</w:t>
      </w:r>
      <w:proofErr w:type="spellEnd"/>
      <w:r>
        <w:t xml:space="preserve"> is triggered by NAS and if SA3 confirms that this is fine from security perspective, then CCCH based solution can be considered to be feasible from RAN2 perspective. The CCCH message contains the I-RNTI and the </w:t>
      </w:r>
      <w:proofErr w:type="spellStart"/>
      <w:r>
        <w:t>resumeMAC</w:t>
      </w:r>
      <w:proofErr w:type="spellEnd"/>
      <w:r>
        <w:t xml:space="preserve">-I. Currently, when the CCCH message is received at the target </w:t>
      </w:r>
      <w:proofErr w:type="spellStart"/>
      <w:r>
        <w:t>gNB</w:t>
      </w:r>
      <w:proofErr w:type="spellEnd"/>
      <w:r>
        <w:t xml:space="preserve">, the CCCH message is forwarded to the source </w:t>
      </w:r>
      <w:proofErr w:type="spellStart"/>
      <w:r>
        <w:t>gNB</w:t>
      </w:r>
      <w:proofErr w:type="spellEnd"/>
      <w:r>
        <w:t xml:space="preserve"> and the source </w:t>
      </w:r>
      <w:proofErr w:type="spellStart"/>
      <w:r>
        <w:t>gNB</w:t>
      </w:r>
      <w:proofErr w:type="spellEnd"/>
      <w:r>
        <w:t xml:space="preserve"> performs the verification of the UE, generates new keys and transfers these keys to the target </w:t>
      </w:r>
      <w:proofErr w:type="spellStart"/>
      <w:r>
        <w:t>gNB</w:t>
      </w:r>
      <w:proofErr w:type="spellEnd"/>
      <w:r>
        <w:t xml:space="preserve">. In case of the CCCH based solution, we need to understand whether the same procedure is repeated a second time or whether a new procedure will be needed for this. This is shown in the </w:t>
      </w:r>
      <w:r>
        <w:fldChar w:fldCharType="begin"/>
      </w:r>
      <w:r>
        <w:instrText xml:space="preserve"> REF _Ref71216672 \h </w:instrText>
      </w:r>
      <w:r>
        <w:fldChar w:fldCharType="separate"/>
      </w:r>
      <w:r>
        <w:t>Figure 1</w:t>
      </w:r>
      <w:r>
        <w:fldChar w:fldCharType="end"/>
      </w:r>
      <w:r>
        <w:t xml:space="preserve"> below: </w:t>
      </w:r>
    </w:p>
    <w:p w14:paraId="561C9E08" w14:textId="77777777" w:rsidR="008327D8" w:rsidRDefault="003D0F93">
      <w:pPr>
        <w:keepNext/>
      </w:pPr>
      <w:r>
        <w:object w:dxaOrig="9770" w:dyaOrig="5200" w14:anchorId="38B1CE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1pt;height:260.35pt" o:ole="">
            <v:imagedata r:id="rId9" o:title=""/>
          </v:shape>
          <o:OLEObject Type="Embed" ProgID="Visio.Drawing.11" ShapeID="_x0000_i1025" DrawAspect="Content" ObjectID="_1682172998" r:id="rId10"/>
        </w:object>
      </w:r>
    </w:p>
    <w:p w14:paraId="5C3D165B" w14:textId="77777777" w:rsidR="008327D8" w:rsidRDefault="003D0F93">
      <w:pPr>
        <w:pStyle w:val="Caption"/>
        <w:jc w:val="center"/>
      </w:pPr>
      <w:bookmarkStart w:id="5" w:name="_Ref71216672"/>
      <w:r>
        <w:t xml:space="preserve">Figure </w:t>
      </w:r>
      <w:r w:rsidR="00727E90">
        <w:fldChar w:fldCharType="begin"/>
      </w:r>
      <w:r w:rsidR="00727E90">
        <w:instrText xml:space="preserve"> SEQ Figure \* ARABIC </w:instrText>
      </w:r>
      <w:r w:rsidR="00727E90">
        <w:fldChar w:fldCharType="separate"/>
      </w:r>
      <w:r>
        <w:t>1</w:t>
      </w:r>
      <w:r w:rsidR="00727E90">
        <w:fldChar w:fldCharType="end"/>
      </w:r>
      <w:bookmarkEnd w:id="5"/>
      <w:r>
        <w:t>: Key generation after the second CCCH message</w:t>
      </w:r>
    </w:p>
    <w:p w14:paraId="2E8F8324" w14:textId="77777777" w:rsidR="008327D8" w:rsidRDefault="003D0F93">
      <w:r>
        <w:t xml:space="preserve">So, based on the above procedure, the following needs to be clarified: </w:t>
      </w:r>
    </w:p>
    <w:p w14:paraId="52A6CD00" w14:textId="77777777" w:rsidR="008327D8" w:rsidRDefault="003D0F93">
      <w:r>
        <w:t xml:space="preserve">Q1: After receiving the second </w:t>
      </w:r>
      <w:proofErr w:type="spellStart"/>
      <w:r>
        <w:t>RRCResumeReq</w:t>
      </w:r>
      <w:proofErr w:type="spellEnd"/>
      <w:r>
        <w:t xml:space="preserve"> from the same UE, will the anchor </w:t>
      </w:r>
      <w:proofErr w:type="spellStart"/>
      <w:r>
        <w:t>gNB</w:t>
      </w:r>
      <w:proofErr w:type="spellEnd"/>
      <w:r>
        <w:t xml:space="preserve"> generate another new </w:t>
      </w:r>
      <w:proofErr w:type="spellStart"/>
      <w:r>
        <w:t>KgNB</w:t>
      </w:r>
      <w:proofErr w:type="spellEnd"/>
      <w:r>
        <w:t xml:space="preserve"> associated with the same target </w:t>
      </w:r>
      <w:proofErr w:type="spellStart"/>
      <w:r>
        <w:t>gNB</w:t>
      </w:r>
      <w:proofErr w:type="spellEnd"/>
      <w:r>
        <w:t xml:space="preserve">? </w:t>
      </w:r>
    </w:p>
    <w:p w14:paraId="6413596E" w14:textId="77777777" w:rsidR="008327D8" w:rsidRDefault="003D0F93">
      <w:pPr>
        <w:pStyle w:val="ListParagraph"/>
        <w:numPr>
          <w:ilvl w:val="0"/>
          <w:numId w:val="6"/>
        </w:numPr>
        <w:ind w:firstLineChars="0"/>
      </w:pPr>
      <w:r>
        <w:t>If the answer to the above question is Yes (i.e., a new key will be generated), then we have to understand the details of how the second key should be generated</w:t>
      </w:r>
    </w:p>
    <w:p w14:paraId="555AC865" w14:textId="77777777" w:rsidR="008327D8" w:rsidRDefault="003D0F93">
      <w:pPr>
        <w:pStyle w:val="ListParagraph"/>
        <w:numPr>
          <w:ilvl w:val="1"/>
          <w:numId w:val="6"/>
        </w:numPr>
        <w:ind w:firstLineChars="0"/>
      </w:pPr>
      <w:r>
        <w:t>Will the new key be generated using the same NCC? i.e., horizontal key derivation using the same NCC, same PCI/ARFCN (i.e., the UE is resuming again in the same cell)?</w:t>
      </w:r>
    </w:p>
    <w:p w14:paraId="16C6B910" w14:textId="77777777" w:rsidR="008327D8" w:rsidRDefault="003D0F93">
      <w:pPr>
        <w:pStyle w:val="ListParagraph"/>
        <w:numPr>
          <w:ilvl w:val="1"/>
          <w:numId w:val="6"/>
        </w:numPr>
        <w:ind w:firstLineChars="0"/>
      </w:pPr>
      <w:r>
        <w:t xml:space="preserve">Note that from RRC perspective, the UE shall derive a new </w:t>
      </w:r>
      <w:proofErr w:type="spellStart"/>
      <w:r>
        <w:t>KgNB</w:t>
      </w:r>
      <w:proofErr w:type="spellEnd"/>
      <w:r>
        <w:t xml:space="preserve"> too in this case</w:t>
      </w:r>
    </w:p>
    <w:p w14:paraId="60B663A4" w14:textId="77777777" w:rsidR="008327D8" w:rsidRDefault="003D0F93">
      <w:pPr>
        <w:pStyle w:val="ListParagraph"/>
        <w:numPr>
          <w:ilvl w:val="0"/>
          <w:numId w:val="6"/>
        </w:numPr>
        <w:ind w:firstLineChars="0"/>
      </w:pPr>
      <w:r>
        <w:t xml:space="preserve">If the answer to the above question is No (i.e., new key will not be generated), then there is no need to include the </w:t>
      </w:r>
      <w:proofErr w:type="spellStart"/>
      <w:r>
        <w:t>KgNB</w:t>
      </w:r>
      <w:proofErr w:type="spellEnd"/>
      <w:r>
        <w:t xml:space="preserve"> in step 10 (i.e., </w:t>
      </w:r>
      <w:proofErr w:type="spellStart"/>
      <w:r>
        <w:t>UEContextResp</w:t>
      </w:r>
      <w:proofErr w:type="spellEnd"/>
      <w:r>
        <w:t xml:space="preserve"> message may exclude target_KgNB2 for the second resume)</w:t>
      </w:r>
    </w:p>
    <w:p w14:paraId="501979B2" w14:textId="77777777" w:rsidR="008327D8" w:rsidRDefault="003D0F93">
      <w:pPr>
        <w:pStyle w:val="ListParagraph"/>
        <w:numPr>
          <w:ilvl w:val="1"/>
          <w:numId w:val="6"/>
        </w:numPr>
        <w:ind w:firstLineChars="0"/>
      </w:pPr>
      <w:r>
        <w:lastRenderedPageBreak/>
        <w:t xml:space="preserve">Note in this case, the UE will continue to use the previous key, however, in this case, we need to confirm whether PDCP COUNT will be reset for SRBs and DRBs before sending the second </w:t>
      </w:r>
      <w:proofErr w:type="spellStart"/>
      <w:r>
        <w:t>RRCResume</w:t>
      </w:r>
      <w:proofErr w:type="spellEnd"/>
      <w:r>
        <w:t xml:space="preserve"> message or not. If the COUNTs are rest (</w:t>
      </w:r>
      <w:proofErr w:type="gramStart"/>
      <w:r>
        <w:t>i.e.</w:t>
      </w:r>
      <w:proofErr w:type="gramEnd"/>
      <w:r>
        <w:t xml:space="preserve"> PDCP reestablishment), then the same key and same count may be reused after the UE moves to RRC_CONNECTED state and we need to clarify how this can be prevented. </w:t>
      </w:r>
    </w:p>
    <w:p w14:paraId="7C5E89D0" w14:textId="77777777" w:rsidR="008327D8" w:rsidRDefault="003D0F93">
      <w:r>
        <w:t xml:space="preserve">Q2: Will the second </w:t>
      </w:r>
      <w:proofErr w:type="spellStart"/>
      <w:r>
        <w:t>RRCResumeReq</w:t>
      </w:r>
      <w:proofErr w:type="spellEnd"/>
      <w:r>
        <w:t xml:space="preserve"> (i.e., in step 7) be routed to the old anchor </w:t>
      </w:r>
      <w:proofErr w:type="spellStart"/>
      <w:r>
        <w:t>gNB</w:t>
      </w:r>
      <w:proofErr w:type="spellEnd"/>
      <w:r>
        <w:t xml:space="preserve"> regardless of anchor relocation or not?</w:t>
      </w:r>
    </w:p>
    <w:p w14:paraId="51D9DCD5" w14:textId="77777777" w:rsidR="008327D8" w:rsidRDefault="003D0F93">
      <w:pPr>
        <w:pStyle w:val="ListParagraph"/>
        <w:numPr>
          <w:ilvl w:val="0"/>
          <w:numId w:val="6"/>
        </w:numPr>
        <w:ind w:firstLineChars="0"/>
      </w:pPr>
      <w:r>
        <w:t xml:space="preserve">With current procedure, in case of anchor relocation, the UE context is moved to the new anchor node and path-switch will be performed. However, since the I-RNTI still points to the old anchor </w:t>
      </w:r>
      <w:proofErr w:type="spellStart"/>
      <w:r>
        <w:t>gNB</w:t>
      </w:r>
      <w:proofErr w:type="spellEnd"/>
      <w:r>
        <w:t xml:space="preserve">, even after the anchor relocation, it seems the second CCCH message in step 7 of </w:t>
      </w:r>
      <w:r>
        <w:fldChar w:fldCharType="begin"/>
      </w:r>
      <w:r>
        <w:instrText xml:space="preserve"> REF _Ref71216672 \h </w:instrText>
      </w:r>
      <w:r>
        <w:fldChar w:fldCharType="separate"/>
      </w:r>
      <w:r>
        <w:t>Figure 1</w:t>
      </w:r>
      <w:r>
        <w:fldChar w:fldCharType="end"/>
      </w:r>
      <w:r>
        <w:t xml:space="preserve"> is still routed to the original anchor </w:t>
      </w:r>
      <w:proofErr w:type="spellStart"/>
      <w:r>
        <w:t>gNB</w:t>
      </w:r>
      <w:proofErr w:type="spellEnd"/>
      <w:r>
        <w:t xml:space="preserve">. It needs to be confirmed whether this is the common understanding or not. </w:t>
      </w:r>
    </w:p>
    <w:p w14:paraId="2DF9C35A" w14:textId="77777777" w:rsidR="008327D8" w:rsidRDefault="003D0F93">
      <w:pPr>
        <w:pStyle w:val="ListParagraph"/>
        <w:numPr>
          <w:ilvl w:val="0"/>
          <w:numId w:val="6"/>
        </w:numPr>
        <w:ind w:firstLineChars="0"/>
      </w:pPr>
      <w:r>
        <w:t xml:space="preserve">If it is agreed that the second CCCH message is routed to the old anchor </w:t>
      </w:r>
      <w:proofErr w:type="spellStart"/>
      <w:r>
        <w:t>gNB</w:t>
      </w:r>
      <w:proofErr w:type="spellEnd"/>
      <w:r>
        <w:t xml:space="preserve"> even in the case of anchor relocation, then we need to ask RAN3 to implement a new procedure for this (</w:t>
      </w:r>
      <w:proofErr w:type="gramStart"/>
      <w:r>
        <w:t>i.e.</w:t>
      </w:r>
      <w:proofErr w:type="gramEnd"/>
      <w:r>
        <w:t xml:space="preserve"> the original anchor node to retain the UE context even after anchor relocation is performed for SDT, until the SDT session is completed)</w:t>
      </w:r>
    </w:p>
    <w:p w14:paraId="61C823B8" w14:textId="77777777" w:rsidR="008327D8" w:rsidRDefault="003D0F93">
      <w:pPr>
        <w:pStyle w:val="ListParagraph"/>
        <w:numPr>
          <w:ilvl w:val="0"/>
          <w:numId w:val="6"/>
        </w:numPr>
        <w:ind w:firstLineChars="0"/>
      </w:pPr>
      <w:r>
        <w:t>If the common view is that the second CCCH message is not routed to the old anchor (</w:t>
      </w:r>
      <w:proofErr w:type="gramStart"/>
      <w:r>
        <w:t>i.e.</w:t>
      </w:r>
      <w:proofErr w:type="gramEnd"/>
      <w:r>
        <w:t xml:space="preserve"> it is processed in the new anchor), then RAN2 needs to check whether this understanding is correct or not with RAN3</w:t>
      </w:r>
    </w:p>
    <w:p w14:paraId="560F2362" w14:textId="77777777" w:rsidR="008327D8" w:rsidRDefault="003D0F93">
      <w:r>
        <w:t xml:space="preserve">Based on the above, RAN2 is requested to discuss the following: </w:t>
      </w:r>
    </w:p>
    <w:p w14:paraId="1DCD42C4" w14:textId="77777777" w:rsidR="008327D8" w:rsidRDefault="003D0F93">
      <w:pPr>
        <w:rPr>
          <w:b/>
          <w:bCs/>
        </w:rPr>
      </w:pPr>
      <w:r>
        <w:rPr>
          <w:b/>
          <w:bCs/>
        </w:rPr>
        <w:t xml:space="preserve">Proposal 4: In case of CCCH solution, RAN2 should discuss the following options for key generation after the second CCCH message is sent: </w:t>
      </w:r>
    </w:p>
    <w:p w14:paraId="66871CB6" w14:textId="77777777" w:rsidR="008327D8" w:rsidRDefault="003D0F93">
      <w:pPr>
        <w:pStyle w:val="ListParagraph"/>
        <w:numPr>
          <w:ilvl w:val="0"/>
          <w:numId w:val="6"/>
        </w:numPr>
        <w:ind w:firstLineChars="0"/>
        <w:rPr>
          <w:b/>
          <w:bCs/>
        </w:rPr>
      </w:pPr>
      <w:r>
        <w:rPr>
          <w:b/>
          <w:bCs/>
          <w:u w:val="single"/>
        </w:rPr>
        <w:t>Option 1</w:t>
      </w:r>
      <w:r>
        <w:rPr>
          <w:b/>
          <w:bCs/>
        </w:rPr>
        <w:t xml:space="preserve">: New key is generated by the anchor </w:t>
      </w:r>
      <w:proofErr w:type="spellStart"/>
      <w:r>
        <w:rPr>
          <w:b/>
          <w:bCs/>
        </w:rPr>
        <w:t>gNB</w:t>
      </w:r>
      <w:proofErr w:type="spellEnd"/>
      <w:r>
        <w:rPr>
          <w:b/>
          <w:bCs/>
        </w:rPr>
        <w:t xml:space="preserve"> and is sent to the target </w:t>
      </w:r>
      <w:proofErr w:type="spellStart"/>
      <w:r>
        <w:rPr>
          <w:b/>
          <w:bCs/>
        </w:rPr>
        <w:t>gNB</w:t>
      </w:r>
      <w:proofErr w:type="spellEnd"/>
      <w:r>
        <w:rPr>
          <w:b/>
          <w:bCs/>
        </w:rPr>
        <w:t xml:space="preserve"> (similar procedure as normal resume), but this new key is generated using horizontal key generation (</w:t>
      </w:r>
      <w:proofErr w:type="gramStart"/>
      <w:r>
        <w:rPr>
          <w:b/>
          <w:bCs/>
        </w:rPr>
        <w:t>i.e.</w:t>
      </w:r>
      <w:proofErr w:type="gramEnd"/>
      <w:r>
        <w:rPr>
          <w:b/>
          <w:bCs/>
        </w:rPr>
        <w:t xml:space="preserve"> reusing the NCC, same physical cell ID etc) </w:t>
      </w:r>
    </w:p>
    <w:p w14:paraId="68656534" w14:textId="77777777" w:rsidR="008327D8" w:rsidRDefault="003D0F93">
      <w:pPr>
        <w:pStyle w:val="ListParagraph"/>
        <w:numPr>
          <w:ilvl w:val="0"/>
          <w:numId w:val="6"/>
        </w:numPr>
        <w:ind w:firstLineChars="0"/>
        <w:rPr>
          <w:b/>
          <w:bCs/>
        </w:rPr>
      </w:pPr>
      <w:r>
        <w:rPr>
          <w:b/>
          <w:bCs/>
          <w:u w:val="single"/>
        </w:rPr>
        <w:t>Option 2</w:t>
      </w:r>
      <w:r>
        <w:rPr>
          <w:b/>
          <w:bCs/>
        </w:rPr>
        <w:t xml:space="preserve">: New key is not generated by the anchor </w:t>
      </w:r>
      <w:proofErr w:type="spellStart"/>
      <w:r>
        <w:rPr>
          <w:b/>
          <w:bCs/>
        </w:rPr>
        <w:t>gNB</w:t>
      </w:r>
      <w:proofErr w:type="spellEnd"/>
      <w:r>
        <w:rPr>
          <w:b/>
          <w:bCs/>
        </w:rPr>
        <w:t xml:space="preserve"> (but the anchor </w:t>
      </w:r>
      <w:proofErr w:type="spellStart"/>
      <w:r>
        <w:rPr>
          <w:b/>
          <w:bCs/>
        </w:rPr>
        <w:t>gNB</w:t>
      </w:r>
      <w:proofErr w:type="spellEnd"/>
      <w:r>
        <w:rPr>
          <w:b/>
          <w:bCs/>
        </w:rPr>
        <w:t xml:space="preserve"> indicates whether the UE is verified or not based on the received </w:t>
      </w:r>
      <w:proofErr w:type="spellStart"/>
      <w:r>
        <w:rPr>
          <w:b/>
          <w:bCs/>
        </w:rPr>
        <w:t>resumeMAC</w:t>
      </w:r>
      <w:proofErr w:type="spellEnd"/>
      <w:r>
        <w:rPr>
          <w:b/>
          <w:bCs/>
        </w:rPr>
        <w:t>-I)</w:t>
      </w:r>
    </w:p>
    <w:p w14:paraId="14E87C19" w14:textId="77777777" w:rsidR="008327D8" w:rsidRDefault="003D0F93">
      <w:pPr>
        <w:pStyle w:val="ListParagraph"/>
        <w:numPr>
          <w:ilvl w:val="1"/>
          <w:numId w:val="6"/>
        </w:numPr>
        <w:ind w:firstLineChars="0"/>
        <w:rPr>
          <w:b/>
          <w:bCs/>
        </w:rPr>
      </w:pPr>
      <w:r>
        <w:rPr>
          <w:b/>
          <w:bCs/>
        </w:rPr>
        <w:t xml:space="preserve">In this case does the PDCP COUNT continue after the second </w:t>
      </w:r>
      <w:proofErr w:type="spellStart"/>
      <w:r>
        <w:rPr>
          <w:b/>
          <w:bCs/>
        </w:rPr>
        <w:t>RRCResume</w:t>
      </w:r>
      <w:proofErr w:type="spellEnd"/>
      <w:r>
        <w:rPr>
          <w:b/>
          <w:bCs/>
        </w:rPr>
        <w:t xml:space="preserve"> or will they be reset? </w:t>
      </w:r>
    </w:p>
    <w:p w14:paraId="35ED7664" w14:textId="77777777" w:rsidR="008327D8" w:rsidRDefault="003D0F93">
      <w:pPr>
        <w:pStyle w:val="ListParagraph"/>
        <w:numPr>
          <w:ilvl w:val="1"/>
          <w:numId w:val="6"/>
        </w:numPr>
        <w:ind w:firstLineChars="0"/>
        <w:rPr>
          <w:b/>
          <w:bCs/>
        </w:rPr>
      </w:pPr>
      <w:r>
        <w:rPr>
          <w:b/>
          <w:bCs/>
        </w:rPr>
        <w:t>If the PDCP COUNTs are rest, how to prevent reuse of same key with same count?</w:t>
      </w:r>
    </w:p>
    <w:p w14:paraId="71E3B3B7" w14:textId="77777777" w:rsidR="008327D8" w:rsidRDefault="003D0F93">
      <w:pPr>
        <w:pStyle w:val="ListParagraph"/>
        <w:numPr>
          <w:ilvl w:val="1"/>
          <w:numId w:val="6"/>
        </w:numPr>
        <w:ind w:firstLineChars="0"/>
        <w:rPr>
          <w:b/>
          <w:bCs/>
        </w:rPr>
      </w:pPr>
      <w:r>
        <w:rPr>
          <w:b/>
          <w:bCs/>
        </w:rPr>
        <w:t xml:space="preserve">Inform RAN3 that a new procedure is needed (i.e., UE context response without including </w:t>
      </w:r>
      <w:proofErr w:type="spellStart"/>
      <w:r>
        <w:rPr>
          <w:b/>
          <w:bCs/>
        </w:rPr>
        <w:t>KgNB</w:t>
      </w:r>
      <w:proofErr w:type="spellEnd"/>
      <w:r>
        <w:rPr>
          <w:b/>
          <w:bCs/>
        </w:rPr>
        <w:t xml:space="preserve">) </w:t>
      </w:r>
    </w:p>
    <w:p w14:paraId="47726812" w14:textId="77777777" w:rsidR="008327D8" w:rsidRDefault="003D0F93">
      <w:pPr>
        <w:rPr>
          <w:b/>
          <w:bCs/>
        </w:rPr>
      </w:pPr>
      <w:r>
        <w:rPr>
          <w:b/>
          <w:bCs/>
        </w:rPr>
        <w:t xml:space="preserve">Proposal 5: In case of CCCH solution, RAN2 should discuss and agree one of the following options for routing of the second CCCH message: </w:t>
      </w:r>
    </w:p>
    <w:p w14:paraId="0B0F464C" w14:textId="77777777" w:rsidR="008327D8" w:rsidRDefault="003D0F93">
      <w:pPr>
        <w:pStyle w:val="ListParagraph"/>
        <w:numPr>
          <w:ilvl w:val="0"/>
          <w:numId w:val="6"/>
        </w:numPr>
        <w:ind w:firstLineChars="0"/>
        <w:rPr>
          <w:b/>
          <w:bCs/>
        </w:rPr>
      </w:pPr>
      <w:r>
        <w:rPr>
          <w:b/>
          <w:bCs/>
        </w:rPr>
        <w:t xml:space="preserve">Option 1: second CCCH message is also routed to the same anchor </w:t>
      </w:r>
      <w:proofErr w:type="spellStart"/>
      <w:r>
        <w:rPr>
          <w:b/>
          <w:bCs/>
        </w:rPr>
        <w:t>gNB</w:t>
      </w:r>
      <w:proofErr w:type="spellEnd"/>
      <w:r>
        <w:rPr>
          <w:b/>
          <w:bCs/>
        </w:rPr>
        <w:t xml:space="preserve"> (regardless of the </w:t>
      </w:r>
      <w:r>
        <w:rPr>
          <w:b/>
          <w:bCs/>
        </w:rPr>
        <w:lastRenderedPageBreak/>
        <w:t>anchor relocation or not)</w:t>
      </w:r>
    </w:p>
    <w:p w14:paraId="64087739" w14:textId="77777777" w:rsidR="008327D8" w:rsidRDefault="003D0F93">
      <w:pPr>
        <w:pStyle w:val="ListParagraph"/>
        <w:numPr>
          <w:ilvl w:val="0"/>
          <w:numId w:val="6"/>
        </w:numPr>
        <w:ind w:firstLineChars="0"/>
        <w:rPr>
          <w:b/>
          <w:bCs/>
        </w:rPr>
      </w:pPr>
      <w:r>
        <w:rPr>
          <w:b/>
          <w:bCs/>
        </w:rPr>
        <w:t xml:space="preserve">Option 2: second CCCH message is processed in the target </w:t>
      </w:r>
      <w:proofErr w:type="spellStart"/>
      <w:r>
        <w:rPr>
          <w:b/>
          <w:bCs/>
        </w:rPr>
        <w:t>gNB</w:t>
      </w:r>
      <w:proofErr w:type="spellEnd"/>
      <w:r>
        <w:rPr>
          <w:b/>
          <w:bCs/>
        </w:rPr>
        <w:t xml:space="preserve"> (regardless of the anchor relocation or not)</w:t>
      </w:r>
    </w:p>
    <w:p w14:paraId="33D2A697" w14:textId="77777777" w:rsidR="008327D8" w:rsidRDefault="003D0F93">
      <w:pPr>
        <w:pStyle w:val="ListParagraph"/>
        <w:numPr>
          <w:ilvl w:val="1"/>
          <w:numId w:val="6"/>
        </w:numPr>
        <w:ind w:firstLineChars="0"/>
        <w:rPr>
          <w:b/>
          <w:bCs/>
        </w:rPr>
      </w:pPr>
      <w:r>
        <w:rPr>
          <w:b/>
          <w:bCs/>
        </w:rPr>
        <w:t>Depending on the option chosen, RAN3 should be informed to see if this is feasible</w:t>
      </w:r>
    </w:p>
    <w:p w14:paraId="334DC360" w14:textId="77777777" w:rsidR="008327D8" w:rsidRDefault="003D0F9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Failure detection and recovery</w:t>
      </w:r>
    </w:p>
    <w:p w14:paraId="494D0F85" w14:textId="77777777" w:rsidR="008327D8" w:rsidRDefault="003D0F93">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Failure detection</w:t>
      </w:r>
    </w:p>
    <w:p w14:paraId="2C592C65" w14:textId="77777777" w:rsidR="008327D8" w:rsidRDefault="003D0F93">
      <w:r>
        <w:t xml:space="preserve">The triggers for failure detection during SDT phase may include the following: </w:t>
      </w:r>
    </w:p>
    <w:p w14:paraId="7408F8AD" w14:textId="77777777" w:rsidR="008327D8" w:rsidRDefault="003D0F93">
      <w:pPr>
        <w:pStyle w:val="ListParagraph"/>
        <w:numPr>
          <w:ilvl w:val="0"/>
          <w:numId w:val="7"/>
        </w:numPr>
        <w:ind w:firstLineChars="0"/>
      </w:pPr>
      <w:r>
        <w:t>Expiry of T319-like (or a new) timer</w:t>
      </w:r>
    </w:p>
    <w:p w14:paraId="17390AD2" w14:textId="77777777" w:rsidR="008327D8" w:rsidRDefault="003D0F93">
      <w:pPr>
        <w:pStyle w:val="ListParagraph"/>
        <w:numPr>
          <w:ilvl w:val="0"/>
          <w:numId w:val="7"/>
        </w:numPr>
        <w:ind w:firstLineChars="0"/>
      </w:pPr>
      <w:r>
        <w:t>Cell reselection during SDT</w:t>
      </w:r>
    </w:p>
    <w:p w14:paraId="0260EB71" w14:textId="77777777" w:rsidR="008327D8" w:rsidRDefault="003D0F93">
      <w:pPr>
        <w:pStyle w:val="ListParagraph"/>
        <w:numPr>
          <w:ilvl w:val="0"/>
          <w:numId w:val="7"/>
        </w:numPr>
        <w:ind w:firstLineChars="0"/>
      </w:pPr>
      <w:r>
        <w:t>RLC max retransmissions reached</w:t>
      </w:r>
    </w:p>
    <w:p w14:paraId="5B34F6A9" w14:textId="77777777" w:rsidR="008327D8" w:rsidRDefault="003D0F93">
      <w:pPr>
        <w:pStyle w:val="ListParagraph"/>
        <w:numPr>
          <w:ilvl w:val="0"/>
          <w:numId w:val="7"/>
        </w:numPr>
        <w:ind w:firstLineChars="0"/>
      </w:pPr>
      <w:r>
        <w:t>Etc</w:t>
      </w:r>
    </w:p>
    <w:p w14:paraId="19E79C79" w14:textId="77777777" w:rsidR="008327D8" w:rsidRDefault="003D0F93">
      <w:r>
        <w:t>During the SDT phase failure may be detected for a number of reasons. Currently, in case of RACH, the failure detection is based on the T319 timer and similar approach can be adopted for both RA-SDT and CG-SDT. However, one question is whether the T319 timer needs to be extended and if so, by how much. In general, the target should be to cover the round-trip time for any response messages in the other direction and to allow sufficient time for the subsequent data transfer phase. The round-trip time in general for typical applications is only in the order of a few 100s of milli seconds anyway. Thus, an extended T319 in the order of a few seconds would be more than sufficient to handle the RA-SDT phase. We propose to cover the range up to 10 sec. As in legacy, the extended T319 timer should cover the time between the first UL message and the RRC response message (</w:t>
      </w:r>
      <w:proofErr w:type="gramStart"/>
      <w:r>
        <w:t>i.e.</w:t>
      </w:r>
      <w:proofErr w:type="gramEnd"/>
      <w:r>
        <w:t xml:space="preserve"> either </w:t>
      </w:r>
      <w:proofErr w:type="spellStart"/>
      <w:r>
        <w:t>RRCRelease</w:t>
      </w:r>
      <w:proofErr w:type="spellEnd"/>
      <w:r>
        <w:t xml:space="preserve"> or </w:t>
      </w:r>
      <w:proofErr w:type="spellStart"/>
      <w:r>
        <w:t>RRCResume</w:t>
      </w:r>
      <w:proofErr w:type="spellEnd"/>
      <w:r>
        <w:t xml:space="preserve">) in DL. </w:t>
      </w:r>
    </w:p>
    <w:p w14:paraId="656A87BA" w14:textId="77777777" w:rsidR="008327D8" w:rsidRDefault="003D0F93">
      <w:r>
        <w:t xml:space="preserve">The other alternative to the above is to use a new mechanism such as using a new timer which is restarted after each SDT UL/DL packet. However, such a mechanism will in theory extend the SDT phase indefinitely and as such is not the main target scenario for small data transmissions (which is meant to be for small and infrequent data bursts). Given the above, we think there should be an overall upper bound on the SDT phase and an extended T319 like timer should be used to control this. </w:t>
      </w:r>
    </w:p>
    <w:p w14:paraId="42E5C622" w14:textId="77777777" w:rsidR="008327D8" w:rsidRDefault="003D0F93">
      <w:pPr>
        <w:rPr>
          <w:b/>
          <w:bCs/>
        </w:rPr>
      </w:pPr>
      <w:r>
        <w:rPr>
          <w:b/>
          <w:bCs/>
        </w:rPr>
        <w:t xml:space="preserve">Proposal 6: A new extended T319 like timer is used for failure detection and the value of this timer is configurable (up to 10 s) </w:t>
      </w:r>
    </w:p>
    <w:p w14:paraId="03EEDED9" w14:textId="77777777" w:rsidR="008327D8" w:rsidRDefault="003D0F93">
      <w:pPr>
        <w:pStyle w:val="Heading1"/>
        <w:widowControl/>
        <w:numPr>
          <w:ilvl w:val="1"/>
          <w:numId w:val="5"/>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Failure recovery</w:t>
      </w:r>
      <w:r>
        <w:rPr>
          <w:rStyle w:val="CommentReference"/>
          <w:b w:val="0"/>
          <w:bCs w:val="0"/>
          <w:kern w:val="2"/>
          <w:szCs w:val="21"/>
        </w:rPr>
        <w:t xml:space="preserve"> </w:t>
      </w:r>
    </w:p>
    <w:p w14:paraId="7DE7CBCC" w14:textId="77777777" w:rsidR="008327D8" w:rsidRDefault="003D0F93">
      <w:r>
        <w:t xml:space="preserve">When failure occurs in the same cell during the SDT after the initial UL message is transmitted, then we need to discuss the UE behaviour a bit further. The relevant failures here are: </w:t>
      </w:r>
    </w:p>
    <w:p w14:paraId="40824E51" w14:textId="77777777" w:rsidR="008327D8" w:rsidRDefault="003D0F93">
      <w:pPr>
        <w:pStyle w:val="ListParagraph"/>
        <w:numPr>
          <w:ilvl w:val="0"/>
          <w:numId w:val="8"/>
        </w:numPr>
        <w:ind w:firstLineChars="0"/>
      </w:pPr>
      <w:r>
        <w:lastRenderedPageBreak/>
        <w:t>RLC trans-max reached</w:t>
      </w:r>
    </w:p>
    <w:p w14:paraId="620340FB" w14:textId="77777777" w:rsidR="008327D8" w:rsidRDefault="003D0F93">
      <w:pPr>
        <w:pStyle w:val="ListParagraph"/>
        <w:numPr>
          <w:ilvl w:val="0"/>
          <w:numId w:val="8"/>
        </w:numPr>
        <w:ind w:firstLineChars="0"/>
      </w:pPr>
      <w:r>
        <w:t>Cell reselection happens</w:t>
      </w:r>
    </w:p>
    <w:p w14:paraId="31E0C8EF" w14:textId="77777777" w:rsidR="008327D8" w:rsidRDefault="003D0F93">
      <w:pPr>
        <w:pStyle w:val="ListParagraph"/>
        <w:numPr>
          <w:ilvl w:val="0"/>
          <w:numId w:val="8"/>
        </w:numPr>
        <w:ind w:firstLineChars="0"/>
      </w:pPr>
      <w:r>
        <w:t>Expiry of the failure detection timer</w:t>
      </w:r>
    </w:p>
    <w:p w14:paraId="178933F2" w14:textId="77777777" w:rsidR="008327D8" w:rsidRDefault="003D0F93">
      <w:r>
        <w:t xml:space="preserve">As discussed at RAN2#113bis-e, there are two options for handling this failure: </w:t>
      </w:r>
    </w:p>
    <w:p w14:paraId="059A8A75" w14:textId="77777777" w:rsidR="008327D8" w:rsidRDefault="003D0F93">
      <w:pPr>
        <w:pStyle w:val="ListParagraph"/>
        <w:numPr>
          <w:ilvl w:val="0"/>
          <w:numId w:val="9"/>
        </w:numPr>
        <w:ind w:firstLineChars="0"/>
      </w:pPr>
      <w:r>
        <w:t>UE moves to IDLE mode and NAS recovery is performed (same as legacy)</w:t>
      </w:r>
    </w:p>
    <w:p w14:paraId="14BE5F2E" w14:textId="77777777" w:rsidR="008327D8" w:rsidRDefault="003D0F93">
      <w:pPr>
        <w:pStyle w:val="ListParagraph"/>
        <w:numPr>
          <w:ilvl w:val="0"/>
          <w:numId w:val="9"/>
        </w:numPr>
        <w:ind w:firstLineChars="0"/>
      </w:pPr>
      <w:r>
        <w:t>UE stays in INACTIVE state and initiates a new resume procedure</w:t>
      </w:r>
    </w:p>
    <w:p w14:paraId="665635C9" w14:textId="77777777" w:rsidR="008327D8" w:rsidRDefault="003D0F93">
      <w:r>
        <w:t xml:space="preserve">For the same cell case, whether a new </w:t>
      </w:r>
      <w:proofErr w:type="spellStart"/>
      <w:r>
        <w:t>RRCResume</w:t>
      </w:r>
      <w:proofErr w:type="spellEnd"/>
      <w:r>
        <w:t xml:space="preserve"> can be triggered or not will depend on the SA3 input and further discussion above in section 2 and section 3. </w:t>
      </w:r>
    </w:p>
    <w:p w14:paraId="145A4434" w14:textId="77777777" w:rsidR="008327D8" w:rsidRDefault="003D0F93">
      <w:r>
        <w:t>For the different cell case (</w:t>
      </w:r>
      <w:proofErr w:type="gramStart"/>
      <w:r>
        <w:t>i.e.</w:t>
      </w:r>
      <w:proofErr w:type="gramEnd"/>
      <w:r>
        <w:t xml:space="preserve"> cell reselection), in the table below, we look at the implications of each of the approach above</w:t>
      </w:r>
    </w:p>
    <w:tbl>
      <w:tblPr>
        <w:tblW w:w="9884" w:type="dxa"/>
        <w:tblLook w:val="04A0" w:firstRow="1" w:lastRow="0" w:firstColumn="1" w:lastColumn="0" w:noHBand="0" w:noVBand="1"/>
      </w:tblPr>
      <w:tblGrid>
        <w:gridCol w:w="1129"/>
        <w:gridCol w:w="2694"/>
        <w:gridCol w:w="6061"/>
      </w:tblGrid>
      <w:tr w:rsidR="008327D8" w14:paraId="567C7B85" w14:textId="77777777">
        <w:trPr>
          <w:trHeight w:val="290"/>
        </w:trPr>
        <w:tc>
          <w:tcPr>
            <w:tcW w:w="9884" w:type="dxa"/>
            <w:gridSpan w:val="3"/>
            <w:tcBorders>
              <w:top w:val="single" w:sz="4" w:space="0" w:color="auto"/>
              <w:left w:val="single" w:sz="4" w:space="0" w:color="auto"/>
              <w:bottom w:val="single" w:sz="4" w:space="0" w:color="auto"/>
              <w:right w:val="single" w:sz="4" w:space="0" w:color="auto"/>
            </w:tcBorders>
            <w:shd w:val="clear" w:color="auto" w:fill="87D7FF" w:themeFill="text1" w:themeFillTint="66"/>
            <w:noWrap/>
            <w:vAlign w:val="bottom"/>
          </w:tcPr>
          <w:p w14:paraId="65F72CBF" w14:textId="77777777" w:rsidR="008327D8" w:rsidRDefault="003D0F93">
            <w:pPr>
              <w:widowControl/>
              <w:spacing w:after="0" w:line="240" w:lineRule="auto"/>
              <w:jc w:val="center"/>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Handling of cell reselection during SDT</w:t>
            </w:r>
          </w:p>
        </w:tc>
      </w:tr>
      <w:tr w:rsidR="008327D8" w14:paraId="30210F83" w14:textId="77777777">
        <w:trPr>
          <w:trHeight w:val="290"/>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9B78E2" w14:textId="77777777" w:rsidR="008327D8" w:rsidRDefault="003D0F93">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 </w:t>
            </w:r>
          </w:p>
        </w:tc>
        <w:tc>
          <w:tcPr>
            <w:tcW w:w="2694" w:type="dxa"/>
            <w:tcBorders>
              <w:top w:val="single" w:sz="4" w:space="0" w:color="auto"/>
              <w:left w:val="nil"/>
              <w:bottom w:val="single" w:sz="4" w:space="0" w:color="auto"/>
              <w:right w:val="single" w:sz="4" w:space="0" w:color="auto"/>
            </w:tcBorders>
            <w:shd w:val="clear" w:color="auto" w:fill="auto"/>
            <w:noWrap/>
            <w:vAlign w:val="bottom"/>
          </w:tcPr>
          <w:p w14:paraId="6779283A" w14:textId="77777777" w:rsidR="008327D8" w:rsidRDefault="003D0F93">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Move to IDLE</w:t>
            </w:r>
          </w:p>
        </w:tc>
        <w:tc>
          <w:tcPr>
            <w:tcW w:w="6061" w:type="dxa"/>
            <w:tcBorders>
              <w:top w:val="single" w:sz="4" w:space="0" w:color="auto"/>
              <w:left w:val="nil"/>
              <w:bottom w:val="single" w:sz="4" w:space="0" w:color="auto"/>
              <w:right w:val="single" w:sz="4" w:space="0" w:color="auto"/>
            </w:tcBorders>
            <w:shd w:val="clear" w:color="auto" w:fill="auto"/>
            <w:noWrap/>
            <w:vAlign w:val="bottom"/>
          </w:tcPr>
          <w:p w14:paraId="2E0926C5" w14:textId="77777777" w:rsidR="008327D8" w:rsidRDefault="003D0F93">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New Resume</w:t>
            </w:r>
          </w:p>
        </w:tc>
      </w:tr>
      <w:tr w:rsidR="008327D8" w14:paraId="11054C1F" w14:textId="77777777">
        <w:trPr>
          <w:trHeight w:val="1160"/>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F5CD40D" w14:textId="77777777" w:rsidR="008327D8" w:rsidRDefault="003D0F93">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UP handling and data loss</w:t>
            </w:r>
          </w:p>
        </w:tc>
        <w:tc>
          <w:tcPr>
            <w:tcW w:w="2694" w:type="dxa"/>
            <w:tcBorders>
              <w:top w:val="nil"/>
              <w:left w:val="nil"/>
              <w:bottom w:val="single" w:sz="4" w:space="0" w:color="auto"/>
              <w:right w:val="single" w:sz="4" w:space="0" w:color="auto"/>
            </w:tcBorders>
            <w:shd w:val="clear" w:color="auto" w:fill="auto"/>
          </w:tcPr>
          <w:p w14:paraId="273FF128" w14:textId="77777777" w:rsidR="008327D8" w:rsidRDefault="003D0F93">
            <w:pPr>
              <w:widowControl/>
              <w:spacing w:after="0" w:line="240" w:lineRule="auto"/>
              <w:jc w:val="left"/>
              <w:rPr>
                <w:rFonts w:ascii="Calibri" w:eastAsia="Times New Roman" w:hAnsi="Calibri" w:cs="Calibri"/>
                <w:color w:val="000000"/>
                <w:kern w:val="0"/>
                <w:sz w:val="22"/>
                <w:szCs w:val="22"/>
              </w:rPr>
            </w:pPr>
            <w:r>
              <w:rPr>
                <w:rFonts w:ascii="Segoe UI Emoji" w:eastAsia="Segoe UI Emoji" w:hAnsi="Segoe UI Emoji" w:cs="Segoe UI Emoji"/>
                <w:color w:val="FF0000"/>
                <w:kern w:val="0"/>
                <w:sz w:val="22"/>
                <w:szCs w:val="22"/>
              </w:rPr>
              <w:t>☹</w:t>
            </w:r>
            <w:r>
              <w:rPr>
                <w:rFonts w:ascii="Calibri" w:eastAsia="Times New Roman" w:hAnsi="Calibri" w:cs="Calibri"/>
                <w:color w:val="FF0000"/>
                <w:kern w:val="0"/>
                <w:sz w:val="22"/>
                <w:szCs w:val="22"/>
              </w:rPr>
              <w:t xml:space="preserve"> Data loss cannot be prevented</w:t>
            </w:r>
            <w:r>
              <w:rPr>
                <w:rFonts w:ascii="Calibri" w:eastAsia="Times New Roman" w:hAnsi="Calibri" w:cs="Calibri"/>
                <w:color w:val="FF0000"/>
                <w:kern w:val="0"/>
                <w:sz w:val="22"/>
                <w:szCs w:val="22"/>
              </w:rPr>
              <w:br/>
            </w:r>
          </w:p>
        </w:tc>
        <w:tc>
          <w:tcPr>
            <w:tcW w:w="6061" w:type="dxa"/>
            <w:tcBorders>
              <w:top w:val="nil"/>
              <w:left w:val="nil"/>
              <w:bottom w:val="single" w:sz="4" w:space="0" w:color="auto"/>
              <w:right w:val="single" w:sz="4" w:space="0" w:color="auto"/>
            </w:tcBorders>
            <w:shd w:val="clear" w:color="auto" w:fill="auto"/>
          </w:tcPr>
          <w:p w14:paraId="5B135DE0" w14:textId="77777777" w:rsidR="008327D8" w:rsidRDefault="003D0F93">
            <w:pPr>
              <w:widowControl/>
              <w:spacing w:after="0" w:line="240" w:lineRule="auto"/>
              <w:rPr>
                <w:rFonts w:ascii="Calibri" w:eastAsia="Times New Roman" w:hAnsi="Calibri" w:cs="Calibri"/>
                <w:color w:val="00B050"/>
                <w:kern w:val="0"/>
                <w:sz w:val="22"/>
                <w:szCs w:val="22"/>
              </w:rPr>
            </w:pPr>
            <w:r>
              <w:rPr>
                <w:rFonts w:ascii="Segoe UI Emoji" w:eastAsia="Segoe UI Emoji" w:hAnsi="Segoe UI Emoji" w:cs="Segoe UI Emoji"/>
                <w:color w:val="00B050"/>
                <w:kern w:val="0"/>
                <w:sz w:val="22"/>
                <w:szCs w:val="22"/>
              </w:rPr>
              <w:t>😊</w:t>
            </w:r>
            <w:r>
              <w:rPr>
                <w:rFonts w:ascii="Calibri" w:eastAsia="Times New Roman" w:hAnsi="Calibri" w:cs="Calibri"/>
                <w:color w:val="00B050"/>
                <w:kern w:val="0"/>
                <w:sz w:val="22"/>
                <w:szCs w:val="22"/>
              </w:rPr>
              <w:t xml:space="preserve"> Data loss can be prevented by using PDCP level reestablishment</w:t>
            </w:r>
          </w:p>
        </w:tc>
      </w:tr>
      <w:tr w:rsidR="008327D8" w14:paraId="3F15A37B" w14:textId="77777777">
        <w:trPr>
          <w:trHeight w:val="2320"/>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345EA67" w14:textId="77777777" w:rsidR="008327D8" w:rsidRDefault="003D0F93">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Security handling</w:t>
            </w:r>
          </w:p>
        </w:tc>
        <w:tc>
          <w:tcPr>
            <w:tcW w:w="2694" w:type="dxa"/>
            <w:tcBorders>
              <w:top w:val="nil"/>
              <w:left w:val="nil"/>
              <w:bottom w:val="single" w:sz="4" w:space="0" w:color="auto"/>
              <w:right w:val="single" w:sz="4" w:space="0" w:color="auto"/>
            </w:tcBorders>
            <w:shd w:val="clear" w:color="auto" w:fill="auto"/>
          </w:tcPr>
          <w:p w14:paraId="7C3E1A2D" w14:textId="77777777" w:rsidR="008327D8" w:rsidRDefault="003D0F93">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 AS security is discarded and new security context is created via NAS recovery</w:t>
            </w:r>
            <w:r>
              <w:rPr>
                <w:rFonts w:ascii="Calibri" w:eastAsia="Times New Roman" w:hAnsi="Calibri" w:cs="Calibri"/>
                <w:color w:val="000000"/>
                <w:kern w:val="0"/>
                <w:sz w:val="22"/>
                <w:szCs w:val="22"/>
              </w:rPr>
              <w:br/>
            </w:r>
            <w:r>
              <w:rPr>
                <w:rFonts w:ascii="Segoe UI Emoji" w:eastAsia="Segoe UI Emoji" w:hAnsi="Segoe UI Emoji" w:cs="Segoe UI Emoji"/>
                <w:color w:val="00B050"/>
                <w:kern w:val="0"/>
                <w:sz w:val="22"/>
                <w:szCs w:val="22"/>
              </w:rPr>
              <w:t>😊</w:t>
            </w:r>
            <w:r>
              <w:rPr>
                <w:rFonts w:ascii="Calibri" w:eastAsia="Times New Roman" w:hAnsi="Calibri" w:cs="Calibri"/>
                <w:color w:val="00B050"/>
                <w:kern w:val="0"/>
                <w:sz w:val="22"/>
                <w:szCs w:val="22"/>
              </w:rPr>
              <w:t xml:space="preserve"> No impact to SA3</w:t>
            </w:r>
          </w:p>
        </w:tc>
        <w:tc>
          <w:tcPr>
            <w:tcW w:w="6061" w:type="dxa"/>
            <w:tcBorders>
              <w:top w:val="nil"/>
              <w:left w:val="nil"/>
              <w:bottom w:val="single" w:sz="4" w:space="0" w:color="auto"/>
              <w:right w:val="single" w:sz="4" w:space="0" w:color="auto"/>
            </w:tcBorders>
            <w:shd w:val="clear" w:color="auto" w:fill="auto"/>
          </w:tcPr>
          <w:p w14:paraId="757F295B" w14:textId="550D840C" w:rsidR="008327D8" w:rsidRDefault="003D0F93">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 xml:space="preserve">- a new key shall be derived for the new cell (using the same NCC and the </w:t>
            </w:r>
            <w:proofErr w:type="spellStart"/>
            <w:r>
              <w:rPr>
                <w:rFonts w:ascii="Calibri" w:eastAsia="Times New Roman" w:hAnsi="Calibri" w:cs="Calibri"/>
                <w:color w:val="000000"/>
                <w:kern w:val="0"/>
                <w:sz w:val="22"/>
                <w:szCs w:val="22"/>
              </w:rPr>
              <w:t>kgNB</w:t>
            </w:r>
            <w:proofErr w:type="spellEnd"/>
            <w:r>
              <w:rPr>
                <w:rFonts w:ascii="Calibri" w:eastAsia="Times New Roman" w:hAnsi="Calibri" w:cs="Calibri"/>
                <w:color w:val="000000"/>
                <w:kern w:val="0"/>
                <w:sz w:val="22"/>
                <w:szCs w:val="22"/>
              </w:rPr>
              <w:t xml:space="preserve"> stored in the UE inactive context, but using the new PCI/ARFCN</w:t>
            </w:r>
          </w:p>
          <w:p w14:paraId="028FABE3" w14:textId="1162E41E" w:rsidR="00D74606" w:rsidRDefault="00D74606">
            <w:pPr>
              <w:widowControl/>
              <w:spacing w:after="0" w:line="240" w:lineRule="auto"/>
              <w:jc w:val="left"/>
              <w:rPr>
                <w:rFonts w:ascii="Calibri" w:eastAsia="Times New Roman" w:hAnsi="Calibri" w:cs="Calibri"/>
                <w:color w:val="000000"/>
                <w:kern w:val="0"/>
                <w:sz w:val="22"/>
                <w:szCs w:val="22"/>
              </w:rPr>
            </w:pPr>
          </w:p>
          <w:p w14:paraId="5B8336D3" w14:textId="77777777" w:rsidR="004104EC" w:rsidRDefault="004104EC" w:rsidP="004104EC">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 xml:space="preserve">- Note that if the UE reselects to the previous cell again, the same key will be generated and key reuse may happen. This needs some more discussion. </w:t>
            </w:r>
          </w:p>
          <w:p w14:paraId="51798CA6" w14:textId="77777777" w:rsidR="008327D8" w:rsidRDefault="008327D8" w:rsidP="004104EC">
            <w:pPr>
              <w:widowControl/>
              <w:spacing w:after="0" w:line="240" w:lineRule="auto"/>
              <w:jc w:val="left"/>
              <w:rPr>
                <w:rFonts w:ascii="Calibri" w:eastAsia="Times New Roman" w:hAnsi="Calibri" w:cs="Calibri"/>
                <w:color w:val="000000"/>
                <w:kern w:val="0"/>
                <w:sz w:val="22"/>
                <w:szCs w:val="22"/>
              </w:rPr>
            </w:pPr>
          </w:p>
        </w:tc>
      </w:tr>
      <w:tr w:rsidR="008327D8" w14:paraId="3B528596" w14:textId="77777777">
        <w:trPr>
          <w:trHeight w:val="2900"/>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C2D8418" w14:textId="77777777" w:rsidR="008327D8" w:rsidRDefault="003D0F93">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RAN3 impacts</w:t>
            </w:r>
          </w:p>
        </w:tc>
        <w:tc>
          <w:tcPr>
            <w:tcW w:w="2694" w:type="dxa"/>
            <w:tcBorders>
              <w:top w:val="nil"/>
              <w:left w:val="nil"/>
              <w:bottom w:val="single" w:sz="4" w:space="0" w:color="auto"/>
              <w:right w:val="single" w:sz="4" w:space="0" w:color="auto"/>
            </w:tcBorders>
            <w:shd w:val="clear" w:color="auto" w:fill="auto"/>
          </w:tcPr>
          <w:p w14:paraId="39316177" w14:textId="77777777" w:rsidR="008327D8" w:rsidRDefault="003D0F93">
            <w:pPr>
              <w:widowControl/>
              <w:spacing w:after="0" w:line="240" w:lineRule="auto"/>
              <w:jc w:val="left"/>
              <w:rPr>
                <w:rFonts w:ascii="Calibri" w:eastAsia="Times New Roman" w:hAnsi="Calibri" w:cs="Calibri"/>
                <w:color w:val="00B050"/>
                <w:kern w:val="0"/>
                <w:sz w:val="22"/>
                <w:szCs w:val="22"/>
              </w:rPr>
            </w:pPr>
            <w:r>
              <w:rPr>
                <w:rFonts w:ascii="Segoe UI Emoji" w:eastAsia="Segoe UI Emoji" w:hAnsi="Segoe UI Emoji" w:cs="Segoe UI Emoji"/>
                <w:color w:val="00B050"/>
                <w:kern w:val="0"/>
                <w:sz w:val="22"/>
                <w:szCs w:val="22"/>
              </w:rPr>
              <w:t>😊</w:t>
            </w:r>
            <w:r>
              <w:rPr>
                <w:rFonts w:ascii="Calibri" w:eastAsia="Times New Roman" w:hAnsi="Calibri" w:cs="Calibri"/>
                <w:color w:val="00B050"/>
                <w:kern w:val="0"/>
                <w:sz w:val="22"/>
                <w:szCs w:val="22"/>
              </w:rPr>
              <w:t xml:space="preserve"> No impacts to RAN3</w:t>
            </w:r>
          </w:p>
        </w:tc>
        <w:tc>
          <w:tcPr>
            <w:tcW w:w="6061" w:type="dxa"/>
            <w:tcBorders>
              <w:top w:val="nil"/>
              <w:left w:val="nil"/>
              <w:bottom w:val="single" w:sz="4" w:space="0" w:color="auto"/>
              <w:right w:val="single" w:sz="4" w:space="0" w:color="auto"/>
            </w:tcBorders>
            <w:shd w:val="clear" w:color="auto" w:fill="auto"/>
          </w:tcPr>
          <w:p w14:paraId="3674D66B" w14:textId="77777777" w:rsidR="008327D8" w:rsidRDefault="003D0F93">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 xml:space="preserve">- In case of </w:t>
            </w:r>
            <w:r>
              <w:rPr>
                <w:rFonts w:ascii="Calibri" w:eastAsia="Times New Roman" w:hAnsi="Calibri" w:cs="Calibri"/>
                <w:color w:val="000000"/>
                <w:kern w:val="0"/>
                <w:sz w:val="22"/>
                <w:szCs w:val="22"/>
                <w:u w:val="single"/>
              </w:rPr>
              <w:t>anchor relocation</w:t>
            </w:r>
            <w:r>
              <w:rPr>
                <w:rFonts w:ascii="Calibri" w:eastAsia="Times New Roman" w:hAnsi="Calibri" w:cs="Calibri"/>
                <w:color w:val="000000"/>
                <w:kern w:val="0"/>
                <w:sz w:val="22"/>
                <w:szCs w:val="22"/>
              </w:rPr>
              <w:t xml:space="preserve">, if the Resume procedure is used, then the old anchor node will receive the new </w:t>
            </w:r>
            <w:proofErr w:type="spellStart"/>
            <w:r>
              <w:rPr>
                <w:rFonts w:ascii="Calibri" w:eastAsia="Times New Roman" w:hAnsi="Calibri" w:cs="Calibri"/>
                <w:color w:val="000000"/>
                <w:kern w:val="0"/>
                <w:sz w:val="22"/>
                <w:szCs w:val="22"/>
              </w:rPr>
              <w:t>RRCResumeRequest</w:t>
            </w:r>
            <w:proofErr w:type="spellEnd"/>
            <w:r>
              <w:rPr>
                <w:rFonts w:ascii="Calibri" w:eastAsia="Times New Roman" w:hAnsi="Calibri" w:cs="Calibri"/>
                <w:color w:val="000000"/>
                <w:kern w:val="0"/>
                <w:sz w:val="22"/>
                <w:szCs w:val="22"/>
              </w:rPr>
              <w:t xml:space="preserve"> and may not have the UE context since this has been relocated to the new target </w:t>
            </w:r>
            <w:proofErr w:type="spellStart"/>
            <w:r>
              <w:rPr>
                <w:rFonts w:ascii="Calibri" w:eastAsia="Times New Roman" w:hAnsi="Calibri" w:cs="Calibri"/>
                <w:color w:val="000000"/>
                <w:kern w:val="0"/>
                <w:sz w:val="22"/>
                <w:szCs w:val="22"/>
              </w:rPr>
              <w:t>gNB</w:t>
            </w:r>
            <w:proofErr w:type="spellEnd"/>
            <w:r>
              <w:rPr>
                <w:rFonts w:ascii="Calibri" w:eastAsia="Times New Roman" w:hAnsi="Calibri" w:cs="Calibri"/>
                <w:color w:val="000000"/>
                <w:kern w:val="0"/>
                <w:sz w:val="22"/>
                <w:szCs w:val="22"/>
              </w:rPr>
              <w:t>. Some impact to RAN3 hence will result from this approach and RAN3 should be made aware of this if we go this way</w:t>
            </w:r>
          </w:p>
        </w:tc>
      </w:tr>
    </w:tbl>
    <w:p w14:paraId="67DBA69A" w14:textId="77777777" w:rsidR="008327D8" w:rsidRDefault="008327D8"/>
    <w:p w14:paraId="70935D59" w14:textId="77777777" w:rsidR="008327D8" w:rsidRDefault="003D0F93">
      <w:r>
        <w:t xml:space="preserve">Based on the above, the following proposal is made: </w:t>
      </w:r>
    </w:p>
    <w:p w14:paraId="607125C0" w14:textId="77777777" w:rsidR="008327D8" w:rsidRDefault="003D0F93">
      <w:pPr>
        <w:rPr>
          <w:b/>
          <w:bCs/>
        </w:rPr>
      </w:pPr>
      <w:r>
        <w:rPr>
          <w:b/>
          <w:bCs/>
        </w:rPr>
        <w:t xml:space="preserve">Proposal 7: If SA3 agrees to the reuse of NCC and I-RNTI in a different cell then the solution for cell reselection case works as follows: </w:t>
      </w:r>
    </w:p>
    <w:p w14:paraId="6FC231DB" w14:textId="77777777" w:rsidR="008327D8" w:rsidRDefault="003D0F93">
      <w:pPr>
        <w:pStyle w:val="ListParagraph"/>
        <w:numPr>
          <w:ilvl w:val="0"/>
          <w:numId w:val="7"/>
        </w:numPr>
        <w:ind w:firstLineChars="0"/>
        <w:rPr>
          <w:b/>
          <w:bCs/>
        </w:rPr>
      </w:pPr>
      <w:r>
        <w:rPr>
          <w:b/>
          <w:bCs/>
        </w:rPr>
        <w:lastRenderedPageBreak/>
        <w:t xml:space="preserve">The </w:t>
      </w:r>
      <w:proofErr w:type="spellStart"/>
      <w:r>
        <w:rPr>
          <w:b/>
          <w:bCs/>
        </w:rPr>
        <w:t>RRCResumeRequest</w:t>
      </w:r>
      <w:proofErr w:type="spellEnd"/>
      <w:r>
        <w:rPr>
          <w:b/>
          <w:bCs/>
        </w:rPr>
        <w:t xml:space="preserve"> is routed to the old anchor </w:t>
      </w:r>
      <w:proofErr w:type="spellStart"/>
      <w:r>
        <w:rPr>
          <w:b/>
          <w:bCs/>
        </w:rPr>
        <w:t>gNB</w:t>
      </w:r>
      <w:proofErr w:type="spellEnd"/>
      <w:r>
        <w:rPr>
          <w:b/>
          <w:bCs/>
        </w:rPr>
        <w:t xml:space="preserve"> and the old anchor </w:t>
      </w:r>
      <w:proofErr w:type="spellStart"/>
      <w:r>
        <w:rPr>
          <w:b/>
          <w:bCs/>
        </w:rPr>
        <w:t>gNB</w:t>
      </w:r>
      <w:proofErr w:type="spellEnd"/>
      <w:r>
        <w:rPr>
          <w:b/>
          <w:bCs/>
        </w:rPr>
        <w:t xml:space="preserve"> shall be able to verify the UE and generate new keys irrespective of whether anchor relocation and path switch happens before in the SDT session – needs to be checked with RAN3</w:t>
      </w:r>
    </w:p>
    <w:p w14:paraId="07FF891C" w14:textId="77777777" w:rsidR="008327D8" w:rsidRDefault="003D0F93">
      <w:pPr>
        <w:pStyle w:val="ListParagraph"/>
        <w:numPr>
          <w:ilvl w:val="0"/>
          <w:numId w:val="7"/>
        </w:numPr>
        <w:ind w:firstLineChars="0"/>
        <w:rPr>
          <w:b/>
          <w:bCs/>
        </w:rPr>
      </w:pPr>
      <w:r>
        <w:rPr>
          <w:b/>
          <w:bCs/>
        </w:rPr>
        <w:t xml:space="preserve">The new key is derived for the new cell (using the same NCC and the </w:t>
      </w:r>
      <w:proofErr w:type="spellStart"/>
      <w:r>
        <w:rPr>
          <w:b/>
          <w:bCs/>
        </w:rPr>
        <w:t>KgNB</w:t>
      </w:r>
      <w:proofErr w:type="spellEnd"/>
      <w:r>
        <w:rPr>
          <w:b/>
          <w:bCs/>
        </w:rPr>
        <w:t xml:space="preserve"> in the stored UE inactive context, but using new PCI/ARFCN)</w:t>
      </w:r>
    </w:p>
    <w:p w14:paraId="713BB609" w14:textId="77777777" w:rsidR="008327D8" w:rsidRDefault="003D0F93">
      <w:pPr>
        <w:pStyle w:val="ListParagraph"/>
        <w:numPr>
          <w:ilvl w:val="0"/>
          <w:numId w:val="7"/>
        </w:numPr>
        <w:ind w:firstLineChars="0"/>
        <w:rPr>
          <w:b/>
          <w:bCs/>
        </w:rPr>
      </w:pPr>
      <w:r>
        <w:rPr>
          <w:b/>
          <w:bCs/>
        </w:rPr>
        <w:t>PDCP based recovery mechanism is used to recover the lost/unacknowledged data whilst the UE Stays in RRC_INACTIVE state</w:t>
      </w:r>
    </w:p>
    <w:p w14:paraId="1AC36052" w14:textId="77777777" w:rsidR="008327D8" w:rsidRDefault="003D0F9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Support of RRC-Less</w:t>
      </w:r>
    </w:p>
    <w:p w14:paraId="5452F6BD" w14:textId="77777777" w:rsidR="008327D8" w:rsidRDefault="003D0F93">
      <w:r>
        <w:t xml:space="preserve">At RAN2#111e, it was agreed to study RRC-less for limited use cases (e.g., same serving cell and/or CG) with a lower priority. As analysed in </w:t>
      </w:r>
      <w:r>
        <w:fldChar w:fldCharType="begin"/>
      </w:r>
      <w:r>
        <w:instrText xml:space="preserve"> REF _Ref52278322 \r \h </w:instrText>
      </w:r>
      <w:r>
        <w:fldChar w:fldCharType="separate"/>
      </w:r>
      <w:r>
        <w:t>[2]</w:t>
      </w:r>
      <w:r>
        <w:fldChar w:fldCharType="end"/>
      </w:r>
      <w:r>
        <w:t xml:space="preserve">, RRC-less approach has limited applicability and is an optimisation for a special case when there is no cell change. Further, specification of an optimization for a solution in the first release of standardizing a feature is not usual. Given this, we propose to specify only one solution for SDT in Rel-17. </w:t>
      </w:r>
    </w:p>
    <w:p w14:paraId="0DD09F68" w14:textId="77777777" w:rsidR="008327D8" w:rsidRDefault="003D0F93">
      <w:r>
        <w:t xml:space="preserve">However, if companies in RAN2 still agree to support RRC-less solution in Rel-17, we should at least ensure that the solution with and without RRC are not too divergent so that the work load in Rel-17 is manageable. To ensure this, we think the following framework for RRC-less can be considered further (but only if RAN2 agrees to specify this solution in Rel-17): </w:t>
      </w:r>
    </w:p>
    <w:p w14:paraId="17801E18" w14:textId="77777777" w:rsidR="008327D8" w:rsidRDefault="003D0F93">
      <w:pPr>
        <w:pStyle w:val="ListParagraph"/>
        <w:numPr>
          <w:ilvl w:val="0"/>
          <w:numId w:val="10"/>
        </w:numPr>
        <w:ind w:firstLineChars="0"/>
      </w:pPr>
      <w:r>
        <w:t xml:space="preserve">For the security framework, the same framework is used as the RRC-based solution: </w:t>
      </w:r>
    </w:p>
    <w:p w14:paraId="290F32DF" w14:textId="77777777" w:rsidR="008327D8" w:rsidRDefault="003D0F93">
      <w:pPr>
        <w:pStyle w:val="ListParagraph"/>
        <w:numPr>
          <w:ilvl w:val="1"/>
          <w:numId w:val="10"/>
        </w:numPr>
        <w:ind w:firstLineChars="0"/>
      </w:pPr>
      <w:r>
        <w:t>The stored security material in the INACTIVE context of the UE is used to generate the integrity protection token (</w:t>
      </w:r>
      <w:proofErr w:type="gramStart"/>
      <w:r>
        <w:t>i.e.</w:t>
      </w:r>
      <w:proofErr w:type="gramEnd"/>
      <w:r>
        <w:t xml:space="preserve"> short-MACI) and is included in the first UL message sent over CG</w:t>
      </w:r>
    </w:p>
    <w:p w14:paraId="471F58AC" w14:textId="77777777" w:rsidR="008327D8" w:rsidRDefault="003D0F93">
      <w:pPr>
        <w:pStyle w:val="ListParagraph"/>
        <w:numPr>
          <w:ilvl w:val="1"/>
          <w:numId w:val="10"/>
        </w:numPr>
        <w:ind w:firstLineChars="0"/>
      </w:pPr>
      <w:r>
        <w:t>New security key is generated based on the stored security context like in RA-SDT case and this is used for encrypting and/or integrity protection of data</w:t>
      </w:r>
    </w:p>
    <w:p w14:paraId="18999926" w14:textId="77777777" w:rsidR="008327D8" w:rsidRDefault="003D0F93">
      <w:pPr>
        <w:pStyle w:val="ListParagraph"/>
        <w:numPr>
          <w:ilvl w:val="0"/>
          <w:numId w:val="10"/>
        </w:numPr>
        <w:ind w:firstLineChars="0"/>
      </w:pPr>
      <w:r>
        <w:t>The UAC framework is applicable as in RA-SDT and the resume cause may be included in the first UL message</w:t>
      </w:r>
    </w:p>
    <w:p w14:paraId="57951867" w14:textId="77777777" w:rsidR="008327D8" w:rsidRDefault="003D0F93">
      <w:pPr>
        <w:pStyle w:val="ListParagraph"/>
        <w:numPr>
          <w:ilvl w:val="0"/>
          <w:numId w:val="10"/>
        </w:numPr>
        <w:ind w:firstLineChars="0"/>
      </w:pPr>
      <w:r>
        <w:t xml:space="preserve">MAC CEs </w:t>
      </w:r>
      <w:proofErr w:type="gramStart"/>
      <w:r>
        <w:t>are</w:t>
      </w:r>
      <w:proofErr w:type="gramEnd"/>
      <w:r>
        <w:t xml:space="preserve"> defined to carry the contents that are normally included in the CCCH message (i.e. short-MACI, </w:t>
      </w:r>
      <w:proofErr w:type="spellStart"/>
      <w:r>
        <w:t>resumeCause</w:t>
      </w:r>
      <w:proofErr w:type="spellEnd"/>
      <w:r>
        <w:t xml:space="preserve"> etc)</w:t>
      </w:r>
    </w:p>
    <w:p w14:paraId="64DE7F73" w14:textId="77777777" w:rsidR="008327D8" w:rsidRDefault="003D0F93">
      <w:pPr>
        <w:pStyle w:val="ListParagraph"/>
        <w:numPr>
          <w:ilvl w:val="0"/>
          <w:numId w:val="10"/>
        </w:numPr>
        <w:ind w:firstLineChars="0"/>
      </w:pPr>
      <w:r>
        <w:t>No RRC-message is included in the first UL message but the UE can still receive an RRC-message in DL in response to the first UL UP message (</w:t>
      </w:r>
      <w:proofErr w:type="gramStart"/>
      <w:r>
        <w:t>i.e.</w:t>
      </w:r>
      <w:proofErr w:type="gramEnd"/>
      <w:r>
        <w:t xml:space="preserve"> the control procedure for RRC-based and RRC-less are unified after the first UL message)</w:t>
      </w:r>
    </w:p>
    <w:p w14:paraId="46CC5085" w14:textId="77777777" w:rsidR="008327D8" w:rsidRDefault="003D0F93">
      <w:pPr>
        <w:pStyle w:val="ListParagraph"/>
        <w:numPr>
          <w:ilvl w:val="0"/>
          <w:numId w:val="10"/>
        </w:numPr>
        <w:ind w:firstLineChars="0"/>
      </w:pPr>
      <w:r>
        <w:t>The RRC-less approach can be applied to both RACH and CG based solutions as long as the UE resumes in the same cell in which it was moved to RRC-INACTIVE (</w:t>
      </w:r>
      <w:proofErr w:type="gramStart"/>
      <w:r>
        <w:t>i.e.</w:t>
      </w:r>
      <w:proofErr w:type="gramEnd"/>
      <w:r>
        <w:t xml:space="preserve"> only for no cell change case)</w:t>
      </w:r>
    </w:p>
    <w:p w14:paraId="2739CDD1" w14:textId="77777777" w:rsidR="008327D8" w:rsidRDefault="003D0F93">
      <w:pPr>
        <w:pStyle w:val="ListParagraph"/>
        <w:numPr>
          <w:ilvl w:val="0"/>
          <w:numId w:val="10"/>
        </w:numPr>
        <w:ind w:firstLineChars="0"/>
      </w:pPr>
      <w:r>
        <w:t>Network shall be under control of whether the UE shall use RRC-less approach or not (</w:t>
      </w:r>
      <w:proofErr w:type="gramStart"/>
      <w:r>
        <w:t>e.g.</w:t>
      </w:r>
      <w:proofErr w:type="gramEnd"/>
      <w:r>
        <w:t xml:space="preserve"> via indication in system information or via dedicated configuration – details TBD)</w:t>
      </w:r>
    </w:p>
    <w:p w14:paraId="6F999A0C" w14:textId="77777777" w:rsidR="008327D8" w:rsidRDefault="003D0F93">
      <w:r>
        <w:lastRenderedPageBreak/>
        <w:t xml:space="preserve">Based on the above, the following is proposed: </w:t>
      </w:r>
    </w:p>
    <w:p w14:paraId="72B7B75E" w14:textId="77777777" w:rsidR="008327D8" w:rsidRDefault="003D0F93">
      <w:pPr>
        <w:rPr>
          <w:b/>
          <w:bCs/>
        </w:rPr>
      </w:pPr>
      <w:r>
        <w:rPr>
          <w:b/>
          <w:bCs/>
        </w:rPr>
        <w:t>Proposal 8: RAN2 should continue to focus on RRC-based solution in Rel-17 for SDT (i.e., the RRC-based SDT)</w:t>
      </w:r>
    </w:p>
    <w:p w14:paraId="0D02787A" w14:textId="77777777" w:rsidR="008327D8" w:rsidRDefault="003D0F93">
      <w:pPr>
        <w:rPr>
          <w:b/>
          <w:bCs/>
        </w:rPr>
      </w:pPr>
      <w:r>
        <w:rPr>
          <w:b/>
          <w:bCs/>
        </w:rPr>
        <w:t xml:space="preserve">Proposal 9: RAN2 should only consider RRC-less solution if time is left after specifying RRC-based solution and in this case, the RRC-less solution should adopt the same security and UAC framework as in RRC-based solution and ensure that network is in control of state transitions (i.e., UE shall be able to receive an RRC message in DL even if there is no RRC message included in the first UL message). </w:t>
      </w:r>
    </w:p>
    <w:p w14:paraId="32D4A661" w14:textId="77777777" w:rsidR="008327D8" w:rsidRDefault="003D0F9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22FFAAB6" w14:textId="77777777" w:rsidR="008327D8" w:rsidRDefault="003D0F93">
      <w:r>
        <w:t xml:space="preserve">The CP aspects of SDT are discussed in this contribution and the following proposals are made: </w:t>
      </w:r>
    </w:p>
    <w:p w14:paraId="4544C8EE" w14:textId="5ECC834B" w:rsidR="008327D8" w:rsidRDefault="003D0F93">
      <w:pPr>
        <w:rPr>
          <w:b/>
          <w:bCs/>
          <w:u w:val="single"/>
        </w:rPr>
      </w:pPr>
      <w:r>
        <w:rPr>
          <w:b/>
          <w:bCs/>
          <w:u w:val="single"/>
        </w:rPr>
        <w:t>Proposals:</w:t>
      </w:r>
    </w:p>
    <w:p w14:paraId="66D5C430" w14:textId="6EB4B534" w:rsidR="0042717C" w:rsidRPr="0042717C" w:rsidRDefault="0042717C" w:rsidP="0042717C">
      <w:pPr>
        <w:rPr>
          <w:b/>
          <w:bCs/>
          <w:u w:val="single"/>
        </w:rPr>
      </w:pPr>
      <w:r w:rsidRPr="0042717C">
        <w:rPr>
          <w:b/>
          <w:bCs/>
          <w:u w:val="single"/>
        </w:rPr>
        <w:t>DCCH solution details</w:t>
      </w:r>
    </w:p>
    <w:p w14:paraId="789ED0C5" w14:textId="77777777" w:rsidR="0042717C" w:rsidRDefault="0042717C" w:rsidP="0042717C">
      <w:pPr>
        <w:rPr>
          <w:b/>
          <w:bCs/>
        </w:rPr>
      </w:pPr>
      <w:r>
        <w:rPr>
          <w:b/>
          <w:bCs/>
        </w:rPr>
        <w:t>Proposal 1: In case of DCCH solution, regardless of the behaviour at NAS (i.e., regardless of whether a new trigger for transitioning to RRC_CONNECTED is received from NAS or not), the lower layers can generate a DCCH message upon arrival of non-SDT data bearers during SDT</w:t>
      </w:r>
    </w:p>
    <w:p w14:paraId="7FBC1012" w14:textId="77777777" w:rsidR="0042717C" w:rsidRDefault="0042717C" w:rsidP="0042717C">
      <w:pPr>
        <w:rPr>
          <w:b/>
          <w:bCs/>
        </w:rPr>
      </w:pPr>
      <w:r>
        <w:rPr>
          <w:b/>
          <w:bCs/>
        </w:rPr>
        <w:t xml:space="preserve">Proposal 2: In case of DCCH based solution, if DCCH message is submitted to lower layers before contention resolution, the UE simply waits for contention resolution and transmits the DCCH afterwards. If DCCH message is submitted to lower layers after contention resolution, then it will be transmitted in the next available UL resource (reusing the existing LCP rules etc) – again no changes are needed in MAC for this. </w:t>
      </w:r>
    </w:p>
    <w:p w14:paraId="6CC18224" w14:textId="644C9431" w:rsidR="0042717C" w:rsidRDefault="0042717C" w:rsidP="0042717C">
      <w:pPr>
        <w:rPr>
          <w:b/>
          <w:bCs/>
        </w:rPr>
      </w:pPr>
      <w:r>
        <w:rPr>
          <w:b/>
          <w:bCs/>
        </w:rPr>
        <w:t xml:space="preserve">Proposal 3: If the SDT session is terminated before transmission of the DCCH message, then a new </w:t>
      </w:r>
      <w:proofErr w:type="spellStart"/>
      <w:r>
        <w:rPr>
          <w:b/>
          <w:bCs/>
        </w:rPr>
        <w:t>RRCResume</w:t>
      </w:r>
      <w:proofErr w:type="spellEnd"/>
      <w:r>
        <w:rPr>
          <w:b/>
          <w:bCs/>
        </w:rPr>
        <w:t>/</w:t>
      </w:r>
      <w:proofErr w:type="spellStart"/>
      <w:r>
        <w:rPr>
          <w:b/>
          <w:bCs/>
        </w:rPr>
        <w:t>RRCSetup</w:t>
      </w:r>
      <w:proofErr w:type="spellEnd"/>
      <w:r>
        <w:rPr>
          <w:b/>
          <w:bCs/>
        </w:rPr>
        <w:t xml:space="preserve"> procedure will be triggered by the upper layers (since the UE moves to INACTIVE/IDLE whilst there is pending data/NAS procedure) – again no change is needed for handling this scenario either</w:t>
      </w:r>
    </w:p>
    <w:p w14:paraId="27B4F447" w14:textId="3B06B3FD" w:rsidR="0042717C" w:rsidRPr="0042717C" w:rsidRDefault="0042717C" w:rsidP="0042717C">
      <w:pPr>
        <w:rPr>
          <w:b/>
          <w:bCs/>
          <w:u w:val="single"/>
        </w:rPr>
      </w:pPr>
      <w:r w:rsidRPr="0042717C">
        <w:rPr>
          <w:b/>
          <w:bCs/>
          <w:u w:val="single"/>
        </w:rPr>
        <w:t>CCCH solution details</w:t>
      </w:r>
    </w:p>
    <w:p w14:paraId="56AA85CE" w14:textId="77777777" w:rsidR="0042717C" w:rsidRDefault="0042717C" w:rsidP="0042717C">
      <w:pPr>
        <w:rPr>
          <w:b/>
          <w:bCs/>
        </w:rPr>
      </w:pPr>
      <w:r>
        <w:rPr>
          <w:b/>
          <w:bCs/>
        </w:rPr>
        <w:t xml:space="preserve">Proposal 4: In case of CCCH solution, RAN2 should discuss the following options for key generation after the second CCCH message is sent: </w:t>
      </w:r>
    </w:p>
    <w:p w14:paraId="66DC0ADF" w14:textId="2A36898D" w:rsidR="0042717C" w:rsidRDefault="0042717C" w:rsidP="0042717C">
      <w:pPr>
        <w:pStyle w:val="ListParagraph"/>
        <w:numPr>
          <w:ilvl w:val="0"/>
          <w:numId w:val="6"/>
        </w:numPr>
        <w:ind w:firstLineChars="0"/>
        <w:rPr>
          <w:b/>
          <w:bCs/>
        </w:rPr>
      </w:pPr>
      <w:r>
        <w:rPr>
          <w:b/>
          <w:bCs/>
          <w:u w:val="single"/>
        </w:rPr>
        <w:t>Option 1</w:t>
      </w:r>
      <w:r>
        <w:rPr>
          <w:b/>
          <w:bCs/>
        </w:rPr>
        <w:t xml:space="preserve">: New key is generated by the anchor </w:t>
      </w:r>
      <w:proofErr w:type="spellStart"/>
      <w:r>
        <w:rPr>
          <w:b/>
          <w:bCs/>
        </w:rPr>
        <w:t>gNB</w:t>
      </w:r>
      <w:proofErr w:type="spellEnd"/>
      <w:r>
        <w:rPr>
          <w:b/>
          <w:bCs/>
        </w:rPr>
        <w:t xml:space="preserve"> and is sent to the target </w:t>
      </w:r>
      <w:proofErr w:type="spellStart"/>
      <w:r>
        <w:rPr>
          <w:b/>
          <w:bCs/>
        </w:rPr>
        <w:t>gNB</w:t>
      </w:r>
      <w:proofErr w:type="spellEnd"/>
      <w:r>
        <w:rPr>
          <w:b/>
          <w:bCs/>
        </w:rPr>
        <w:t xml:space="preserve"> (similar procedure as normal resume), but this new key is generated using horizontal key generation (i.e.</w:t>
      </w:r>
      <w:r w:rsidR="00ED0E03">
        <w:rPr>
          <w:b/>
          <w:bCs/>
        </w:rPr>
        <w:t>,</w:t>
      </w:r>
      <w:r>
        <w:rPr>
          <w:b/>
          <w:bCs/>
        </w:rPr>
        <w:t xml:space="preserve"> reusing the NCC, same physical cell ID etc) </w:t>
      </w:r>
    </w:p>
    <w:p w14:paraId="229A0174" w14:textId="77777777" w:rsidR="0042717C" w:rsidRDefault="0042717C" w:rsidP="0042717C">
      <w:pPr>
        <w:pStyle w:val="ListParagraph"/>
        <w:numPr>
          <w:ilvl w:val="0"/>
          <w:numId w:val="6"/>
        </w:numPr>
        <w:ind w:firstLineChars="0"/>
        <w:rPr>
          <w:b/>
          <w:bCs/>
        </w:rPr>
      </w:pPr>
      <w:r>
        <w:rPr>
          <w:b/>
          <w:bCs/>
          <w:u w:val="single"/>
        </w:rPr>
        <w:t>Option 2</w:t>
      </w:r>
      <w:r>
        <w:rPr>
          <w:b/>
          <w:bCs/>
        </w:rPr>
        <w:t xml:space="preserve">: New key is not generated by the anchor </w:t>
      </w:r>
      <w:proofErr w:type="spellStart"/>
      <w:r>
        <w:rPr>
          <w:b/>
          <w:bCs/>
        </w:rPr>
        <w:t>gNB</w:t>
      </w:r>
      <w:proofErr w:type="spellEnd"/>
      <w:r>
        <w:rPr>
          <w:b/>
          <w:bCs/>
        </w:rPr>
        <w:t xml:space="preserve"> (but the anchor </w:t>
      </w:r>
      <w:proofErr w:type="spellStart"/>
      <w:r>
        <w:rPr>
          <w:b/>
          <w:bCs/>
        </w:rPr>
        <w:t>gNB</w:t>
      </w:r>
      <w:proofErr w:type="spellEnd"/>
      <w:r>
        <w:rPr>
          <w:b/>
          <w:bCs/>
        </w:rPr>
        <w:t xml:space="preserve"> indicates whether the UE is verified or not based on the received </w:t>
      </w:r>
      <w:proofErr w:type="spellStart"/>
      <w:r>
        <w:rPr>
          <w:b/>
          <w:bCs/>
        </w:rPr>
        <w:t>resumeMAC</w:t>
      </w:r>
      <w:proofErr w:type="spellEnd"/>
      <w:r>
        <w:rPr>
          <w:b/>
          <w:bCs/>
        </w:rPr>
        <w:t>-I)</w:t>
      </w:r>
    </w:p>
    <w:p w14:paraId="09367CF6" w14:textId="77777777" w:rsidR="0042717C" w:rsidRDefault="0042717C" w:rsidP="0042717C">
      <w:pPr>
        <w:pStyle w:val="ListParagraph"/>
        <w:numPr>
          <w:ilvl w:val="1"/>
          <w:numId w:val="6"/>
        </w:numPr>
        <w:ind w:firstLineChars="0"/>
        <w:rPr>
          <w:b/>
          <w:bCs/>
        </w:rPr>
      </w:pPr>
      <w:r>
        <w:rPr>
          <w:b/>
          <w:bCs/>
        </w:rPr>
        <w:t xml:space="preserve">In this case does the PDCP COUNT continue after the second </w:t>
      </w:r>
      <w:proofErr w:type="spellStart"/>
      <w:r>
        <w:rPr>
          <w:b/>
          <w:bCs/>
        </w:rPr>
        <w:t>RRCResume</w:t>
      </w:r>
      <w:proofErr w:type="spellEnd"/>
      <w:r>
        <w:rPr>
          <w:b/>
          <w:bCs/>
        </w:rPr>
        <w:t xml:space="preserve"> or will </w:t>
      </w:r>
      <w:r>
        <w:rPr>
          <w:b/>
          <w:bCs/>
        </w:rPr>
        <w:lastRenderedPageBreak/>
        <w:t xml:space="preserve">they be reset? </w:t>
      </w:r>
    </w:p>
    <w:p w14:paraId="0A64973A" w14:textId="05446AFC" w:rsidR="0042717C" w:rsidRDefault="0042717C" w:rsidP="0042717C">
      <w:pPr>
        <w:pStyle w:val="ListParagraph"/>
        <w:numPr>
          <w:ilvl w:val="1"/>
          <w:numId w:val="6"/>
        </w:numPr>
        <w:ind w:firstLineChars="0"/>
        <w:rPr>
          <w:b/>
          <w:bCs/>
        </w:rPr>
      </w:pPr>
      <w:r>
        <w:rPr>
          <w:b/>
          <w:bCs/>
        </w:rPr>
        <w:t>If the PDCP COUNTs are reset, how to prevent reuse of same key with same count?</w:t>
      </w:r>
    </w:p>
    <w:p w14:paraId="500A45D7" w14:textId="77777777" w:rsidR="0042717C" w:rsidRDefault="0042717C" w:rsidP="0042717C">
      <w:pPr>
        <w:pStyle w:val="ListParagraph"/>
        <w:numPr>
          <w:ilvl w:val="1"/>
          <w:numId w:val="6"/>
        </w:numPr>
        <w:ind w:firstLineChars="0"/>
        <w:rPr>
          <w:b/>
          <w:bCs/>
        </w:rPr>
      </w:pPr>
      <w:r>
        <w:rPr>
          <w:b/>
          <w:bCs/>
        </w:rPr>
        <w:t xml:space="preserve">Inform RAN3 that a new procedure is needed (i.e., UE context response without including </w:t>
      </w:r>
      <w:proofErr w:type="spellStart"/>
      <w:r>
        <w:rPr>
          <w:b/>
          <w:bCs/>
        </w:rPr>
        <w:t>KgNB</w:t>
      </w:r>
      <w:proofErr w:type="spellEnd"/>
      <w:r>
        <w:rPr>
          <w:b/>
          <w:bCs/>
        </w:rPr>
        <w:t xml:space="preserve">) </w:t>
      </w:r>
    </w:p>
    <w:p w14:paraId="352624AB" w14:textId="77777777" w:rsidR="0042717C" w:rsidRDefault="0042717C" w:rsidP="0042717C">
      <w:pPr>
        <w:rPr>
          <w:b/>
          <w:bCs/>
        </w:rPr>
      </w:pPr>
      <w:r>
        <w:rPr>
          <w:b/>
          <w:bCs/>
        </w:rPr>
        <w:t xml:space="preserve">Proposal 5: In case of CCCH solution, RAN2 should discuss and agree one of the following options for routing of the second CCCH message: </w:t>
      </w:r>
    </w:p>
    <w:p w14:paraId="13598C9D" w14:textId="77777777" w:rsidR="0042717C" w:rsidRDefault="0042717C" w:rsidP="0042717C">
      <w:pPr>
        <w:pStyle w:val="ListParagraph"/>
        <w:numPr>
          <w:ilvl w:val="0"/>
          <w:numId w:val="6"/>
        </w:numPr>
        <w:ind w:firstLineChars="0"/>
        <w:rPr>
          <w:b/>
          <w:bCs/>
        </w:rPr>
      </w:pPr>
      <w:r>
        <w:rPr>
          <w:b/>
          <w:bCs/>
        </w:rPr>
        <w:t xml:space="preserve">Option 1: second CCCH message is also routed to the same anchor </w:t>
      </w:r>
      <w:proofErr w:type="spellStart"/>
      <w:r>
        <w:rPr>
          <w:b/>
          <w:bCs/>
        </w:rPr>
        <w:t>gNB</w:t>
      </w:r>
      <w:proofErr w:type="spellEnd"/>
      <w:r>
        <w:rPr>
          <w:b/>
          <w:bCs/>
        </w:rPr>
        <w:t xml:space="preserve"> (regardless of the anchor relocation or not)</w:t>
      </w:r>
    </w:p>
    <w:p w14:paraId="6D742A5D" w14:textId="77777777" w:rsidR="0042717C" w:rsidRDefault="0042717C" w:rsidP="0042717C">
      <w:pPr>
        <w:pStyle w:val="ListParagraph"/>
        <w:numPr>
          <w:ilvl w:val="0"/>
          <w:numId w:val="6"/>
        </w:numPr>
        <w:ind w:firstLineChars="0"/>
        <w:rPr>
          <w:b/>
          <w:bCs/>
        </w:rPr>
      </w:pPr>
      <w:r>
        <w:rPr>
          <w:b/>
          <w:bCs/>
        </w:rPr>
        <w:t xml:space="preserve">Option 2: second CCCH message is processed in the target </w:t>
      </w:r>
      <w:proofErr w:type="spellStart"/>
      <w:r>
        <w:rPr>
          <w:b/>
          <w:bCs/>
        </w:rPr>
        <w:t>gNB</w:t>
      </w:r>
      <w:proofErr w:type="spellEnd"/>
      <w:r>
        <w:rPr>
          <w:b/>
          <w:bCs/>
        </w:rPr>
        <w:t xml:space="preserve"> (regardless of the anchor relocation or not)</w:t>
      </w:r>
    </w:p>
    <w:p w14:paraId="1C8A2EFE" w14:textId="54DA8927" w:rsidR="0042717C" w:rsidRDefault="0042717C" w:rsidP="0042717C">
      <w:pPr>
        <w:pStyle w:val="ListParagraph"/>
        <w:numPr>
          <w:ilvl w:val="1"/>
          <w:numId w:val="6"/>
        </w:numPr>
        <w:ind w:firstLineChars="0"/>
        <w:rPr>
          <w:b/>
          <w:bCs/>
        </w:rPr>
      </w:pPr>
      <w:r>
        <w:rPr>
          <w:b/>
          <w:bCs/>
        </w:rPr>
        <w:t>RAN3 should be informed about the chosen option</w:t>
      </w:r>
    </w:p>
    <w:p w14:paraId="5C3B21D4" w14:textId="0C41DF32" w:rsidR="0042717C" w:rsidRPr="0042717C" w:rsidRDefault="0042717C" w:rsidP="0042717C">
      <w:pPr>
        <w:rPr>
          <w:b/>
          <w:bCs/>
          <w:u w:val="single"/>
        </w:rPr>
      </w:pPr>
      <w:r w:rsidRPr="0042717C">
        <w:rPr>
          <w:b/>
          <w:bCs/>
          <w:u w:val="single"/>
        </w:rPr>
        <w:t xml:space="preserve">Failure detection </w:t>
      </w:r>
      <w:r>
        <w:rPr>
          <w:b/>
          <w:bCs/>
          <w:u w:val="single"/>
        </w:rPr>
        <w:t>and</w:t>
      </w:r>
      <w:r w:rsidRPr="0042717C">
        <w:rPr>
          <w:b/>
          <w:bCs/>
          <w:u w:val="single"/>
        </w:rPr>
        <w:t xml:space="preserve"> handling</w:t>
      </w:r>
    </w:p>
    <w:p w14:paraId="7C398DD4" w14:textId="0B33C5E2" w:rsidR="0042717C" w:rsidRDefault="0042717C" w:rsidP="0042717C">
      <w:pPr>
        <w:rPr>
          <w:b/>
          <w:bCs/>
        </w:rPr>
      </w:pPr>
      <w:r>
        <w:rPr>
          <w:b/>
          <w:bCs/>
        </w:rPr>
        <w:t xml:space="preserve">Proposal 6: A new extended T319 like timer is used for failure detection and the value of this timer is configurable (up to 10 s) </w:t>
      </w:r>
    </w:p>
    <w:p w14:paraId="4702E9C3" w14:textId="77777777" w:rsidR="0042717C" w:rsidRDefault="0042717C" w:rsidP="0042717C">
      <w:pPr>
        <w:rPr>
          <w:b/>
          <w:bCs/>
        </w:rPr>
      </w:pPr>
      <w:r>
        <w:rPr>
          <w:b/>
          <w:bCs/>
        </w:rPr>
        <w:t xml:space="preserve">Proposal 7: If SA3 agrees to the reuse of NCC and I-RNTI in a different cell then the solution for cell reselection case works as follows: </w:t>
      </w:r>
    </w:p>
    <w:p w14:paraId="55CEBF78" w14:textId="77777777" w:rsidR="0042717C" w:rsidRDefault="0042717C" w:rsidP="0042717C">
      <w:pPr>
        <w:pStyle w:val="ListParagraph"/>
        <w:numPr>
          <w:ilvl w:val="0"/>
          <w:numId w:val="7"/>
        </w:numPr>
        <w:ind w:firstLineChars="0"/>
        <w:rPr>
          <w:b/>
          <w:bCs/>
        </w:rPr>
      </w:pPr>
      <w:r>
        <w:rPr>
          <w:b/>
          <w:bCs/>
        </w:rPr>
        <w:t xml:space="preserve">The </w:t>
      </w:r>
      <w:proofErr w:type="spellStart"/>
      <w:r>
        <w:rPr>
          <w:b/>
          <w:bCs/>
        </w:rPr>
        <w:t>RRCResumeRequest</w:t>
      </w:r>
      <w:proofErr w:type="spellEnd"/>
      <w:r>
        <w:rPr>
          <w:b/>
          <w:bCs/>
        </w:rPr>
        <w:t xml:space="preserve"> is routed to the old anchor </w:t>
      </w:r>
      <w:proofErr w:type="spellStart"/>
      <w:r>
        <w:rPr>
          <w:b/>
          <w:bCs/>
        </w:rPr>
        <w:t>gNB</w:t>
      </w:r>
      <w:proofErr w:type="spellEnd"/>
      <w:r>
        <w:rPr>
          <w:b/>
          <w:bCs/>
        </w:rPr>
        <w:t xml:space="preserve"> and the old anchor </w:t>
      </w:r>
      <w:proofErr w:type="spellStart"/>
      <w:r>
        <w:rPr>
          <w:b/>
          <w:bCs/>
        </w:rPr>
        <w:t>gNB</w:t>
      </w:r>
      <w:proofErr w:type="spellEnd"/>
      <w:r>
        <w:rPr>
          <w:b/>
          <w:bCs/>
        </w:rPr>
        <w:t xml:space="preserve"> shall be able to verify the UE and generate new keys irrespective of whether anchor relocation and path switch happens before in the SDT session – needs to be checked with RAN3</w:t>
      </w:r>
    </w:p>
    <w:p w14:paraId="7794526E" w14:textId="77777777" w:rsidR="0042717C" w:rsidRDefault="0042717C" w:rsidP="0042717C">
      <w:pPr>
        <w:pStyle w:val="ListParagraph"/>
        <w:numPr>
          <w:ilvl w:val="0"/>
          <w:numId w:val="7"/>
        </w:numPr>
        <w:ind w:firstLineChars="0"/>
        <w:rPr>
          <w:b/>
          <w:bCs/>
        </w:rPr>
      </w:pPr>
      <w:r>
        <w:rPr>
          <w:b/>
          <w:bCs/>
        </w:rPr>
        <w:t xml:space="preserve">The new key is derived for the new cell (using the same NCC and the </w:t>
      </w:r>
      <w:proofErr w:type="spellStart"/>
      <w:r>
        <w:rPr>
          <w:b/>
          <w:bCs/>
        </w:rPr>
        <w:t>KgNB</w:t>
      </w:r>
      <w:proofErr w:type="spellEnd"/>
      <w:r>
        <w:rPr>
          <w:b/>
          <w:bCs/>
        </w:rPr>
        <w:t xml:space="preserve"> in the stored UE inactive context, but using new PCI/ARFCN)</w:t>
      </w:r>
    </w:p>
    <w:p w14:paraId="102B3F20" w14:textId="77777777" w:rsidR="0042717C" w:rsidRDefault="0042717C" w:rsidP="0042717C">
      <w:pPr>
        <w:pStyle w:val="ListParagraph"/>
        <w:numPr>
          <w:ilvl w:val="0"/>
          <w:numId w:val="7"/>
        </w:numPr>
        <w:ind w:firstLineChars="0"/>
        <w:rPr>
          <w:b/>
          <w:bCs/>
        </w:rPr>
      </w:pPr>
      <w:r>
        <w:rPr>
          <w:b/>
          <w:bCs/>
        </w:rPr>
        <w:t>PDCP based recovery mechanism is used to recover the lost/unacknowledged data whilst the UE Stays in RRC_INACTIVE state</w:t>
      </w:r>
    </w:p>
    <w:p w14:paraId="07B91856" w14:textId="2C205742" w:rsidR="0042717C" w:rsidRPr="0042717C" w:rsidRDefault="0042717C" w:rsidP="0042717C">
      <w:pPr>
        <w:rPr>
          <w:b/>
          <w:bCs/>
          <w:u w:val="single"/>
        </w:rPr>
      </w:pPr>
      <w:r>
        <w:rPr>
          <w:b/>
          <w:bCs/>
          <w:u w:val="single"/>
        </w:rPr>
        <w:t>RRC-less aspects</w:t>
      </w:r>
    </w:p>
    <w:p w14:paraId="66215729" w14:textId="561C486B" w:rsidR="0042717C" w:rsidRDefault="0042717C" w:rsidP="0042717C">
      <w:pPr>
        <w:rPr>
          <w:b/>
          <w:bCs/>
        </w:rPr>
      </w:pPr>
      <w:r>
        <w:rPr>
          <w:b/>
          <w:bCs/>
        </w:rPr>
        <w:t>Proposal 8: RAN2 should continue to focus on RRC-based solution in Rel-17 for SDT (i.e., the RRC-based SDT)</w:t>
      </w:r>
    </w:p>
    <w:p w14:paraId="2819A400" w14:textId="77777777" w:rsidR="0042717C" w:rsidRDefault="0042717C" w:rsidP="0042717C">
      <w:pPr>
        <w:rPr>
          <w:b/>
          <w:bCs/>
        </w:rPr>
      </w:pPr>
      <w:r>
        <w:rPr>
          <w:b/>
          <w:bCs/>
        </w:rPr>
        <w:t xml:space="preserve">Proposal 9: RAN2 should only consider RRC-less solution if time is left after specifying RRC-based solution and in this case, the RRC-less solution should adopt the same security and UAC framework as in RRC-based solution and ensure that network is in control of state transitions (i.e., UE shall be able to receive an RRC message in DL even if there is no RRC message included in the first UL message). </w:t>
      </w:r>
    </w:p>
    <w:p w14:paraId="12A8AFC2" w14:textId="77777777" w:rsidR="008327D8" w:rsidRDefault="003D0F9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6" w:name="_Toc18413612"/>
      <w:bookmarkStart w:id="7" w:name="_Toc18404543"/>
      <w:bookmarkStart w:id="8" w:name="_Toc18403976"/>
      <w:r>
        <w:rPr>
          <w:rFonts w:cs="Arial"/>
          <w:b w:val="0"/>
          <w:bCs w:val="0"/>
          <w:kern w:val="0"/>
          <w:sz w:val="32"/>
          <w:szCs w:val="36"/>
        </w:rPr>
        <w:lastRenderedPageBreak/>
        <w:t>References</w:t>
      </w:r>
      <w:bookmarkEnd w:id="6"/>
      <w:bookmarkEnd w:id="7"/>
      <w:bookmarkEnd w:id="8"/>
    </w:p>
    <w:p w14:paraId="6C6B69BC" w14:textId="77777777" w:rsidR="008327D8" w:rsidRDefault="003D0F93">
      <w:pPr>
        <w:pStyle w:val="NormalWeb"/>
        <w:numPr>
          <w:ilvl w:val="0"/>
          <w:numId w:val="11"/>
        </w:numPr>
        <w:spacing w:before="75" w:beforeAutospacing="0" w:after="75" w:afterAutospacing="0" w:line="315" w:lineRule="atLeast"/>
        <w:rPr>
          <w:rFonts w:cs="Arial"/>
          <w:color w:val="000000"/>
          <w:sz w:val="21"/>
        </w:rPr>
      </w:pPr>
      <w:bookmarkStart w:id="9" w:name="_Ref71209174"/>
      <w:r>
        <w:rPr>
          <w:rFonts w:cs="Arial"/>
          <w:color w:val="000000"/>
          <w:sz w:val="21"/>
        </w:rPr>
        <w:t>R2-2104204</w:t>
      </w:r>
      <w:r>
        <w:rPr>
          <w:rFonts w:cs="Arial"/>
          <w:color w:val="000000"/>
          <w:sz w:val="21"/>
        </w:rPr>
        <w:tab/>
        <w:t>Resuming non-SDT RBs and indication</w:t>
      </w:r>
      <w:r>
        <w:rPr>
          <w:rFonts w:cs="Arial"/>
          <w:color w:val="000000"/>
          <w:sz w:val="21"/>
        </w:rPr>
        <w:tab/>
        <w:t>LG Electronics Inc.</w:t>
      </w:r>
      <w:r>
        <w:rPr>
          <w:rFonts w:cs="Arial"/>
          <w:color w:val="000000"/>
          <w:sz w:val="21"/>
        </w:rPr>
        <w:tab/>
        <w:t>RAN2#113bis-e</w:t>
      </w:r>
      <w:bookmarkEnd w:id="9"/>
    </w:p>
    <w:p w14:paraId="6FC43D57" w14:textId="77777777" w:rsidR="008327D8" w:rsidRDefault="008327D8">
      <w:pPr>
        <w:pStyle w:val="NormalWeb"/>
        <w:spacing w:before="75" w:beforeAutospacing="0" w:after="75" w:afterAutospacing="0" w:line="315" w:lineRule="atLeast"/>
        <w:rPr>
          <w:rFonts w:cs="Arial"/>
          <w:color w:val="000000"/>
          <w:sz w:val="21"/>
        </w:rPr>
      </w:pPr>
    </w:p>
    <w:sectPr w:rsidR="008327D8">
      <w:headerReference w:type="even" r:id="rId11"/>
      <w:headerReference w:type="default" r:id="rId12"/>
      <w:footerReference w:type="even" r:id="rId13"/>
      <w:footerReference w:type="default" r:id="rId14"/>
      <w:headerReference w:type="first" r:id="rId15"/>
      <w:footerReference w:type="first" r:id="rId16"/>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9710D" w14:textId="77777777" w:rsidR="00727E90" w:rsidRDefault="00727E90">
      <w:pPr>
        <w:spacing w:after="0" w:line="240" w:lineRule="auto"/>
      </w:pPr>
      <w:r>
        <w:separator/>
      </w:r>
    </w:p>
  </w:endnote>
  <w:endnote w:type="continuationSeparator" w:id="0">
    <w:p w14:paraId="07E54FAE" w14:textId="77777777" w:rsidR="00727E90" w:rsidRDefault="00727E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STFangsong">
    <w:altName w:val="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201A" w14:textId="77777777" w:rsidR="008327D8" w:rsidRDefault="003D0F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0076BD" w14:textId="77777777" w:rsidR="008327D8" w:rsidRDefault="008327D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9E5AF" w14:textId="77777777" w:rsidR="008327D8" w:rsidRDefault="008327D8">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CC8E5" w14:textId="77777777" w:rsidR="00361D03" w:rsidRDefault="00361D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4B6B1" w14:textId="77777777" w:rsidR="00727E90" w:rsidRDefault="00727E90">
      <w:pPr>
        <w:spacing w:after="0" w:line="240" w:lineRule="auto"/>
      </w:pPr>
      <w:r>
        <w:separator/>
      </w:r>
    </w:p>
  </w:footnote>
  <w:footnote w:type="continuationSeparator" w:id="0">
    <w:p w14:paraId="3F0991F6" w14:textId="77777777" w:rsidR="00727E90" w:rsidRDefault="00727E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03B52" w14:textId="77777777" w:rsidR="00361D03" w:rsidRDefault="00361D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60E42" w14:textId="77777777" w:rsidR="008327D8" w:rsidRDefault="008327D8">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4DC4C" w14:textId="77777777" w:rsidR="00361D03" w:rsidRDefault="00361D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F9217EE"/>
    <w:multiLevelType w:val="multilevel"/>
    <w:tmpl w:val="0F9217EE"/>
    <w:lvl w:ilvl="0">
      <w:start w:val="5"/>
      <w:numFmt w:val="bullet"/>
      <w:lvlText w:val="-"/>
      <w:lvlJc w:val="left"/>
      <w:pPr>
        <w:ind w:left="780" w:hanging="360"/>
      </w:pPr>
      <w:rPr>
        <w:rFonts w:ascii="Arial" w:eastAsiaTheme="minorEastAsia" w:hAnsi="Arial" w:cs="Aria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 w15:restartNumberingAfterBreak="0">
    <w:nsid w:val="16FE4497"/>
    <w:multiLevelType w:val="multilevel"/>
    <w:tmpl w:val="16FE44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B354846"/>
    <w:multiLevelType w:val="multilevel"/>
    <w:tmpl w:val="2B35484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097118F"/>
    <w:multiLevelType w:val="multilevel"/>
    <w:tmpl w:val="4097118F"/>
    <w:lvl w:ilvl="0">
      <w:start w:val="6"/>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775B20E2"/>
    <w:multiLevelType w:val="multilevel"/>
    <w:tmpl w:val="775B20E2"/>
    <w:lvl w:ilvl="0">
      <w:start w:val="7"/>
      <w:numFmt w:val="bullet"/>
      <w:lvlText w:val="-"/>
      <w:lvlJc w:val="left"/>
      <w:pPr>
        <w:ind w:left="360" w:hanging="360"/>
      </w:pPr>
      <w:rPr>
        <w:rFonts w:ascii="Arial" w:eastAsiaTheme="min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1"/>
  </w:num>
  <w:num w:numId="6">
    <w:abstractNumId w:val="2"/>
  </w:num>
  <w:num w:numId="7">
    <w:abstractNumId w:val="7"/>
  </w:num>
  <w:num w:numId="8">
    <w:abstractNumId w:val="3"/>
  </w:num>
  <w:num w:numId="9">
    <w:abstractNumId w:val="4"/>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024"/>
    <w:rsid w:val="0001674A"/>
    <w:rsid w:val="00017BA5"/>
    <w:rsid w:val="00021259"/>
    <w:rsid w:val="00021359"/>
    <w:rsid w:val="000223BE"/>
    <w:rsid w:val="000248FC"/>
    <w:rsid w:val="00024E29"/>
    <w:rsid w:val="0002660A"/>
    <w:rsid w:val="00026899"/>
    <w:rsid w:val="0002698B"/>
    <w:rsid w:val="0002709F"/>
    <w:rsid w:val="00027EEC"/>
    <w:rsid w:val="00030099"/>
    <w:rsid w:val="00035A1E"/>
    <w:rsid w:val="00035EF9"/>
    <w:rsid w:val="00037973"/>
    <w:rsid w:val="00040A63"/>
    <w:rsid w:val="0004105F"/>
    <w:rsid w:val="00042E6F"/>
    <w:rsid w:val="00043923"/>
    <w:rsid w:val="00043FCA"/>
    <w:rsid w:val="00044EB3"/>
    <w:rsid w:val="00045EDE"/>
    <w:rsid w:val="00046E3D"/>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80F"/>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119B"/>
    <w:rsid w:val="000A204F"/>
    <w:rsid w:val="000A22DF"/>
    <w:rsid w:val="000A2A28"/>
    <w:rsid w:val="000A2D0A"/>
    <w:rsid w:val="000A3A4E"/>
    <w:rsid w:val="000A53F5"/>
    <w:rsid w:val="000A68DC"/>
    <w:rsid w:val="000B0495"/>
    <w:rsid w:val="000B21DA"/>
    <w:rsid w:val="000B25A2"/>
    <w:rsid w:val="000B2A5C"/>
    <w:rsid w:val="000B2C9E"/>
    <w:rsid w:val="000B3108"/>
    <w:rsid w:val="000B31AA"/>
    <w:rsid w:val="000B38F6"/>
    <w:rsid w:val="000B4B76"/>
    <w:rsid w:val="000B6418"/>
    <w:rsid w:val="000B65CB"/>
    <w:rsid w:val="000B7001"/>
    <w:rsid w:val="000B780E"/>
    <w:rsid w:val="000B7BA4"/>
    <w:rsid w:val="000C236D"/>
    <w:rsid w:val="000C2690"/>
    <w:rsid w:val="000C364E"/>
    <w:rsid w:val="000C4F79"/>
    <w:rsid w:val="000C5D4C"/>
    <w:rsid w:val="000C6FF6"/>
    <w:rsid w:val="000C7FC7"/>
    <w:rsid w:val="000D18C5"/>
    <w:rsid w:val="000D2BF9"/>
    <w:rsid w:val="000D46DC"/>
    <w:rsid w:val="000E1125"/>
    <w:rsid w:val="000E1993"/>
    <w:rsid w:val="000E1EF3"/>
    <w:rsid w:val="000E38C6"/>
    <w:rsid w:val="000E3B8A"/>
    <w:rsid w:val="000F0A49"/>
    <w:rsid w:val="000F0A7B"/>
    <w:rsid w:val="000F0AC3"/>
    <w:rsid w:val="000F2AE2"/>
    <w:rsid w:val="000F4CFF"/>
    <w:rsid w:val="000F78FD"/>
    <w:rsid w:val="00100030"/>
    <w:rsid w:val="00111739"/>
    <w:rsid w:val="00111C96"/>
    <w:rsid w:val="00111CE0"/>
    <w:rsid w:val="00111DF0"/>
    <w:rsid w:val="00112FA5"/>
    <w:rsid w:val="001135C5"/>
    <w:rsid w:val="00114117"/>
    <w:rsid w:val="001147C0"/>
    <w:rsid w:val="001156D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5AFF"/>
    <w:rsid w:val="00145B62"/>
    <w:rsid w:val="00147740"/>
    <w:rsid w:val="00150BAB"/>
    <w:rsid w:val="00160A40"/>
    <w:rsid w:val="00162611"/>
    <w:rsid w:val="001627D9"/>
    <w:rsid w:val="00170667"/>
    <w:rsid w:val="00170C6A"/>
    <w:rsid w:val="00171AD5"/>
    <w:rsid w:val="00171FF9"/>
    <w:rsid w:val="0017245C"/>
    <w:rsid w:val="00175677"/>
    <w:rsid w:val="00175874"/>
    <w:rsid w:val="00175B74"/>
    <w:rsid w:val="001761E3"/>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41E0"/>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2013C9"/>
    <w:rsid w:val="00201FFE"/>
    <w:rsid w:val="00202C4B"/>
    <w:rsid w:val="00203B88"/>
    <w:rsid w:val="00206380"/>
    <w:rsid w:val="002155FA"/>
    <w:rsid w:val="00215E50"/>
    <w:rsid w:val="00216E24"/>
    <w:rsid w:val="002176DE"/>
    <w:rsid w:val="002177BC"/>
    <w:rsid w:val="00217C8F"/>
    <w:rsid w:val="00223B64"/>
    <w:rsid w:val="00224BF7"/>
    <w:rsid w:val="0023029F"/>
    <w:rsid w:val="00231281"/>
    <w:rsid w:val="00231DC2"/>
    <w:rsid w:val="002333B7"/>
    <w:rsid w:val="002344F2"/>
    <w:rsid w:val="00235BBC"/>
    <w:rsid w:val="002368E4"/>
    <w:rsid w:val="00241832"/>
    <w:rsid w:val="002435BA"/>
    <w:rsid w:val="00244D42"/>
    <w:rsid w:val="00246FFA"/>
    <w:rsid w:val="00247076"/>
    <w:rsid w:val="00247683"/>
    <w:rsid w:val="00252B94"/>
    <w:rsid w:val="00254410"/>
    <w:rsid w:val="00255974"/>
    <w:rsid w:val="00255E19"/>
    <w:rsid w:val="00256C2E"/>
    <w:rsid w:val="00257233"/>
    <w:rsid w:val="00260716"/>
    <w:rsid w:val="0026193E"/>
    <w:rsid w:val="00261A9C"/>
    <w:rsid w:val="00261E11"/>
    <w:rsid w:val="00262518"/>
    <w:rsid w:val="00263A3D"/>
    <w:rsid w:val="00264137"/>
    <w:rsid w:val="00264908"/>
    <w:rsid w:val="00265438"/>
    <w:rsid w:val="0027030C"/>
    <w:rsid w:val="00270A1C"/>
    <w:rsid w:val="00271ED8"/>
    <w:rsid w:val="002730ED"/>
    <w:rsid w:val="00274493"/>
    <w:rsid w:val="00274A71"/>
    <w:rsid w:val="00277301"/>
    <w:rsid w:val="00281718"/>
    <w:rsid w:val="00282A2B"/>
    <w:rsid w:val="002843CF"/>
    <w:rsid w:val="002855D0"/>
    <w:rsid w:val="00290E18"/>
    <w:rsid w:val="002910B9"/>
    <w:rsid w:val="00291D54"/>
    <w:rsid w:val="00293A6E"/>
    <w:rsid w:val="002961E6"/>
    <w:rsid w:val="00297A88"/>
    <w:rsid w:val="002A6D0A"/>
    <w:rsid w:val="002B06EA"/>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708B"/>
    <w:rsid w:val="002D00AA"/>
    <w:rsid w:val="002D044D"/>
    <w:rsid w:val="002D0F0A"/>
    <w:rsid w:val="002D349F"/>
    <w:rsid w:val="002D35FA"/>
    <w:rsid w:val="002D3797"/>
    <w:rsid w:val="002D37AB"/>
    <w:rsid w:val="002D4F4B"/>
    <w:rsid w:val="002D6461"/>
    <w:rsid w:val="002D650F"/>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74DC"/>
    <w:rsid w:val="00300EE0"/>
    <w:rsid w:val="003031CE"/>
    <w:rsid w:val="00304852"/>
    <w:rsid w:val="00305358"/>
    <w:rsid w:val="00305F11"/>
    <w:rsid w:val="0030650B"/>
    <w:rsid w:val="00307396"/>
    <w:rsid w:val="003110B2"/>
    <w:rsid w:val="00312067"/>
    <w:rsid w:val="00312C1A"/>
    <w:rsid w:val="00312DD1"/>
    <w:rsid w:val="00313308"/>
    <w:rsid w:val="003144CA"/>
    <w:rsid w:val="00317063"/>
    <w:rsid w:val="003171FD"/>
    <w:rsid w:val="00321077"/>
    <w:rsid w:val="003213D2"/>
    <w:rsid w:val="00322A09"/>
    <w:rsid w:val="00322EDB"/>
    <w:rsid w:val="0032502D"/>
    <w:rsid w:val="003268BB"/>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4541"/>
    <w:rsid w:val="00385C87"/>
    <w:rsid w:val="00387F14"/>
    <w:rsid w:val="00391402"/>
    <w:rsid w:val="00391F87"/>
    <w:rsid w:val="003922AD"/>
    <w:rsid w:val="00393338"/>
    <w:rsid w:val="00394FC5"/>
    <w:rsid w:val="00395A59"/>
    <w:rsid w:val="00396952"/>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C7"/>
    <w:rsid w:val="003D0EF8"/>
    <w:rsid w:val="003D0F93"/>
    <w:rsid w:val="003D1455"/>
    <w:rsid w:val="003D2B72"/>
    <w:rsid w:val="003D42C7"/>
    <w:rsid w:val="003D62B1"/>
    <w:rsid w:val="003D7765"/>
    <w:rsid w:val="003E1518"/>
    <w:rsid w:val="003E1AAD"/>
    <w:rsid w:val="003E2FC9"/>
    <w:rsid w:val="003E41F4"/>
    <w:rsid w:val="003E42F6"/>
    <w:rsid w:val="003E48E7"/>
    <w:rsid w:val="003E6BF7"/>
    <w:rsid w:val="003E7C95"/>
    <w:rsid w:val="003E7D68"/>
    <w:rsid w:val="003F1437"/>
    <w:rsid w:val="003F3365"/>
    <w:rsid w:val="003F39E3"/>
    <w:rsid w:val="003F448B"/>
    <w:rsid w:val="003F58F6"/>
    <w:rsid w:val="003F6316"/>
    <w:rsid w:val="003F75E0"/>
    <w:rsid w:val="004006A5"/>
    <w:rsid w:val="00401149"/>
    <w:rsid w:val="00402720"/>
    <w:rsid w:val="00402985"/>
    <w:rsid w:val="00406593"/>
    <w:rsid w:val="004069AC"/>
    <w:rsid w:val="004069B2"/>
    <w:rsid w:val="0040782D"/>
    <w:rsid w:val="00410408"/>
    <w:rsid w:val="004104EC"/>
    <w:rsid w:val="004112A9"/>
    <w:rsid w:val="00411FDA"/>
    <w:rsid w:val="00413229"/>
    <w:rsid w:val="00413D6F"/>
    <w:rsid w:val="004146A6"/>
    <w:rsid w:val="004150C6"/>
    <w:rsid w:val="004156C6"/>
    <w:rsid w:val="004214B5"/>
    <w:rsid w:val="004228A3"/>
    <w:rsid w:val="004229AC"/>
    <w:rsid w:val="00423D3B"/>
    <w:rsid w:val="004245A3"/>
    <w:rsid w:val="00424A48"/>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7C38"/>
    <w:rsid w:val="0046088D"/>
    <w:rsid w:val="00460FF4"/>
    <w:rsid w:val="00461175"/>
    <w:rsid w:val="00462A87"/>
    <w:rsid w:val="00462F02"/>
    <w:rsid w:val="00466EDC"/>
    <w:rsid w:val="00467368"/>
    <w:rsid w:val="00467D25"/>
    <w:rsid w:val="00470697"/>
    <w:rsid w:val="004727D9"/>
    <w:rsid w:val="0047305C"/>
    <w:rsid w:val="0047403A"/>
    <w:rsid w:val="00474161"/>
    <w:rsid w:val="004742B2"/>
    <w:rsid w:val="00474C36"/>
    <w:rsid w:val="00475E38"/>
    <w:rsid w:val="004779B8"/>
    <w:rsid w:val="0048006F"/>
    <w:rsid w:val="00482BBB"/>
    <w:rsid w:val="00483389"/>
    <w:rsid w:val="00485114"/>
    <w:rsid w:val="00485594"/>
    <w:rsid w:val="00485AE4"/>
    <w:rsid w:val="00486111"/>
    <w:rsid w:val="0049176F"/>
    <w:rsid w:val="00492EA5"/>
    <w:rsid w:val="00493038"/>
    <w:rsid w:val="00493247"/>
    <w:rsid w:val="00494981"/>
    <w:rsid w:val="00495E19"/>
    <w:rsid w:val="0049613E"/>
    <w:rsid w:val="0049650D"/>
    <w:rsid w:val="00497D20"/>
    <w:rsid w:val="004A0053"/>
    <w:rsid w:val="004A014A"/>
    <w:rsid w:val="004A0572"/>
    <w:rsid w:val="004A1051"/>
    <w:rsid w:val="004A1B41"/>
    <w:rsid w:val="004A2687"/>
    <w:rsid w:val="004A402F"/>
    <w:rsid w:val="004A61A5"/>
    <w:rsid w:val="004B0FE8"/>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F10CA"/>
    <w:rsid w:val="004F4675"/>
    <w:rsid w:val="004F557E"/>
    <w:rsid w:val="00501570"/>
    <w:rsid w:val="005017DA"/>
    <w:rsid w:val="00501E2B"/>
    <w:rsid w:val="00502A6C"/>
    <w:rsid w:val="0050411A"/>
    <w:rsid w:val="005059C3"/>
    <w:rsid w:val="0050619E"/>
    <w:rsid w:val="005069E2"/>
    <w:rsid w:val="00506B0D"/>
    <w:rsid w:val="00506BCB"/>
    <w:rsid w:val="0050714A"/>
    <w:rsid w:val="0051029C"/>
    <w:rsid w:val="00511342"/>
    <w:rsid w:val="005119F4"/>
    <w:rsid w:val="005146EB"/>
    <w:rsid w:val="005153FD"/>
    <w:rsid w:val="00515E56"/>
    <w:rsid w:val="005160E0"/>
    <w:rsid w:val="00520FA3"/>
    <w:rsid w:val="005214BE"/>
    <w:rsid w:val="005219AA"/>
    <w:rsid w:val="00522736"/>
    <w:rsid w:val="00522F3B"/>
    <w:rsid w:val="00525585"/>
    <w:rsid w:val="00525811"/>
    <w:rsid w:val="00525BAC"/>
    <w:rsid w:val="0052657B"/>
    <w:rsid w:val="00530E1D"/>
    <w:rsid w:val="00532B61"/>
    <w:rsid w:val="00534869"/>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95BE7"/>
    <w:rsid w:val="00597D15"/>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42AD"/>
    <w:rsid w:val="005F4A5E"/>
    <w:rsid w:val="005F4F6B"/>
    <w:rsid w:val="005F56A6"/>
    <w:rsid w:val="005F6041"/>
    <w:rsid w:val="005F7314"/>
    <w:rsid w:val="005F7E99"/>
    <w:rsid w:val="00601081"/>
    <w:rsid w:val="006012C6"/>
    <w:rsid w:val="00603239"/>
    <w:rsid w:val="0060473D"/>
    <w:rsid w:val="006053DC"/>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356C"/>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21E7"/>
    <w:rsid w:val="0065579F"/>
    <w:rsid w:val="0065726E"/>
    <w:rsid w:val="006608AE"/>
    <w:rsid w:val="00670351"/>
    <w:rsid w:val="006706AA"/>
    <w:rsid w:val="006718B7"/>
    <w:rsid w:val="00673154"/>
    <w:rsid w:val="006746B2"/>
    <w:rsid w:val="0067540D"/>
    <w:rsid w:val="00682047"/>
    <w:rsid w:val="0068365D"/>
    <w:rsid w:val="0068376C"/>
    <w:rsid w:val="0068430C"/>
    <w:rsid w:val="00685237"/>
    <w:rsid w:val="006852A4"/>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36F2"/>
    <w:rsid w:val="006A451F"/>
    <w:rsid w:val="006A5402"/>
    <w:rsid w:val="006A67C2"/>
    <w:rsid w:val="006A6A31"/>
    <w:rsid w:val="006B0BCD"/>
    <w:rsid w:val="006B0C35"/>
    <w:rsid w:val="006B0CBE"/>
    <w:rsid w:val="006B0EB4"/>
    <w:rsid w:val="006B1340"/>
    <w:rsid w:val="006B1969"/>
    <w:rsid w:val="006B2F1E"/>
    <w:rsid w:val="006B3DD7"/>
    <w:rsid w:val="006B48F1"/>
    <w:rsid w:val="006B55B7"/>
    <w:rsid w:val="006B5887"/>
    <w:rsid w:val="006B77ED"/>
    <w:rsid w:val="006C2D21"/>
    <w:rsid w:val="006C3795"/>
    <w:rsid w:val="006C60A2"/>
    <w:rsid w:val="006C60B2"/>
    <w:rsid w:val="006C6193"/>
    <w:rsid w:val="006C7119"/>
    <w:rsid w:val="006D0533"/>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4BC7"/>
    <w:rsid w:val="007051AF"/>
    <w:rsid w:val="00705EF4"/>
    <w:rsid w:val="00705FA1"/>
    <w:rsid w:val="00706BB1"/>
    <w:rsid w:val="00707E83"/>
    <w:rsid w:val="00711E45"/>
    <w:rsid w:val="00715037"/>
    <w:rsid w:val="007165B5"/>
    <w:rsid w:val="007165BE"/>
    <w:rsid w:val="007200FA"/>
    <w:rsid w:val="00723530"/>
    <w:rsid w:val="00723EFA"/>
    <w:rsid w:val="00725C56"/>
    <w:rsid w:val="00725CC4"/>
    <w:rsid w:val="00726958"/>
    <w:rsid w:val="00727D4D"/>
    <w:rsid w:val="00727E90"/>
    <w:rsid w:val="00731322"/>
    <w:rsid w:val="00731E30"/>
    <w:rsid w:val="00732345"/>
    <w:rsid w:val="007336EA"/>
    <w:rsid w:val="00733A47"/>
    <w:rsid w:val="00733B79"/>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97EE2"/>
    <w:rsid w:val="007A053E"/>
    <w:rsid w:val="007A21A1"/>
    <w:rsid w:val="007A2A69"/>
    <w:rsid w:val="007A47D8"/>
    <w:rsid w:val="007A5DA3"/>
    <w:rsid w:val="007A5F9C"/>
    <w:rsid w:val="007A6821"/>
    <w:rsid w:val="007B0474"/>
    <w:rsid w:val="007B055F"/>
    <w:rsid w:val="007B0BAC"/>
    <w:rsid w:val="007B0E70"/>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5A25"/>
    <w:rsid w:val="007D5A65"/>
    <w:rsid w:val="007D79D8"/>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064A"/>
    <w:rsid w:val="008013CA"/>
    <w:rsid w:val="00802795"/>
    <w:rsid w:val="008056CF"/>
    <w:rsid w:val="00806C7C"/>
    <w:rsid w:val="0080728E"/>
    <w:rsid w:val="0081138F"/>
    <w:rsid w:val="00814945"/>
    <w:rsid w:val="00814985"/>
    <w:rsid w:val="0081500E"/>
    <w:rsid w:val="008160BF"/>
    <w:rsid w:val="00816F96"/>
    <w:rsid w:val="008170EC"/>
    <w:rsid w:val="008175D4"/>
    <w:rsid w:val="008219AF"/>
    <w:rsid w:val="00823AF8"/>
    <w:rsid w:val="008267CB"/>
    <w:rsid w:val="00827512"/>
    <w:rsid w:val="008327D8"/>
    <w:rsid w:val="00835356"/>
    <w:rsid w:val="00836D5A"/>
    <w:rsid w:val="00837770"/>
    <w:rsid w:val="0083795A"/>
    <w:rsid w:val="00837C9F"/>
    <w:rsid w:val="00841883"/>
    <w:rsid w:val="00841B23"/>
    <w:rsid w:val="00842068"/>
    <w:rsid w:val="00843379"/>
    <w:rsid w:val="008436F0"/>
    <w:rsid w:val="00843DAA"/>
    <w:rsid w:val="00843F40"/>
    <w:rsid w:val="008444BE"/>
    <w:rsid w:val="00845897"/>
    <w:rsid w:val="008465AA"/>
    <w:rsid w:val="008505B6"/>
    <w:rsid w:val="00850AD1"/>
    <w:rsid w:val="00851A3E"/>
    <w:rsid w:val="00851C79"/>
    <w:rsid w:val="00852259"/>
    <w:rsid w:val="0085338A"/>
    <w:rsid w:val="00853419"/>
    <w:rsid w:val="00855CBD"/>
    <w:rsid w:val="00856F99"/>
    <w:rsid w:val="0085789E"/>
    <w:rsid w:val="008609B3"/>
    <w:rsid w:val="00860FE6"/>
    <w:rsid w:val="00863940"/>
    <w:rsid w:val="00864140"/>
    <w:rsid w:val="008645A3"/>
    <w:rsid w:val="00864D17"/>
    <w:rsid w:val="008672AE"/>
    <w:rsid w:val="008702BF"/>
    <w:rsid w:val="008719DB"/>
    <w:rsid w:val="00871FA9"/>
    <w:rsid w:val="00872250"/>
    <w:rsid w:val="008731B8"/>
    <w:rsid w:val="00873D16"/>
    <w:rsid w:val="00875117"/>
    <w:rsid w:val="008757FA"/>
    <w:rsid w:val="008768D2"/>
    <w:rsid w:val="00880F6C"/>
    <w:rsid w:val="00881D74"/>
    <w:rsid w:val="0088223F"/>
    <w:rsid w:val="00884DAD"/>
    <w:rsid w:val="008850B6"/>
    <w:rsid w:val="008855E2"/>
    <w:rsid w:val="00885E69"/>
    <w:rsid w:val="00886521"/>
    <w:rsid w:val="00887BBB"/>
    <w:rsid w:val="00887F76"/>
    <w:rsid w:val="00891079"/>
    <w:rsid w:val="00891E8C"/>
    <w:rsid w:val="008937A3"/>
    <w:rsid w:val="0089509A"/>
    <w:rsid w:val="008A4FE1"/>
    <w:rsid w:val="008A5E28"/>
    <w:rsid w:val="008B0EAE"/>
    <w:rsid w:val="008B302A"/>
    <w:rsid w:val="008B4198"/>
    <w:rsid w:val="008B4609"/>
    <w:rsid w:val="008B725C"/>
    <w:rsid w:val="008C1D6D"/>
    <w:rsid w:val="008C3F98"/>
    <w:rsid w:val="008C594A"/>
    <w:rsid w:val="008D1DAC"/>
    <w:rsid w:val="008D23AF"/>
    <w:rsid w:val="008D3A05"/>
    <w:rsid w:val="008D3E0C"/>
    <w:rsid w:val="008D4A09"/>
    <w:rsid w:val="008D4DA1"/>
    <w:rsid w:val="008D5F9D"/>
    <w:rsid w:val="008D681A"/>
    <w:rsid w:val="008D6B1A"/>
    <w:rsid w:val="008D6D38"/>
    <w:rsid w:val="008D76FE"/>
    <w:rsid w:val="008E03F0"/>
    <w:rsid w:val="008E0617"/>
    <w:rsid w:val="008E2288"/>
    <w:rsid w:val="008E41AE"/>
    <w:rsid w:val="008E485D"/>
    <w:rsid w:val="008E5B71"/>
    <w:rsid w:val="008E705E"/>
    <w:rsid w:val="008F2453"/>
    <w:rsid w:val="008F34E9"/>
    <w:rsid w:val="008F6CDD"/>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51051"/>
    <w:rsid w:val="00952F6F"/>
    <w:rsid w:val="00954F42"/>
    <w:rsid w:val="00957172"/>
    <w:rsid w:val="009578D1"/>
    <w:rsid w:val="00957A33"/>
    <w:rsid w:val="0096003B"/>
    <w:rsid w:val="0096081E"/>
    <w:rsid w:val="0096137E"/>
    <w:rsid w:val="00961E92"/>
    <w:rsid w:val="0096459F"/>
    <w:rsid w:val="009647C5"/>
    <w:rsid w:val="0096604F"/>
    <w:rsid w:val="00966280"/>
    <w:rsid w:val="009663C5"/>
    <w:rsid w:val="009678FE"/>
    <w:rsid w:val="00971DDC"/>
    <w:rsid w:val="009737E4"/>
    <w:rsid w:val="009755AD"/>
    <w:rsid w:val="0097578C"/>
    <w:rsid w:val="009757E0"/>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DB8"/>
    <w:rsid w:val="009B4769"/>
    <w:rsid w:val="009B4FF0"/>
    <w:rsid w:val="009C2086"/>
    <w:rsid w:val="009C3006"/>
    <w:rsid w:val="009C5F91"/>
    <w:rsid w:val="009C7481"/>
    <w:rsid w:val="009D159F"/>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A03D3F"/>
    <w:rsid w:val="00A041F1"/>
    <w:rsid w:val="00A04BEB"/>
    <w:rsid w:val="00A04DE2"/>
    <w:rsid w:val="00A05412"/>
    <w:rsid w:val="00A117FD"/>
    <w:rsid w:val="00A11A20"/>
    <w:rsid w:val="00A11DFB"/>
    <w:rsid w:val="00A11F1E"/>
    <w:rsid w:val="00A13073"/>
    <w:rsid w:val="00A14BA5"/>
    <w:rsid w:val="00A14E89"/>
    <w:rsid w:val="00A15C80"/>
    <w:rsid w:val="00A15DA4"/>
    <w:rsid w:val="00A20607"/>
    <w:rsid w:val="00A20D0F"/>
    <w:rsid w:val="00A22250"/>
    <w:rsid w:val="00A2351E"/>
    <w:rsid w:val="00A2486B"/>
    <w:rsid w:val="00A25160"/>
    <w:rsid w:val="00A259B5"/>
    <w:rsid w:val="00A275B2"/>
    <w:rsid w:val="00A2769F"/>
    <w:rsid w:val="00A27E76"/>
    <w:rsid w:val="00A27F01"/>
    <w:rsid w:val="00A31A13"/>
    <w:rsid w:val="00A31A7B"/>
    <w:rsid w:val="00A323D7"/>
    <w:rsid w:val="00A32701"/>
    <w:rsid w:val="00A32A1D"/>
    <w:rsid w:val="00A330EB"/>
    <w:rsid w:val="00A334CC"/>
    <w:rsid w:val="00A34B44"/>
    <w:rsid w:val="00A40F4B"/>
    <w:rsid w:val="00A4263A"/>
    <w:rsid w:val="00A44BE1"/>
    <w:rsid w:val="00A4500D"/>
    <w:rsid w:val="00A504A8"/>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34B"/>
    <w:rsid w:val="00AB1D7B"/>
    <w:rsid w:val="00AB1EA3"/>
    <w:rsid w:val="00AB203B"/>
    <w:rsid w:val="00AB2492"/>
    <w:rsid w:val="00AB265A"/>
    <w:rsid w:val="00AB3399"/>
    <w:rsid w:val="00AB3D67"/>
    <w:rsid w:val="00AB6BB3"/>
    <w:rsid w:val="00AC4276"/>
    <w:rsid w:val="00AC464D"/>
    <w:rsid w:val="00AC51E8"/>
    <w:rsid w:val="00AC70FC"/>
    <w:rsid w:val="00AD03FA"/>
    <w:rsid w:val="00AD0CA9"/>
    <w:rsid w:val="00AD1C5F"/>
    <w:rsid w:val="00AD2407"/>
    <w:rsid w:val="00AD391F"/>
    <w:rsid w:val="00AD3D0C"/>
    <w:rsid w:val="00AD3E16"/>
    <w:rsid w:val="00AD5FBC"/>
    <w:rsid w:val="00AD6279"/>
    <w:rsid w:val="00AD62D8"/>
    <w:rsid w:val="00AD6B6A"/>
    <w:rsid w:val="00AD7273"/>
    <w:rsid w:val="00AE03D3"/>
    <w:rsid w:val="00AE5146"/>
    <w:rsid w:val="00AE55C5"/>
    <w:rsid w:val="00AE5A4F"/>
    <w:rsid w:val="00AE7B16"/>
    <w:rsid w:val="00AF0B65"/>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6C8"/>
    <w:rsid w:val="00B173DD"/>
    <w:rsid w:val="00B23532"/>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2A05"/>
    <w:rsid w:val="00B53EAE"/>
    <w:rsid w:val="00B55CF3"/>
    <w:rsid w:val="00B57187"/>
    <w:rsid w:val="00B57304"/>
    <w:rsid w:val="00B609A8"/>
    <w:rsid w:val="00B65BF6"/>
    <w:rsid w:val="00B670CE"/>
    <w:rsid w:val="00B67B79"/>
    <w:rsid w:val="00B67E74"/>
    <w:rsid w:val="00B716F8"/>
    <w:rsid w:val="00B74FDC"/>
    <w:rsid w:val="00B82234"/>
    <w:rsid w:val="00B8283E"/>
    <w:rsid w:val="00B832A6"/>
    <w:rsid w:val="00B837AA"/>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ABA"/>
    <w:rsid w:val="00BB4FEC"/>
    <w:rsid w:val="00BB65B1"/>
    <w:rsid w:val="00BB69D5"/>
    <w:rsid w:val="00BB6A3E"/>
    <w:rsid w:val="00BB7202"/>
    <w:rsid w:val="00BC03E1"/>
    <w:rsid w:val="00BC34F8"/>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3613"/>
    <w:rsid w:val="00BF37B7"/>
    <w:rsid w:val="00BF49A8"/>
    <w:rsid w:val="00BF5C82"/>
    <w:rsid w:val="00BF7A5E"/>
    <w:rsid w:val="00C0085D"/>
    <w:rsid w:val="00C00E47"/>
    <w:rsid w:val="00C010AA"/>
    <w:rsid w:val="00C013EF"/>
    <w:rsid w:val="00C02D2A"/>
    <w:rsid w:val="00C0358E"/>
    <w:rsid w:val="00C057BD"/>
    <w:rsid w:val="00C11D21"/>
    <w:rsid w:val="00C11EFC"/>
    <w:rsid w:val="00C1675F"/>
    <w:rsid w:val="00C2052B"/>
    <w:rsid w:val="00C21F2D"/>
    <w:rsid w:val="00C23439"/>
    <w:rsid w:val="00C27213"/>
    <w:rsid w:val="00C278C2"/>
    <w:rsid w:val="00C27BB8"/>
    <w:rsid w:val="00C3083D"/>
    <w:rsid w:val="00C32425"/>
    <w:rsid w:val="00C33DEA"/>
    <w:rsid w:val="00C35152"/>
    <w:rsid w:val="00C353D0"/>
    <w:rsid w:val="00C35AE1"/>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6F8"/>
    <w:rsid w:val="00C60E83"/>
    <w:rsid w:val="00C621A1"/>
    <w:rsid w:val="00C62A45"/>
    <w:rsid w:val="00C63153"/>
    <w:rsid w:val="00C63CB8"/>
    <w:rsid w:val="00C646F2"/>
    <w:rsid w:val="00C65327"/>
    <w:rsid w:val="00C67235"/>
    <w:rsid w:val="00C67382"/>
    <w:rsid w:val="00C72471"/>
    <w:rsid w:val="00C72A2D"/>
    <w:rsid w:val="00C72B4C"/>
    <w:rsid w:val="00C73ACB"/>
    <w:rsid w:val="00C7665D"/>
    <w:rsid w:val="00C8086B"/>
    <w:rsid w:val="00C82D97"/>
    <w:rsid w:val="00C84D14"/>
    <w:rsid w:val="00C91C45"/>
    <w:rsid w:val="00C9369C"/>
    <w:rsid w:val="00C93EDD"/>
    <w:rsid w:val="00C953EF"/>
    <w:rsid w:val="00C953F6"/>
    <w:rsid w:val="00C97FD3"/>
    <w:rsid w:val="00CA0363"/>
    <w:rsid w:val="00CA04F3"/>
    <w:rsid w:val="00CA06A4"/>
    <w:rsid w:val="00CA2343"/>
    <w:rsid w:val="00CA23A8"/>
    <w:rsid w:val="00CA501F"/>
    <w:rsid w:val="00CA59FA"/>
    <w:rsid w:val="00CA61CF"/>
    <w:rsid w:val="00CA749E"/>
    <w:rsid w:val="00CA759F"/>
    <w:rsid w:val="00CB0441"/>
    <w:rsid w:val="00CB08EB"/>
    <w:rsid w:val="00CB1749"/>
    <w:rsid w:val="00CB1A60"/>
    <w:rsid w:val="00CB3A9F"/>
    <w:rsid w:val="00CB447F"/>
    <w:rsid w:val="00CB5048"/>
    <w:rsid w:val="00CC10DA"/>
    <w:rsid w:val="00CC156D"/>
    <w:rsid w:val="00CC1CA4"/>
    <w:rsid w:val="00CC2929"/>
    <w:rsid w:val="00CC58C3"/>
    <w:rsid w:val="00CD16C7"/>
    <w:rsid w:val="00CD229F"/>
    <w:rsid w:val="00CD2E60"/>
    <w:rsid w:val="00CE2D1F"/>
    <w:rsid w:val="00CE316E"/>
    <w:rsid w:val="00CE3462"/>
    <w:rsid w:val="00CE52F0"/>
    <w:rsid w:val="00CE5686"/>
    <w:rsid w:val="00CE7389"/>
    <w:rsid w:val="00CF121A"/>
    <w:rsid w:val="00CF18A3"/>
    <w:rsid w:val="00CF356A"/>
    <w:rsid w:val="00CF4A61"/>
    <w:rsid w:val="00CF4B9A"/>
    <w:rsid w:val="00CF7088"/>
    <w:rsid w:val="00D0108B"/>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11EF"/>
    <w:rsid w:val="00D32D42"/>
    <w:rsid w:val="00D3390C"/>
    <w:rsid w:val="00D369E4"/>
    <w:rsid w:val="00D40723"/>
    <w:rsid w:val="00D41A51"/>
    <w:rsid w:val="00D42DFD"/>
    <w:rsid w:val="00D4448D"/>
    <w:rsid w:val="00D45E14"/>
    <w:rsid w:val="00D4755C"/>
    <w:rsid w:val="00D52834"/>
    <w:rsid w:val="00D544FE"/>
    <w:rsid w:val="00D5596F"/>
    <w:rsid w:val="00D55C96"/>
    <w:rsid w:val="00D56F3F"/>
    <w:rsid w:val="00D61F13"/>
    <w:rsid w:val="00D672D6"/>
    <w:rsid w:val="00D67D4A"/>
    <w:rsid w:val="00D70434"/>
    <w:rsid w:val="00D708A4"/>
    <w:rsid w:val="00D70B9D"/>
    <w:rsid w:val="00D72B46"/>
    <w:rsid w:val="00D73122"/>
    <w:rsid w:val="00D74606"/>
    <w:rsid w:val="00D749C7"/>
    <w:rsid w:val="00D75D2E"/>
    <w:rsid w:val="00D77EA3"/>
    <w:rsid w:val="00D806A3"/>
    <w:rsid w:val="00D81ABD"/>
    <w:rsid w:val="00D81BAC"/>
    <w:rsid w:val="00D82EE7"/>
    <w:rsid w:val="00D83149"/>
    <w:rsid w:val="00D83173"/>
    <w:rsid w:val="00D8380A"/>
    <w:rsid w:val="00D84ABB"/>
    <w:rsid w:val="00D85273"/>
    <w:rsid w:val="00D87AA7"/>
    <w:rsid w:val="00D90425"/>
    <w:rsid w:val="00D90CC5"/>
    <w:rsid w:val="00D92C6A"/>
    <w:rsid w:val="00D95330"/>
    <w:rsid w:val="00DA12AB"/>
    <w:rsid w:val="00DA1A93"/>
    <w:rsid w:val="00DA4303"/>
    <w:rsid w:val="00DA52B8"/>
    <w:rsid w:val="00DA7973"/>
    <w:rsid w:val="00DB3689"/>
    <w:rsid w:val="00DB3767"/>
    <w:rsid w:val="00DB39E0"/>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6492"/>
    <w:rsid w:val="00DE7200"/>
    <w:rsid w:val="00DF1E17"/>
    <w:rsid w:val="00DF365A"/>
    <w:rsid w:val="00DF4CBC"/>
    <w:rsid w:val="00DF5370"/>
    <w:rsid w:val="00DF7E4D"/>
    <w:rsid w:val="00E0032E"/>
    <w:rsid w:val="00E00DF4"/>
    <w:rsid w:val="00E0205D"/>
    <w:rsid w:val="00E0313E"/>
    <w:rsid w:val="00E0491A"/>
    <w:rsid w:val="00E0557E"/>
    <w:rsid w:val="00E1018A"/>
    <w:rsid w:val="00E120F4"/>
    <w:rsid w:val="00E136D8"/>
    <w:rsid w:val="00E148F6"/>
    <w:rsid w:val="00E153F6"/>
    <w:rsid w:val="00E15C4F"/>
    <w:rsid w:val="00E15F7E"/>
    <w:rsid w:val="00E173DF"/>
    <w:rsid w:val="00E235F9"/>
    <w:rsid w:val="00E248EB"/>
    <w:rsid w:val="00E2626C"/>
    <w:rsid w:val="00E27FC2"/>
    <w:rsid w:val="00E30B6B"/>
    <w:rsid w:val="00E31912"/>
    <w:rsid w:val="00E31B60"/>
    <w:rsid w:val="00E34D88"/>
    <w:rsid w:val="00E353DB"/>
    <w:rsid w:val="00E35D73"/>
    <w:rsid w:val="00E35FDD"/>
    <w:rsid w:val="00E36375"/>
    <w:rsid w:val="00E37A8B"/>
    <w:rsid w:val="00E40D48"/>
    <w:rsid w:val="00E40DBF"/>
    <w:rsid w:val="00E42C98"/>
    <w:rsid w:val="00E43798"/>
    <w:rsid w:val="00E43842"/>
    <w:rsid w:val="00E44765"/>
    <w:rsid w:val="00E468CA"/>
    <w:rsid w:val="00E47D3F"/>
    <w:rsid w:val="00E505FB"/>
    <w:rsid w:val="00E50ED3"/>
    <w:rsid w:val="00E521EE"/>
    <w:rsid w:val="00E54BA6"/>
    <w:rsid w:val="00E6166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53FB"/>
    <w:rsid w:val="00E854F8"/>
    <w:rsid w:val="00E85E3C"/>
    <w:rsid w:val="00E87822"/>
    <w:rsid w:val="00E902C7"/>
    <w:rsid w:val="00E9428D"/>
    <w:rsid w:val="00E943EE"/>
    <w:rsid w:val="00E94456"/>
    <w:rsid w:val="00E94FE2"/>
    <w:rsid w:val="00E95E39"/>
    <w:rsid w:val="00E9752F"/>
    <w:rsid w:val="00EA0385"/>
    <w:rsid w:val="00EA2914"/>
    <w:rsid w:val="00EA3791"/>
    <w:rsid w:val="00EA4D0C"/>
    <w:rsid w:val="00EA4E53"/>
    <w:rsid w:val="00EA6259"/>
    <w:rsid w:val="00EA63A0"/>
    <w:rsid w:val="00EA7720"/>
    <w:rsid w:val="00EA7F21"/>
    <w:rsid w:val="00EB02D3"/>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5032"/>
    <w:rsid w:val="00ED5270"/>
    <w:rsid w:val="00ED7856"/>
    <w:rsid w:val="00ED792B"/>
    <w:rsid w:val="00ED7DC2"/>
    <w:rsid w:val="00EE1B25"/>
    <w:rsid w:val="00EE3EE2"/>
    <w:rsid w:val="00EE5769"/>
    <w:rsid w:val="00EE5CA6"/>
    <w:rsid w:val="00EE6916"/>
    <w:rsid w:val="00EF1335"/>
    <w:rsid w:val="00EF1557"/>
    <w:rsid w:val="00EF245B"/>
    <w:rsid w:val="00EF2499"/>
    <w:rsid w:val="00EF4AE0"/>
    <w:rsid w:val="00EF4B3A"/>
    <w:rsid w:val="00EF6FA1"/>
    <w:rsid w:val="00F012FF"/>
    <w:rsid w:val="00F01A21"/>
    <w:rsid w:val="00F046E9"/>
    <w:rsid w:val="00F04831"/>
    <w:rsid w:val="00F07ABB"/>
    <w:rsid w:val="00F105FB"/>
    <w:rsid w:val="00F11B33"/>
    <w:rsid w:val="00F12DA8"/>
    <w:rsid w:val="00F1322B"/>
    <w:rsid w:val="00F13699"/>
    <w:rsid w:val="00F1481A"/>
    <w:rsid w:val="00F153C9"/>
    <w:rsid w:val="00F15414"/>
    <w:rsid w:val="00F16AB3"/>
    <w:rsid w:val="00F202B4"/>
    <w:rsid w:val="00F25BEF"/>
    <w:rsid w:val="00F270BA"/>
    <w:rsid w:val="00F308AF"/>
    <w:rsid w:val="00F32911"/>
    <w:rsid w:val="00F3306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039"/>
    <w:rsid w:val="00F46B8B"/>
    <w:rsid w:val="00F47660"/>
    <w:rsid w:val="00F507DB"/>
    <w:rsid w:val="00F5236F"/>
    <w:rsid w:val="00F52C7A"/>
    <w:rsid w:val="00F544AB"/>
    <w:rsid w:val="00F5653F"/>
    <w:rsid w:val="00F56A1B"/>
    <w:rsid w:val="00F6079F"/>
    <w:rsid w:val="00F6227E"/>
    <w:rsid w:val="00F64AA8"/>
    <w:rsid w:val="00F64EA5"/>
    <w:rsid w:val="00F65F37"/>
    <w:rsid w:val="00F66A3D"/>
    <w:rsid w:val="00F66DF3"/>
    <w:rsid w:val="00F67AB2"/>
    <w:rsid w:val="00F73D21"/>
    <w:rsid w:val="00F73DFD"/>
    <w:rsid w:val="00F74ED0"/>
    <w:rsid w:val="00F75B44"/>
    <w:rsid w:val="00F83547"/>
    <w:rsid w:val="00F83593"/>
    <w:rsid w:val="00F837F7"/>
    <w:rsid w:val="00F854ED"/>
    <w:rsid w:val="00F87962"/>
    <w:rsid w:val="00F90E30"/>
    <w:rsid w:val="00F917E4"/>
    <w:rsid w:val="00F91B00"/>
    <w:rsid w:val="00F92B48"/>
    <w:rsid w:val="00F9424D"/>
    <w:rsid w:val="00F94D96"/>
    <w:rsid w:val="00F94DFC"/>
    <w:rsid w:val="00F96BAD"/>
    <w:rsid w:val="00FA0CD2"/>
    <w:rsid w:val="00FA12B0"/>
    <w:rsid w:val="00FA18A4"/>
    <w:rsid w:val="00FA34B5"/>
    <w:rsid w:val="00FA6529"/>
    <w:rsid w:val="00FA7E04"/>
    <w:rsid w:val="00FB0158"/>
    <w:rsid w:val="00FB06CF"/>
    <w:rsid w:val="00FB16BC"/>
    <w:rsid w:val="00FB25A0"/>
    <w:rsid w:val="00FB2D7C"/>
    <w:rsid w:val="00FB3100"/>
    <w:rsid w:val="00FB49D7"/>
    <w:rsid w:val="00FB4F37"/>
    <w:rsid w:val="00FB79F1"/>
    <w:rsid w:val="00FB7E5A"/>
    <w:rsid w:val="00FC07B8"/>
    <w:rsid w:val="00FC13D8"/>
    <w:rsid w:val="00FC17BB"/>
    <w:rsid w:val="00FC6E54"/>
    <w:rsid w:val="00FD09B7"/>
    <w:rsid w:val="00FD1379"/>
    <w:rsid w:val="00FD33A2"/>
    <w:rsid w:val="00FD6206"/>
    <w:rsid w:val="00FD6931"/>
    <w:rsid w:val="00FD7CBC"/>
    <w:rsid w:val="00FE050E"/>
    <w:rsid w:val="00FE09E7"/>
    <w:rsid w:val="00FE2161"/>
    <w:rsid w:val="00FE33A8"/>
    <w:rsid w:val="00FE3D39"/>
    <w:rsid w:val="00FE4D37"/>
    <w:rsid w:val="00FE58B6"/>
    <w:rsid w:val="00FE7430"/>
    <w:rsid w:val="00FF0471"/>
    <w:rsid w:val="00FF0771"/>
    <w:rsid w:val="00FF0AAD"/>
    <w:rsid w:val="00FF29CE"/>
    <w:rsid w:val="00FF2E7C"/>
    <w:rsid w:val="00FF33F4"/>
    <w:rsid w:val="00FF3FC8"/>
    <w:rsid w:val="0276200A"/>
    <w:rsid w:val="098B1EF5"/>
    <w:rsid w:val="09F00BD8"/>
    <w:rsid w:val="0CBA1583"/>
    <w:rsid w:val="0E6F0740"/>
    <w:rsid w:val="0F321E2D"/>
    <w:rsid w:val="10DF3115"/>
    <w:rsid w:val="1A9B1F53"/>
    <w:rsid w:val="1B3D4012"/>
    <w:rsid w:val="1B481AFB"/>
    <w:rsid w:val="1D235F66"/>
    <w:rsid w:val="1D665A9E"/>
    <w:rsid w:val="1D8D3AB3"/>
    <w:rsid w:val="1E21472F"/>
    <w:rsid w:val="1EB2633F"/>
    <w:rsid w:val="20705710"/>
    <w:rsid w:val="211E529B"/>
    <w:rsid w:val="232660FF"/>
    <w:rsid w:val="248512BD"/>
    <w:rsid w:val="2AA14025"/>
    <w:rsid w:val="2B2348E2"/>
    <w:rsid w:val="2C7F2EA6"/>
    <w:rsid w:val="2D1E05D5"/>
    <w:rsid w:val="3003631E"/>
    <w:rsid w:val="3078124A"/>
    <w:rsid w:val="3090209F"/>
    <w:rsid w:val="38FA0996"/>
    <w:rsid w:val="396E02FE"/>
    <w:rsid w:val="3AA26C9B"/>
    <w:rsid w:val="3ADC5E36"/>
    <w:rsid w:val="3C3F7E0E"/>
    <w:rsid w:val="3E7A082F"/>
    <w:rsid w:val="437906BF"/>
    <w:rsid w:val="44C70D28"/>
    <w:rsid w:val="4625557D"/>
    <w:rsid w:val="465173C0"/>
    <w:rsid w:val="49613924"/>
    <w:rsid w:val="49DD7C63"/>
    <w:rsid w:val="4B3040AF"/>
    <w:rsid w:val="50F36CD9"/>
    <w:rsid w:val="55E15918"/>
    <w:rsid w:val="56BF0EA2"/>
    <w:rsid w:val="5BDF3319"/>
    <w:rsid w:val="5EA87B0A"/>
    <w:rsid w:val="5EB119EE"/>
    <w:rsid w:val="62B8321C"/>
    <w:rsid w:val="63766DF5"/>
    <w:rsid w:val="63A965A7"/>
    <w:rsid w:val="63E41E32"/>
    <w:rsid w:val="6761194F"/>
    <w:rsid w:val="67A01566"/>
    <w:rsid w:val="67A84465"/>
    <w:rsid w:val="69797C2C"/>
    <w:rsid w:val="6D935AB0"/>
    <w:rsid w:val="6E087119"/>
    <w:rsid w:val="75544B2F"/>
    <w:rsid w:val="760A43BF"/>
    <w:rsid w:val="783E4597"/>
    <w:rsid w:val="7B82113C"/>
    <w:rsid w:val="7BE208A5"/>
    <w:rsid w:val="7D2A73BF"/>
    <w:rsid w:val="7D87285F"/>
    <w:rsid w:val="7DDB64D4"/>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9C244"/>
  <w15:docId w15:val="{1D7A5DAE-5572-41E5-9449-32C7B7BBD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2" w:unhideWhenUsed="1" w:qFormat="1"/>
    <w:lsdException w:name="List 3" w:qFormat="1"/>
    <w:lsdException w:name="List 4" w:qFormat="1"/>
    <w:lsdException w:name="List 5"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kern w:val="2"/>
      <w:sz w:val="18"/>
      <w:szCs w:val="18"/>
      <w:lang w:val="en-US" w:eastAsia="zh-CN"/>
    </w:rPr>
  </w:style>
  <w:style w:type="paragraph" w:customStyle="1" w:styleId="a6">
    <w:name w:val="示例内容"/>
    <w:qFormat/>
    <w:pPr>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eastAsia="MS Mincho"/>
      <w:kern w:val="2"/>
      <w:sz w:val="32"/>
      <w:szCs w:val="21"/>
      <w:lang w:val="en-US" w:eastAsia="en-US"/>
    </w:rPr>
  </w:style>
  <w:style w:type="paragraph" w:customStyle="1" w:styleId="aff7">
    <w:name w:val="标准书眉一"/>
    <w:qFormat/>
    <w:pPr>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kern w:val="2"/>
      <w:sz w:val="21"/>
      <w:szCs w:val="21"/>
      <w:lang w:val="en-US" w:eastAsia="zh-CN"/>
    </w:rPr>
  </w:style>
  <w:style w:type="paragraph" w:customStyle="1" w:styleId="24">
    <w:name w:val="封面标准名称2"/>
    <w:basedOn w:val="aff"/>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pPr>
      <w:spacing w:before="120"/>
      <w:ind w:right="198"/>
      <w:jc w:val="right"/>
    </w:pPr>
    <w:rPr>
      <w:rFonts w:ascii="SimSun"/>
      <w:kern w:val="2"/>
      <w:sz w:val="18"/>
      <w:szCs w:val="18"/>
      <w:lang w:val="en-US" w:eastAsia="zh-CN"/>
    </w:rPr>
  </w:style>
  <w:style w:type="paragraph" w:customStyle="1" w:styleId="afffff0">
    <w:name w:val="附录二级无"/>
    <w:basedOn w:val="af6"/>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pPr>
      <w:widowControl w:val="0"/>
      <w:kinsoku w:val="0"/>
      <w:overflowPunct w:val="0"/>
      <w:autoSpaceDE w:val="0"/>
      <w:autoSpaceDN w:val="0"/>
      <w:spacing w:before="308"/>
      <w:jc w:val="right"/>
      <w:textAlignment w:val="center"/>
    </w:pPr>
    <w:rPr>
      <w:kern w:val="2"/>
      <w:sz w:val="28"/>
      <w:szCs w:val="21"/>
      <w:lang w:val="en-US" w:eastAsia="zh-CN"/>
    </w:rPr>
  </w:style>
  <w:style w:type="character" w:customStyle="1" w:styleId="B1Char">
    <w:name w:val="B1 Char"/>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4685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1</Pages>
  <Words>3077</Words>
  <Characters>17544</Characters>
  <Application>Microsoft Office Word</Application>
  <DocSecurity>0</DocSecurity>
  <Lines>146</Lines>
  <Paragraphs>41</Paragraphs>
  <ScaleCrop>false</ScaleCrop>
  <Company>Hewlett-Packard Company</Company>
  <LinksUpToDate>false</LinksUpToDate>
  <CharactersWithSpaces>20580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30</cp:revision>
  <cp:lastPrinted>2113-01-01T00:00:00Z</cp:lastPrinted>
  <dcterms:created xsi:type="dcterms:W3CDTF">2021-03-31T15:35:00Z</dcterms:created>
  <dcterms:modified xsi:type="dcterms:W3CDTF">2021-05-10T16:30:00Z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