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0BAA1CB9"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08208A">
        <w:rPr>
          <w:rFonts w:cs="Arial"/>
          <w:lang w:eastAsia="ja-JP"/>
        </w:rPr>
        <w:t>X</w:t>
      </w:r>
      <w:r w:rsidR="002C4324">
        <w:rPr>
          <w:rFonts w:cs="Arial" w:hint="eastAsia"/>
          <w:lang w:eastAsia="ja-JP"/>
        </w:rPr>
        <w:t xml:space="preserve"> </w:t>
      </w:r>
      <w:r w:rsidR="00A95D20" w:rsidRPr="00863065">
        <w:rPr>
          <w:rFonts w:cs="Arial"/>
          <w:lang w:eastAsia="ja-JP"/>
        </w:rPr>
        <w:t>#</w:t>
      </w:r>
      <w:r w:rsidR="00800EE7">
        <w:rPr>
          <w:rFonts w:cs="Arial" w:hint="eastAsia"/>
          <w:lang w:eastAsia="ja-JP"/>
        </w:rPr>
        <w:t>114-e</w:t>
      </w:r>
      <w:r w:rsidRPr="00863065">
        <w:rPr>
          <w:rFonts w:cs="Arial"/>
        </w:rPr>
        <w:tab/>
      </w:r>
      <w:r w:rsidR="0051242C" w:rsidRPr="0051242C">
        <w:rPr>
          <w:rFonts w:cs="Arial"/>
          <w:lang w:eastAsia="ja-JP"/>
        </w:rPr>
        <w:t>R2-2105464</w:t>
      </w:r>
    </w:p>
    <w:p w14:paraId="508496E9" w14:textId="59554EF2" w:rsidR="00DB7D65" w:rsidRPr="00863065" w:rsidRDefault="00452A46" w:rsidP="00156F86">
      <w:pPr>
        <w:pStyle w:val="af6"/>
        <w:tabs>
          <w:tab w:val="left" w:pos="709"/>
          <w:tab w:val="right" w:pos="9639"/>
        </w:tabs>
        <w:spacing w:after="0"/>
        <w:jc w:val="left"/>
        <w:rPr>
          <w:rFonts w:cs="Arial"/>
          <w:lang w:val="en-US" w:eastAsia="ja-JP"/>
        </w:rPr>
      </w:pPr>
      <w:r>
        <w:rPr>
          <w:rFonts w:cs="Arial"/>
          <w:lang w:val="en-US" w:eastAsia="ja-JP"/>
        </w:rPr>
        <w:t>19</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27</w:t>
      </w:r>
      <w:r>
        <w:rPr>
          <w:rFonts w:cs="Arial" w:hint="eastAsia"/>
          <w:vertAlign w:val="superscript"/>
          <w:lang w:val="en-US" w:eastAsia="ja-JP"/>
        </w:rPr>
        <w:t>th</w:t>
      </w:r>
      <w:r w:rsidRPr="00802E96">
        <w:rPr>
          <w:rFonts w:cs="Arial"/>
          <w:lang w:val="en-US" w:eastAsia="ja-JP"/>
        </w:rPr>
        <w:t xml:space="preserve"> </w:t>
      </w:r>
      <w:r>
        <w:rPr>
          <w:rFonts w:cs="Arial"/>
          <w:lang w:val="en-US" w:eastAsia="ja-JP"/>
        </w:rPr>
        <w:t>May</w:t>
      </w:r>
      <w:r w:rsidRPr="00802E96">
        <w:rPr>
          <w:rFonts w:cs="Arial"/>
          <w:lang w:val="en-US" w:eastAsia="ja-JP"/>
        </w:rPr>
        <w:t xml:space="preserve"> 20</w:t>
      </w:r>
      <w:r>
        <w:rPr>
          <w:rFonts w:cs="Arial" w:hint="eastAsia"/>
          <w:lang w:val="en-US" w:eastAsia="ja-JP"/>
        </w:rPr>
        <w:t>21</w:t>
      </w:r>
    </w:p>
    <w:p w14:paraId="099E59F1" w14:textId="2B954C7D" w:rsidR="00DB7D65" w:rsidRPr="00863065" w:rsidRDefault="00800EE7"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330F98E"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9024A">
        <w:rPr>
          <w:rFonts w:ascii="Arial" w:hAnsi="Arial" w:cs="Arial"/>
          <w:b/>
          <w:sz w:val="24"/>
        </w:rPr>
        <w:t>Open issues on eDRX cycles</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5BE7D7DB"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E093A">
        <w:rPr>
          <w:rFonts w:ascii="Arial" w:hAnsi="Arial" w:cs="Arial"/>
          <w:b/>
          <w:sz w:val="24"/>
          <w:lang w:eastAsia="ja-JP"/>
        </w:rPr>
        <w:t>8.12.3.1</w:t>
      </w:r>
      <w:r w:rsidR="009E093A">
        <w:rPr>
          <w:rFonts w:ascii="Arial" w:hAnsi="Arial" w:cs="Arial"/>
          <w:b/>
          <w:sz w:val="24"/>
          <w:lang w:eastAsia="ja-JP"/>
        </w:rPr>
        <w:tab/>
        <w:t>eDRX cycles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2270B0F1" w:rsidR="00137660" w:rsidRDefault="007321A9" w:rsidP="00137660">
      <w:pPr>
        <w:rPr>
          <w:lang w:eastAsia="ja-JP"/>
        </w:rPr>
      </w:pPr>
      <w:r>
        <w:rPr>
          <w:rFonts w:hint="eastAsia"/>
          <w:lang w:eastAsia="ja-JP"/>
        </w:rPr>
        <w:t>With regard to eDRX support for RRC_INACTIVE, the followings were agreed at RAN2 #113bis-e</w:t>
      </w:r>
      <w:r w:rsidR="00E94855">
        <w:rPr>
          <w:lang w:eastAsia="ja-JP"/>
        </w:rPr>
        <w:t xml:space="preserve"> [1]</w:t>
      </w:r>
      <w:r>
        <w:rPr>
          <w:rFonts w:hint="eastAsia"/>
          <w:lang w:eastAsia="ja-JP"/>
        </w:rPr>
        <w:t>.</w:t>
      </w:r>
    </w:p>
    <w:p w14:paraId="4FF7E1E3" w14:textId="1F5CC303" w:rsidR="007321A9" w:rsidRPr="007321A9" w:rsidRDefault="007321A9" w:rsidP="007321A9">
      <w:pPr>
        <w:pStyle w:val="B1"/>
        <w:pBdr>
          <w:top w:val="single" w:sz="4" w:space="1" w:color="auto"/>
          <w:left w:val="single" w:sz="4" w:space="4" w:color="auto"/>
          <w:bottom w:val="single" w:sz="4" w:space="1" w:color="auto"/>
          <w:right w:val="single" w:sz="4" w:space="4" w:color="auto"/>
        </w:pBdr>
        <w:rPr>
          <w:i/>
        </w:rPr>
      </w:pPr>
      <w:r w:rsidRPr="007321A9">
        <w:rPr>
          <w:rFonts w:hint="eastAsia"/>
          <w:i/>
        </w:rPr>
        <w:t>1.</w:t>
      </w:r>
      <w:r w:rsidRPr="007321A9">
        <w:rPr>
          <w:rFonts w:hint="eastAsia"/>
          <w:i/>
        </w:rPr>
        <w:tab/>
      </w:r>
      <w:r w:rsidRPr="007321A9">
        <w:rPr>
          <w:i/>
        </w:rPr>
        <w:t>RAN decides and configures eDRX via RRC for RRC_INACTIVE (FFS on the need and details of coordination with the CN).</w:t>
      </w:r>
    </w:p>
    <w:p w14:paraId="44B206C8" w14:textId="7B6EF258" w:rsidR="007321A9" w:rsidRPr="007321A9" w:rsidRDefault="007321A9" w:rsidP="007321A9">
      <w:pPr>
        <w:pStyle w:val="B1"/>
        <w:pBdr>
          <w:top w:val="single" w:sz="4" w:space="1" w:color="auto"/>
          <w:left w:val="single" w:sz="4" w:space="4" w:color="auto"/>
          <w:bottom w:val="single" w:sz="4" w:space="1" w:color="auto"/>
          <w:right w:val="single" w:sz="4" w:space="4" w:color="auto"/>
        </w:pBdr>
        <w:rPr>
          <w:i/>
        </w:rPr>
      </w:pPr>
      <w:r w:rsidRPr="007321A9">
        <w:rPr>
          <w:i/>
        </w:rPr>
        <w:t>2.</w:t>
      </w:r>
      <w:r w:rsidRPr="007321A9">
        <w:rPr>
          <w:i/>
        </w:rPr>
        <w:tab/>
        <w:t>At least for eDRX cycle, the configurations of the eDRX for RRC_IDLE and RRC_INACTIVE can be different (</w:t>
      </w:r>
      <w:r w:rsidRPr="007321A9">
        <w:rPr>
          <w:i/>
          <w:u w:val="single"/>
        </w:rPr>
        <w:t>FFS for PTW, e.g. length and starting point, when eDRX cycles are longer than 10.24s</w:t>
      </w:r>
      <w:r w:rsidRPr="007321A9">
        <w:rPr>
          <w:i/>
        </w:rPr>
        <w:t>).</w:t>
      </w:r>
    </w:p>
    <w:p w14:paraId="6A542376" w14:textId="497BCF02" w:rsidR="007321A9" w:rsidRPr="007321A9" w:rsidRDefault="007321A9" w:rsidP="007321A9">
      <w:pPr>
        <w:pStyle w:val="B1"/>
        <w:pBdr>
          <w:top w:val="single" w:sz="4" w:space="1" w:color="auto"/>
          <w:left w:val="single" w:sz="4" w:space="4" w:color="auto"/>
          <w:bottom w:val="single" w:sz="4" w:space="1" w:color="auto"/>
          <w:right w:val="single" w:sz="4" w:space="4" w:color="auto"/>
        </w:pBdr>
        <w:rPr>
          <w:i/>
        </w:rPr>
      </w:pPr>
      <w:r w:rsidRPr="007321A9">
        <w:rPr>
          <w:i/>
        </w:rPr>
        <w:t>3.</w:t>
      </w:r>
      <w:r w:rsidRPr="007321A9">
        <w:rPr>
          <w:i/>
        </w:rPr>
        <w:tab/>
        <w:t>RAN2 assumes that CN provides necessary assistance information on eDRX config for RRC_IDLE to RAN (e.g. reusing eDRX config defined in “CN Assistance Information for RRC INACTIVE IE” for E-UTRA/5GC).</w:t>
      </w:r>
    </w:p>
    <w:p w14:paraId="700784E7" w14:textId="16EF28D3" w:rsidR="007321A9" w:rsidRPr="007321A9" w:rsidRDefault="007321A9" w:rsidP="007321A9">
      <w:pPr>
        <w:pStyle w:val="B1"/>
        <w:pBdr>
          <w:top w:val="single" w:sz="4" w:space="1" w:color="auto"/>
          <w:left w:val="single" w:sz="4" w:space="4" w:color="auto"/>
          <w:bottom w:val="single" w:sz="4" w:space="1" w:color="auto"/>
          <w:right w:val="single" w:sz="4" w:space="4" w:color="auto"/>
        </w:pBdr>
        <w:rPr>
          <w:i/>
        </w:rPr>
      </w:pPr>
      <w:r w:rsidRPr="007321A9">
        <w:rPr>
          <w:i/>
        </w:rPr>
        <w:t>4.</w:t>
      </w:r>
      <w:r w:rsidRPr="007321A9">
        <w:rPr>
          <w:i/>
        </w:rPr>
        <w:tab/>
        <w:t>eDRX feature, including the related parameters (i.e. PH, PTW. H-SFN) and corresponding paging operation defined for E-UTRA/5GC is used as baseline to enable eDRX &gt;10.24sec for both RRC_IDLE and RRC_INACTIVE in NR/5GC.</w:t>
      </w:r>
    </w:p>
    <w:p w14:paraId="6FFDD46E" w14:textId="012C17A8" w:rsidR="007321A9" w:rsidRPr="007321A9" w:rsidRDefault="007321A9" w:rsidP="007321A9">
      <w:pPr>
        <w:pStyle w:val="B1"/>
        <w:pBdr>
          <w:top w:val="single" w:sz="4" w:space="1" w:color="auto"/>
          <w:left w:val="single" w:sz="4" w:space="4" w:color="auto"/>
          <w:bottom w:val="single" w:sz="4" w:space="1" w:color="auto"/>
          <w:right w:val="single" w:sz="4" w:space="4" w:color="auto"/>
        </w:pBdr>
        <w:rPr>
          <w:i/>
        </w:rPr>
      </w:pPr>
      <w:r w:rsidRPr="007321A9">
        <w:rPr>
          <w:i/>
        </w:rPr>
        <w:t>5.</w:t>
      </w:r>
      <w:r w:rsidRPr="007321A9">
        <w:rPr>
          <w:i/>
        </w:rPr>
        <w:tab/>
        <w:t>RAN2 confirms that CN paging and RAN paging use the same paging frame offset and first PDCCH monitoring occasion in PO, which are configured by RAN without involvement of CN.</w:t>
      </w:r>
    </w:p>
    <w:p w14:paraId="65ABC30A" w14:textId="79D4074E" w:rsidR="007321A9" w:rsidRDefault="00AC2C1A" w:rsidP="00137660">
      <w:pPr>
        <w:rPr>
          <w:lang w:eastAsia="ja-JP"/>
        </w:rPr>
      </w:pPr>
      <w:r>
        <w:rPr>
          <w:lang w:eastAsia="ja-JP"/>
        </w:rPr>
        <w:t xml:space="preserve">According to the meeting agenda </w:t>
      </w:r>
      <w:r>
        <w:rPr>
          <w:rFonts w:hint="eastAsia"/>
          <w:lang w:eastAsia="ja-JP"/>
        </w:rPr>
        <w:t>for</w:t>
      </w:r>
      <w:r w:rsidR="007321A9">
        <w:rPr>
          <w:rFonts w:hint="eastAsia"/>
          <w:lang w:eastAsia="ja-JP"/>
        </w:rPr>
        <w:t xml:space="preserve"> this meeting, only the FFS </w:t>
      </w:r>
      <w:r w:rsidR="007321A9">
        <w:rPr>
          <w:lang w:eastAsia="ja-JP"/>
        </w:rPr>
        <w:t>point (underlined part) and the minimum eDRX cycle are to be discussed, if time is allowed</w:t>
      </w:r>
      <w:r w:rsidR="0036381B">
        <w:rPr>
          <w:lang w:eastAsia="ja-JP"/>
        </w:rPr>
        <w:t>. Hence, this paper focuses on these open issues.</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1895A69B" w:rsidR="00743D97" w:rsidRDefault="00986117" w:rsidP="004C4CCC">
      <w:pPr>
        <w:pStyle w:val="2"/>
        <w:numPr>
          <w:ilvl w:val="1"/>
          <w:numId w:val="2"/>
        </w:numPr>
        <w:rPr>
          <w:rFonts w:cs="Arial"/>
          <w:lang w:eastAsia="ja-JP"/>
        </w:rPr>
      </w:pPr>
      <w:r>
        <w:rPr>
          <w:rFonts w:cs="Arial" w:hint="eastAsia"/>
          <w:lang w:eastAsia="ja-JP"/>
        </w:rPr>
        <w:t>PTW length and starting point for RRC_INACTIVE</w:t>
      </w:r>
    </w:p>
    <w:p w14:paraId="3B96444B" w14:textId="77777777" w:rsidR="00050CD2" w:rsidRDefault="00DE5ACB" w:rsidP="004C4CCC">
      <w:pPr>
        <w:rPr>
          <w:lang w:val="en-US" w:eastAsia="ja-JP"/>
        </w:rPr>
      </w:pPr>
      <w:r>
        <w:rPr>
          <w:rFonts w:hint="eastAsia"/>
          <w:lang w:val="en-US" w:eastAsia="ja-JP"/>
        </w:rPr>
        <w:t>I</w:t>
      </w:r>
      <w:r>
        <w:rPr>
          <w:lang w:val="en-US" w:eastAsia="ja-JP"/>
        </w:rPr>
        <w:t xml:space="preserve">n the last meeting, RAN2 agreed that the eDRX cycle can be different between RRC_IDLE and RRC_INACTIVE. </w:t>
      </w:r>
      <w:r w:rsidR="008E7771">
        <w:rPr>
          <w:lang w:val="en-US" w:eastAsia="ja-JP"/>
        </w:rPr>
        <w:t>One of t</w:t>
      </w:r>
      <w:r>
        <w:rPr>
          <w:lang w:val="en-US" w:eastAsia="ja-JP"/>
        </w:rPr>
        <w:t xml:space="preserve">he </w:t>
      </w:r>
      <w:r w:rsidR="008E7771">
        <w:rPr>
          <w:lang w:val="en-US" w:eastAsia="ja-JP"/>
        </w:rPr>
        <w:t xml:space="preserve">potential usages of the different eDRX cycle is to envisage the </w:t>
      </w:r>
      <w:r w:rsidR="008240FC">
        <w:rPr>
          <w:lang w:val="en-US" w:eastAsia="ja-JP"/>
        </w:rPr>
        <w:t>network strategy how to utilise these two states. T</w:t>
      </w:r>
      <w:r w:rsidR="008E7771">
        <w:rPr>
          <w:lang w:val="en-US" w:eastAsia="ja-JP"/>
        </w:rPr>
        <w:t xml:space="preserve">he network asks the UE to go RRC_IDLE, </w:t>
      </w:r>
      <w:r w:rsidR="00E37356">
        <w:rPr>
          <w:lang w:val="en-US" w:eastAsia="ja-JP"/>
        </w:rPr>
        <w:t>if</w:t>
      </w:r>
      <w:r w:rsidR="008E7771">
        <w:rPr>
          <w:lang w:val="en-US" w:eastAsia="ja-JP"/>
        </w:rPr>
        <w:t xml:space="preserve"> </w:t>
      </w:r>
      <w:r w:rsidR="008240FC">
        <w:rPr>
          <w:lang w:val="en-US" w:eastAsia="ja-JP"/>
        </w:rPr>
        <w:t xml:space="preserve">subsequent data transaction from/to UE is not expected for a while. Thus, the UE can save its power consumption by configuring the longer eDRX cycle. In contrast, </w:t>
      </w:r>
      <w:r w:rsidR="00E37356">
        <w:rPr>
          <w:lang w:val="en-US" w:eastAsia="ja-JP"/>
        </w:rPr>
        <w:t>if</w:t>
      </w:r>
      <w:r w:rsidR="008240FC">
        <w:rPr>
          <w:lang w:val="en-US" w:eastAsia="ja-JP"/>
        </w:rPr>
        <w:t xml:space="preserve"> the UE is likely to transmit or receive </w:t>
      </w:r>
      <w:r w:rsidR="00E37356">
        <w:rPr>
          <w:lang w:val="en-US" w:eastAsia="ja-JP"/>
        </w:rPr>
        <w:t xml:space="preserve">data in a short time, the network askes the UE to go RRC_INACTIVE. By configuring the short eDRX cycle, the UE is able to respond to the paging quickly and can reduce the call setup latency. </w:t>
      </w:r>
    </w:p>
    <w:p w14:paraId="60EACFD4" w14:textId="611376F6" w:rsidR="00A63960" w:rsidRDefault="004A3FD5" w:rsidP="004C4CCC">
      <w:pPr>
        <w:rPr>
          <w:lang w:val="en-US" w:eastAsia="ja-JP"/>
        </w:rPr>
      </w:pPr>
      <w:r>
        <w:rPr>
          <w:lang w:val="en-US" w:eastAsia="ja-JP"/>
        </w:rPr>
        <w:t xml:space="preserve">From these viewpoints, the next point in question is whether the start point and/or the length of PTW should be the same or different between RRC_IDLE and RRC_INACTIVE and the rationale to do so. In case of RRC_IDLE, the network may wish to apply the longer PTW to make sure that the UE can receive the paging message at that instance. If the paging message is lost, the network has to wait for the next Paging Hyper-frame (PH). In case of RRC_INACTIVE, the network may wish to apply the shorter PTW </w:t>
      </w:r>
      <w:r w:rsidR="00050CD2">
        <w:rPr>
          <w:lang w:val="en-US" w:eastAsia="ja-JP"/>
        </w:rPr>
        <w:t xml:space="preserve">so that the UE can sleep outside the PTW as much as possible. Even though the UE misses the paging message, the UE can try to receive at the next PH that comes in a short time due to the short eDRX cycle. In this case, there seems a motivation to support different PTW length. </w:t>
      </w:r>
    </w:p>
    <w:p w14:paraId="0D30B66B" w14:textId="17956817" w:rsidR="00050CD2" w:rsidRPr="00DE5ACB" w:rsidRDefault="00050CD2" w:rsidP="004C4CCC">
      <w:pPr>
        <w:rPr>
          <w:lang w:val="en-US" w:eastAsia="ja-JP"/>
        </w:rPr>
      </w:pPr>
      <w:r>
        <w:rPr>
          <w:lang w:val="en-US" w:eastAsia="ja-JP"/>
        </w:rPr>
        <w:t xml:space="preserve">Another aspect to be noted is the fact that a UE in RRC_INACTIVE monitor both CN paging and RAN paging. eDRX for RRC_IDLE is applied for the CN paging, whilst eDRX for RRC_INACTIVE is applied for the RAN paging. Even though the eDRX cycle is different between the two RRC states, </w:t>
      </w:r>
      <w:r w:rsidR="002022ED">
        <w:rPr>
          <w:lang w:val="en-US" w:eastAsia="ja-JP"/>
        </w:rPr>
        <w:t xml:space="preserve">there is a case that the PH is the same, as illustrated in Figure 2.1-1. In this case, if the occasion of PTW is different between the two RRC states, the UE has to wake up and monitor the paging message twice in the same PH, as in the right side of Figure 2.1-1. On the other hand, if the occasion </w:t>
      </w:r>
      <w:r w:rsidR="002022ED">
        <w:rPr>
          <w:lang w:val="en-US" w:eastAsia="ja-JP"/>
        </w:rPr>
        <w:lastRenderedPageBreak/>
        <w:t xml:space="preserve">of PTW is the same or overlapped, as illustrated in the left side of Figure 2.1-1, the UE wakes up once and can monitor both RAN paging and CN paging within the overlapped PTW. </w:t>
      </w:r>
      <w:r w:rsidR="00B84170">
        <w:rPr>
          <w:lang w:val="en-US" w:eastAsia="ja-JP"/>
        </w:rPr>
        <w:t xml:space="preserve">From the UE power saving perspective, the same or overlapped PTW has an advantage. Nonetheless, it is up to how often </w:t>
      </w:r>
      <w:r w:rsidR="00AF7F6D">
        <w:rPr>
          <w:lang w:val="en-US" w:eastAsia="ja-JP"/>
        </w:rPr>
        <w:t>a PH for the two RRC states coincides with each other. If the gap of the eDRX cycle is larger between the two states, it is less likely to occur, whilst the smaller gap of the eDRX cycle results in occurring frequently. Therefore, the followings can be observed.</w:t>
      </w:r>
    </w:p>
    <w:p w14:paraId="054F0CF2" w14:textId="5A826C89" w:rsidR="00A63960" w:rsidRDefault="00E13266" w:rsidP="00A63960">
      <w:pPr>
        <w:pStyle w:val="TH"/>
        <w:rPr>
          <w:lang w:eastAsia="ja-JP"/>
        </w:rPr>
      </w:pPr>
      <w:r>
        <w:rPr>
          <w:lang w:eastAsia="ja-JP"/>
        </w:rPr>
        <w:object w:dxaOrig="10650" w:dyaOrig="6211" w14:anchorId="6865F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5pt;height:139.6pt;mso-position-horizontal:absolute" o:ole="">
            <v:imagedata r:id="rId10" o:title=""/>
          </v:shape>
          <o:OLEObject Type="Embed" ProgID="Visio.Drawing.15" ShapeID="_x0000_i1025" DrawAspect="Content" ObjectID="_1682250340" r:id="rId11"/>
        </w:object>
      </w:r>
      <w:r>
        <w:rPr>
          <w:lang w:eastAsia="ja-JP"/>
        </w:rPr>
        <w:object w:dxaOrig="10650" w:dyaOrig="6211" w14:anchorId="24825AEB">
          <v:shape id="_x0000_i1026" type="#_x0000_t75" style="width:239.15pt;height:139.6pt;mso-position-horizontal:absolute;mso-position-vertical:absolute" o:ole="">
            <v:imagedata r:id="rId12" o:title=""/>
          </v:shape>
          <o:OLEObject Type="Embed" ProgID="Visio.Drawing.15" ShapeID="_x0000_i1026" DrawAspect="Content" ObjectID="_1682250341" r:id="rId13"/>
        </w:object>
      </w:r>
    </w:p>
    <w:p w14:paraId="2A280CCE" w14:textId="44009F98" w:rsidR="00A63960" w:rsidRDefault="00BF080E" w:rsidP="00BF080E">
      <w:pPr>
        <w:pStyle w:val="TF"/>
        <w:rPr>
          <w:lang w:eastAsia="ja-JP"/>
        </w:rPr>
      </w:pPr>
      <w:r>
        <w:rPr>
          <w:rFonts w:hint="eastAsia"/>
          <w:lang w:eastAsia="ja-JP"/>
        </w:rPr>
        <w:t>Figure 2.1-1:</w:t>
      </w:r>
      <w:r>
        <w:rPr>
          <w:rFonts w:hint="eastAsia"/>
          <w:lang w:eastAsia="ja-JP"/>
        </w:rPr>
        <w:tab/>
        <w:t>PTW occasion for RRC_IDLE and RRC_INACTIVE</w:t>
      </w:r>
    </w:p>
    <w:p w14:paraId="3ECE5956" w14:textId="16881400" w:rsidR="00304774" w:rsidRDefault="00304774" w:rsidP="00BF080E">
      <w:pPr>
        <w:pStyle w:val="B1"/>
        <w:rPr>
          <w:b/>
        </w:rPr>
      </w:pPr>
      <w:r>
        <w:rPr>
          <w:rFonts w:hint="eastAsia"/>
          <w:b/>
        </w:rPr>
        <w:t>Ob</w:t>
      </w:r>
      <w:r>
        <w:rPr>
          <w:b/>
        </w:rPr>
        <w:t>servation 1:</w:t>
      </w:r>
      <w:r>
        <w:rPr>
          <w:b/>
        </w:rPr>
        <w:tab/>
      </w:r>
      <w:r>
        <w:t xml:space="preserve">As for the rationale to support different eDRX cycles, there seems an advantage of supporting </w:t>
      </w:r>
      <w:r>
        <w:tab/>
      </w:r>
      <w:r>
        <w:tab/>
      </w:r>
      <w:r>
        <w:tab/>
      </w:r>
      <w:r>
        <w:tab/>
      </w:r>
      <w:r>
        <w:tab/>
        <w:t>different PTW between RRC_IDLE and RRC_INACTIVE.</w:t>
      </w:r>
    </w:p>
    <w:p w14:paraId="4CE659DC" w14:textId="42C7A085" w:rsidR="00BF080E" w:rsidRDefault="00BF080E" w:rsidP="00BF080E">
      <w:pPr>
        <w:pStyle w:val="B1"/>
      </w:pPr>
      <w:r w:rsidRPr="00BF080E">
        <w:rPr>
          <w:rFonts w:hint="eastAsia"/>
          <w:b/>
        </w:rPr>
        <w:t xml:space="preserve">Observation </w:t>
      </w:r>
      <w:r w:rsidR="007F1F73">
        <w:rPr>
          <w:b/>
        </w:rPr>
        <w:t>2</w:t>
      </w:r>
      <w:r w:rsidRPr="00BF080E">
        <w:rPr>
          <w:rFonts w:hint="eastAsia"/>
          <w:b/>
        </w:rPr>
        <w:t>:</w:t>
      </w:r>
      <w:r>
        <w:rPr>
          <w:rFonts w:hint="eastAsia"/>
        </w:rPr>
        <w:tab/>
      </w:r>
      <w:r>
        <w:t xml:space="preserve">When a PH for RRC_IDLE coincides with the one for RRC_INACTIVE, for the UE power saving </w:t>
      </w:r>
      <w:r>
        <w:tab/>
      </w:r>
      <w:r>
        <w:tab/>
      </w:r>
      <w:r>
        <w:tab/>
      </w:r>
      <w:r>
        <w:tab/>
        <w:t xml:space="preserve">point of view, it is desirable that the occasion of PTW is the same or overlapped between </w:t>
      </w:r>
      <w:r>
        <w:tab/>
      </w:r>
      <w:r>
        <w:tab/>
      </w:r>
      <w:r>
        <w:tab/>
      </w:r>
      <w:r>
        <w:tab/>
      </w:r>
      <w:r>
        <w:tab/>
      </w:r>
      <w:r>
        <w:tab/>
        <w:t>RRC_IDLE and RRC_INACTIVE.</w:t>
      </w:r>
    </w:p>
    <w:p w14:paraId="77962458" w14:textId="7F65F065" w:rsidR="00BF080E" w:rsidRDefault="00BF080E" w:rsidP="00BF080E">
      <w:pPr>
        <w:pStyle w:val="B1"/>
      </w:pPr>
      <w:r w:rsidRPr="00465EB0">
        <w:rPr>
          <w:b/>
        </w:rPr>
        <w:t xml:space="preserve">Observation </w:t>
      </w:r>
      <w:r w:rsidR="007F1F73">
        <w:rPr>
          <w:b/>
        </w:rPr>
        <w:t>3</w:t>
      </w:r>
      <w:r w:rsidRPr="00465EB0">
        <w:rPr>
          <w:b/>
        </w:rPr>
        <w:t>:</w:t>
      </w:r>
      <w:r>
        <w:tab/>
      </w:r>
      <w:r w:rsidR="00465EB0">
        <w:t xml:space="preserve">The gain of the overlapped PTW occasion hinges on how often a PH coincides, which is up to </w:t>
      </w:r>
      <w:r w:rsidR="00465EB0">
        <w:tab/>
      </w:r>
      <w:r w:rsidR="00465EB0">
        <w:tab/>
      </w:r>
      <w:r w:rsidR="00465EB0">
        <w:tab/>
      </w:r>
      <w:r w:rsidR="00465EB0">
        <w:tab/>
      </w:r>
      <w:r w:rsidR="00465EB0">
        <w:tab/>
        <w:t>eDRX cycles for RRC_IDLE and RRC_INACTIVE.</w:t>
      </w:r>
    </w:p>
    <w:p w14:paraId="67EEF81E" w14:textId="7F41738F" w:rsidR="00BF080E" w:rsidRPr="00BF080E" w:rsidRDefault="009319BA" w:rsidP="004C4CCC">
      <w:pPr>
        <w:rPr>
          <w:lang w:eastAsia="ja-JP"/>
        </w:rPr>
      </w:pPr>
      <w:r>
        <w:rPr>
          <w:rFonts w:hint="eastAsia"/>
          <w:lang w:eastAsia="ja-JP"/>
        </w:rPr>
        <w:t>From these observations, it is sensible that the specification allows NW to decide how the PTW occasion is configured for RRC_IDLE</w:t>
      </w:r>
      <w:r w:rsidR="007A3514">
        <w:rPr>
          <w:rFonts w:hint="eastAsia"/>
          <w:lang w:eastAsia="ja-JP"/>
        </w:rPr>
        <w:t xml:space="preserve"> and RRC_INACTIVE, based on their chosen parameters and operation policy. </w:t>
      </w:r>
      <w:r w:rsidR="007A3514">
        <w:rPr>
          <w:lang w:eastAsia="ja-JP"/>
        </w:rPr>
        <w:t>Therefore, the followings are proposed.</w:t>
      </w:r>
    </w:p>
    <w:p w14:paraId="007102FA" w14:textId="5D1AD208" w:rsidR="00950D1B" w:rsidRDefault="00950D1B" w:rsidP="00950D1B">
      <w:pPr>
        <w:pStyle w:val="B1"/>
        <w:rPr>
          <w:b/>
        </w:rPr>
      </w:pPr>
      <w:r w:rsidRPr="00950D1B">
        <w:rPr>
          <w:rFonts w:hint="eastAsia"/>
          <w:b/>
        </w:rPr>
        <w:t>Propo</w:t>
      </w:r>
      <w:r w:rsidRPr="00950D1B">
        <w:rPr>
          <w:b/>
        </w:rPr>
        <w:t>sal 1:</w:t>
      </w:r>
      <w:r w:rsidRPr="00950D1B">
        <w:rPr>
          <w:b/>
        </w:rPr>
        <w:tab/>
        <w:t>PTW length and starting point can be different or same for RRC_IDLE and RRC_INACTIVE.</w:t>
      </w:r>
    </w:p>
    <w:p w14:paraId="68F85A87" w14:textId="42AD51FD" w:rsidR="00D80FCD" w:rsidRPr="00950D1B" w:rsidRDefault="00D80FCD" w:rsidP="00950D1B">
      <w:pPr>
        <w:pStyle w:val="B1"/>
        <w:rPr>
          <w:b/>
        </w:rPr>
      </w:pPr>
      <w:r>
        <w:rPr>
          <w:b/>
        </w:rPr>
        <w:t>Proposal 2:</w:t>
      </w:r>
      <w:r>
        <w:rPr>
          <w:b/>
        </w:rPr>
        <w:tab/>
        <w:t xml:space="preserve">When a PH for RRC_IDLE coincides with the one for RRC_INACTIVE, it is up to NW </w:t>
      </w:r>
      <w:r>
        <w:rPr>
          <w:b/>
        </w:rPr>
        <w:tab/>
      </w:r>
      <w:r>
        <w:rPr>
          <w:b/>
        </w:rPr>
        <w:tab/>
      </w:r>
      <w:r>
        <w:rPr>
          <w:b/>
        </w:rPr>
        <w:tab/>
      </w:r>
      <w:r>
        <w:rPr>
          <w:b/>
        </w:rPr>
        <w:tab/>
      </w:r>
      <w:r>
        <w:rPr>
          <w:b/>
        </w:rPr>
        <w:tab/>
        <w:t xml:space="preserve">implementation whether PTW is overlapped or not between RRC_IDLE and </w:t>
      </w:r>
      <w:r>
        <w:rPr>
          <w:b/>
        </w:rPr>
        <w:tab/>
      </w:r>
      <w:r>
        <w:rPr>
          <w:b/>
        </w:rPr>
        <w:tab/>
      </w:r>
      <w:r>
        <w:rPr>
          <w:b/>
        </w:rPr>
        <w:tab/>
      </w:r>
      <w:r>
        <w:rPr>
          <w:b/>
        </w:rPr>
        <w:tab/>
      </w:r>
      <w:r>
        <w:rPr>
          <w:b/>
        </w:rPr>
        <w:tab/>
      </w:r>
      <w:r>
        <w:rPr>
          <w:b/>
        </w:rPr>
        <w:tab/>
      </w:r>
      <w:r>
        <w:rPr>
          <w:b/>
        </w:rPr>
        <w:tab/>
      </w:r>
      <w:r>
        <w:rPr>
          <w:b/>
        </w:rPr>
        <w:tab/>
        <w:t>RRC_INACTIVE within the PH.</w:t>
      </w:r>
    </w:p>
    <w:p w14:paraId="1AC15A25" w14:textId="60C004B5" w:rsidR="004C4CCC" w:rsidRDefault="00986117" w:rsidP="004C4CCC">
      <w:pPr>
        <w:pStyle w:val="2"/>
        <w:numPr>
          <w:ilvl w:val="1"/>
          <w:numId w:val="2"/>
        </w:numPr>
        <w:rPr>
          <w:rFonts w:cs="Arial"/>
          <w:lang w:eastAsia="ja-JP"/>
        </w:rPr>
      </w:pPr>
      <w:r>
        <w:rPr>
          <w:rFonts w:cs="Arial" w:hint="eastAsia"/>
          <w:lang w:eastAsia="ja-JP"/>
        </w:rPr>
        <w:t xml:space="preserve">Minimum value of </w:t>
      </w:r>
      <w:r>
        <w:rPr>
          <w:rFonts w:cs="Arial"/>
          <w:lang w:eastAsia="ja-JP"/>
        </w:rPr>
        <w:t>eDRX cycle</w:t>
      </w:r>
    </w:p>
    <w:p w14:paraId="0880002B" w14:textId="4B1E87D3" w:rsidR="0088182F" w:rsidRPr="00E554D7" w:rsidRDefault="00186FA3" w:rsidP="004C4CCC">
      <w:pPr>
        <w:rPr>
          <w:lang w:eastAsia="ja-JP"/>
        </w:rPr>
      </w:pPr>
      <w:r>
        <w:rPr>
          <w:rFonts w:hint="eastAsia"/>
          <w:lang w:eastAsia="ja-JP"/>
        </w:rPr>
        <w:t xml:space="preserve">In the last meeting, the minimum value of eDRX cycle was discussed, but did not conclude, since company views were split for two candidates, i.e. </w:t>
      </w:r>
      <w:r>
        <w:rPr>
          <w:lang w:eastAsia="ja-JP"/>
        </w:rPr>
        <w:t xml:space="preserve">2.56 sec vs 5.12 sec [2]. </w:t>
      </w:r>
      <w:r w:rsidR="00B93F61">
        <w:rPr>
          <w:lang w:eastAsia="ja-JP"/>
        </w:rPr>
        <w:t>The main issue in question is to meet the requirement of ETWS/CMAS (e.g. within 4 sec) while eDRX is being configured.</w:t>
      </w:r>
      <w:r w:rsidR="00F8741C">
        <w:rPr>
          <w:lang w:eastAsia="ja-JP"/>
        </w:rPr>
        <w:t xml:space="preserve"> Given that one of the potential use cases for RedCap UEs is wearable devices and it is likely that support of ETWS/CMAS is deemed as necessary for wearable devices, RedCap UEs should be able to meet the ETWS/CMAS requirement. The eDRX cycle of 2.56 sec enables to meet the ETWS/CMAS requirement as well as enabling power saving. Furthermore, RedCap UEs could also be used for the other scenarios in the market, e.g. </w:t>
      </w:r>
      <w:r w:rsidR="00ED0D74">
        <w:rPr>
          <w:lang w:eastAsia="ja-JP"/>
        </w:rPr>
        <w:t xml:space="preserve">automotive vehicles. Both ETWS/CMAS and power saving are key factors for automotive vehicles, as well. </w:t>
      </w:r>
      <w:r w:rsidR="00A92984">
        <w:rPr>
          <w:lang w:eastAsia="ja-JP"/>
        </w:rPr>
        <w:t xml:space="preserve">As discussed in the recent meetings, if the network wishes to use the DRX cycle of 2.56 sec, the existing paging DRX can be used. On the other hand, </w:t>
      </w:r>
      <w:r w:rsidR="007B5CE4">
        <w:rPr>
          <w:lang w:eastAsia="ja-JP"/>
        </w:rPr>
        <w:t>the existing network may have already used</w:t>
      </w:r>
      <w:r w:rsidR="00BC0A35">
        <w:rPr>
          <w:lang w:eastAsia="ja-JP"/>
        </w:rPr>
        <w:t xml:space="preserve"> the DRX cycle of 1.28 sec, which is defined as a default parameter in [3]. </w:t>
      </w:r>
      <w:r w:rsidR="007B5CE4">
        <w:rPr>
          <w:lang w:eastAsia="ja-JP"/>
        </w:rPr>
        <w:t>If so, there could also be a deployment po</w:t>
      </w:r>
      <w:bookmarkStart w:id="0" w:name="_GoBack"/>
      <w:bookmarkEnd w:id="0"/>
      <w:r w:rsidR="007B5CE4">
        <w:rPr>
          <w:lang w:eastAsia="ja-JP"/>
        </w:rPr>
        <w:t>licy that the network wish to continue to use the current DRX cycle for the legacy UEs. In that case, the minimum eDRX cycle of 2.56 sec can meet the requirement for RedCap UEs, whilst the network operation for the legacy UEs can be kept as today. Therefore, the following is proposed.</w:t>
      </w:r>
    </w:p>
    <w:p w14:paraId="33A6D27C" w14:textId="2A16022F" w:rsidR="00137660" w:rsidRPr="00950D1B" w:rsidRDefault="00D80FCD" w:rsidP="00950D1B">
      <w:pPr>
        <w:pStyle w:val="B1"/>
        <w:rPr>
          <w:b/>
        </w:rPr>
      </w:pPr>
      <w:r>
        <w:rPr>
          <w:rFonts w:hint="eastAsia"/>
          <w:b/>
        </w:rPr>
        <w:t>Proposal 3</w:t>
      </w:r>
      <w:r w:rsidR="00950D1B" w:rsidRPr="00950D1B">
        <w:rPr>
          <w:rFonts w:hint="eastAsia"/>
          <w:b/>
        </w:rPr>
        <w:t>:</w:t>
      </w:r>
      <w:r w:rsidR="00950D1B" w:rsidRPr="00950D1B">
        <w:rPr>
          <w:rFonts w:hint="eastAsia"/>
          <w:b/>
        </w:rPr>
        <w:tab/>
      </w:r>
      <w:r w:rsidR="00950D1B" w:rsidRPr="00950D1B">
        <w:rPr>
          <w:b/>
        </w:rPr>
        <w:t>The minimum value of the eDRX cycle is 2.56 sec for both RRC_IDLE and RRC_INACTIVE.</w:t>
      </w:r>
    </w:p>
    <w:p w14:paraId="21E5B524" w14:textId="77777777" w:rsidR="00E57063" w:rsidRDefault="00863065" w:rsidP="00C30470">
      <w:pPr>
        <w:pStyle w:val="2"/>
        <w:numPr>
          <w:ilvl w:val="0"/>
          <w:numId w:val="2"/>
        </w:numPr>
        <w:rPr>
          <w:lang w:eastAsia="ja-JP"/>
        </w:rPr>
      </w:pPr>
      <w:r>
        <w:rPr>
          <w:rFonts w:hint="eastAsia"/>
          <w:lang w:eastAsia="ja-JP"/>
        </w:rPr>
        <w:lastRenderedPageBreak/>
        <w:t>Summary and proposal</w:t>
      </w:r>
    </w:p>
    <w:p w14:paraId="0462F49B" w14:textId="4D93B569" w:rsidR="00137660" w:rsidRDefault="00AC2C1A" w:rsidP="00137660">
      <w:pPr>
        <w:rPr>
          <w:lang w:eastAsia="ja-JP"/>
        </w:rPr>
      </w:pPr>
      <w:r>
        <w:rPr>
          <w:rFonts w:hint="eastAsia"/>
          <w:lang w:eastAsia="ja-JP"/>
        </w:rPr>
        <w:t xml:space="preserve">This paper discussed on the open issues </w:t>
      </w:r>
      <w:r>
        <w:rPr>
          <w:lang w:eastAsia="ja-JP"/>
        </w:rPr>
        <w:t>about PTW and eDRX cycles. In summary, the followings were proposed.</w:t>
      </w:r>
    </w:p>
    <w:p w14:paraId="36A36572" w14:textId="7613FC5E" w:rsidR="00AC2C1A" w:rsidRDefault="00432F4A" w:rsidP="00432F4A">
      <w:pPr>
        <w:pStyle w:val="B1"/>
        <w:rPr>
          <w:b/>
        </w:rPr>
      </w:pPr>
      <w:r w:rsidRPr="00950D1B">
        <w:rPr>
          <w:rFonts w:hint="eastAsia"/>
          <w:b/>
        </w:rPr>
        <w:t>Propo</w:t>
      </w:r>
      <w:r w:rsidRPr="00950D1B">
        <w:rPr>
          <w:b/>
        </w:rPr>
        <w:t>sal 1:</w:t>
      </w:r>
      <w:r w:rsidRPr="00950D1B">
        <w:rPr>
          <w:b/>
        </w:rPr>
        <w:tab/>
        <w:t>PTW length and starting point can be different or same for RRC_IDLE and RRC_INACTIVE.</w:t>
      </w:r>
    </w:p>
    <w:p w14:paraId="77C5A785" w14:textId="6F8F4275" w:rsidR="00D80FCD" w:rsidRDefault="00D80FCD" w:rsidP="00432F4A">
      <w:pPr>
        <w:pStyle w:val="B1"/>
        <w:rPr>
          <w:b/>
        </w:rPr>
      </w:pPr>
      <w:r>
        <w:rPr>
          <w:b/>
        </w:rPr>
        <w:t>Proposal 2:</w:t>
      </w:r>
      <w:r>
        <w:rPr>
          <w:b/>
        </w:rPr>
        <w:tab/>
        <w:t xml:space="preserve">When a PH for RRC_IDLE coincides with the one for RRC_INACTIVE, it is up to NW </w:t>
      </w:r>
      <w:r>
        <w:rPr>
          <w:b/>
        </w:rPr>
        <w:tab/>
      </w:r>
      <w:r>
        <w:rPr>
          <w:b/>
        </w:rPr>
        <w:tab/>
      </w:r>
      <w:r>
        <w:rPr>
          <w:b/>
        </w:rPr>
        <w:tab/>
      </w:r>
      <w:r>
        <w:rPr>
          <w:b/>
        </w:rPr>
        <w:tab/>
      </w:r>
      <w:r>
        <w:rPr>
          <w:b/>
        </w:rPr>
        <w:tab/>
        <w:t xml:space="preserve">implementation whether PTW is overlapped or not between RRC_IDLE and </w:t>
      </w:r>
      <w:r>
        <w:rPr>
          <w:b/>
        </w:rPr>
        <w:tab/>
      </w:r>
      <w:r>
        <w:rPr>
          <w:b/>
        </w:rPr>
        <w:tab/>
      </w:r>
      <w:r>
        <w:rPr>
          <w:b/>
        </w:rPr>
        <w:tab/>
      </w:r>
      <w:r>
        <w:rPr>
          <w:b/>
        </w:rPr>
        <w:tab/>
      </w:r>
      <w:r>
        <w:rPr>
          <w:b/>
        </w:rPr>
        <w:tab/>
      </w:r>
      <w:r>
        <w:rPr>
          <w:b/>
        </w:rPr>
        <w:tab/>
      </w:r>
      <w:r>
        <w:rPr>
          <w:b/>
        </w:rPr>
        <w:tab/>
      </w:r>
      <w:r>
        <w:rPr>
          <w:b/>
        </w:rPr>
        <w:tab/>
        <w:t>RRC_INACTIVE within the PH.</w:t>
      </w:r>
    </w:p>
    <w:p w14:paraId="3F7FF54F" w14:textId="553A05A7" w:rsidR="00432F4A" w:rsidRPr="00137660" w:rsidRDefault="00D80FCD" w:rsidP="00432F4A">
      <w:pPr>
        <w:pStyle w:val="B1"/>
      </w:pPr>
      <w:r>
        <w:rPr>
          <w:rFonts w:hint="eastAsia"/>
          <w:b/>
        </w:rPr>
        <w:t>Proposal 3</w:t>
      </w:r>
      <w:r w:rsidR="00432F4A" w:rsidRPr="00950D1B">
        <w:rPr>
          <w:rFonts w:hint="eastAsia"/>
          <w:b/>
        </w:rPr>
        <w:t>:</w:t>
      </w:r>
      <w:r w:rsidR="00432F4A" w:rsidRPr="00950D1B">
        <w:rPr>
          <w:rFonts w:hint="eastAsia"/>
          <w:b/>
        </w:rPr>
        <w:tab/>
      </w:r>
      <w:r w:rsidR="00432F4A" w:rsidRPr="00950D1B">
        <w:rPr>
          <w:b/>
        </w:rPr>
        <w:t>The minimum value of the eDRX cycle is 2.56 sec for both RRC_IDLE and RRC_INACTIVE.</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4A95FCE1" w:rsidR="00137660" w:rsidRDefault="00F433C3" w:rsidP="00137660">
      <w:pPr>
        <w:rPr>
          <w:lang w:eastAsia="ja-JP"/>
        </w:rPr>
      </w:pPr>
      <w:r>
        <w:rPr>
          <w:rFonts w:hint="eastAsia"/>
          <w:lang w:eastAsia="ja-JP"/>
        </w:rPr>
        <w:t>[</w:t>
      </w:r>
      <w:r>
        <w:rPr>
          <w:lang w:eastAsia="ja-JP"/>
        </w:rPr>
        <w:t>1] R2-2104701, “</w:t>
      </w:r>
      <w:r w:rsidRPr="00F433C3">
        <w:rPr>
          <w:lang w:eastAsia="ja-JP"/>
        </w:rPr>
        <w:t>RAN2#113bis-e Meeting Report</w:t>
      </w:r>
      <w:r>
        <w:rPr>
          <w:lang w:eastAsia="ja-JP"/>
        </w:rPr>
        <w:t>,” ETSI MCC.</w:t>
      </w:r>
    </w:p>
    <w:p w14:paraId="7713284A" w14:textId="583BDD9E" w:rsidR="00AB0891" w:rsidRDefault="00AB0891" w:rsidP="00137660">
      <w:pPr>
        <w:rPr>
          <w:lang w:eastAsia="ja-JP"/>
        </w:rPr>
      </w:pPr>
      <w:r>
        <w:rPr>
          <w:lang w:eastAsia="ja-JP"/>
        </w:rPr>
        <w:t>[2] R2-2104367, “</w:t>
      </w:r>
      <w:r w:rsidRPr="00AB0891">
        <w:rPr>
          <w:lang w:eastAsia="ja-JP"/>
        </w:rPr>
        <w:t>Summary of offline 101 - [REDCAP] eDRX cycles - second round</w:t>
      </w:r>
      <w:r>
        <w:rPr>
          <w:lang w:eastAsia="ja-JP"/>
        </w:rPr>
        <w:t>,” Intel Corporation.</w:t>
      </w:r>
    </w:p>
    <w:p w14:paraId="0BB1E3A6" w14:textId="64B53571" w:rsidR="00ED0D74" w:rsidRPr="00137660" w:rsidRDefault="00ED0D74" w:rsidP="00137660">
      <w:pPr>
        <w:rPr>
          <w:lang w:eastAsia="ja-JP"/>
        </w:rPr>
      </w:pPr>
      <w:r>
        <w:rPr>
          <w:lang w:eastAsia="ja-JP"/>
        </w:rPr>
        <w:t>[3] TS 38.508-1</w:t>
      </w:r>
      <w:r w:rsidR="00276893">
        <w:rPr>
          <w:lang w:eastAsia="ja-JP"/>
        </w:rPr>
        <w:t xml:space="preserve"> v16.7.0</w:t>
      </w:r>
      <w:r>
        <w:rPr>
          <w:lang w:eastAsia="ja-JP"/>
        </w:rPr>
        <w:t>, “</w:t>
      </w:r>
      <w:r w:rsidRPr="00ED0D74">
        <w:rPr>
          <w:lang w:eastAsia="ja-JP"/>
        </w:rPr>
        <w:t>User Equipment (UE) conformance specification;</w:t>
      </w:r>
      <w:r>
        <w:rPr>
          <w:lang w:eastAsia="ja-JP"/>
        </w:rPr>
        <w:t xml:space="preserve"> </w:t>
      </w:r>
      <w:r w:rsidRPr="00ED0D74">
        <w:rPr>
          <w:lang w:eastAsia="ja-JP"/>
        </w:rPr>
        <w:t>Part 1: Common test environment</w:t>
      </w:r>
      <w:r>
        <w:rPr>
          <w:lang w:eastAsia="ja-JP"/>
        </w:rPr>
        <w:t>,”</w:t>
      </w:r>
    </w:p>
    <w:sectPr w:rsidR="00ED0D74" w:rsidRPr="00137660">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38FED" w14:textId="77777777" w:rsidR="007351F0" w:rsidRDefault="007351F0">
      <w:r>
        <w:separator/>
      </w:r>
    </w:p>
  </w:endnote>
  <w:endnote w:type="continuationSeparator" w:id="0">
    <w:p w14:paraId="4AF77E9F" w14:textId="77777777" w:rsidR="007351F0" w:rsidRDefault="0073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40450FBB"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B92030">
      <w:rPr>
        <w:rStyle w:val="af7"/>
      </w:rPr>
      <w:t>3</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5A151" w14:textId="77777777" w:rsidR="007351F0" w:rsidRDefault="007351F0">
      <w:r>
        <w:separator/>
      </w:r>
    </w:p>
  </w:footnote>
  <w:footnote w:type="continuationSeparator" w:id="0">
    <w:p w14:paraId="229C9DF2" w14:textId="77777777" w:rsidR="007351F0" w:rsidRDefault="00735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0CD2"/>
    <w:rsid w:val="00052B2C"/>
    <w:rsid w:val="00053A5A"/>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96419"/>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3A39"/>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06ED"/>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6FA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2FE7"/>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1FC2"/>
    <w:rsid w:val="001F3820"/>
    <w:rsid w:val="001F4FD5"/>
    <w:rsid w:val="001F6DD2"/>
    <w:rsid w:val="00202106"/>
    <w:rsid w:val="00202226"/>
    <w:rsid w:val="002022ED"/>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6893"/>
    <w:rsid w:val="00277900"/>
    <w:rsid w:val="00280BFA"/>
    <w:rsid w:val="00281169"/>
    <w:rsid w:val="002811A1"/>
    <w:rsid w:val="002816BC"/>
    <w:rsid w:val="00282754"/>
    <w:rsid w:val="00283143"/>
    <w:rsid w:val="002831C8"/>
    <w:rsid w:val="00284DF6"/>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4774"/>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81B"/>
    <w:rsid w:val="00363CDE"/>
    <w:rsid w:val="003644D9"/>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2F4A"/>
    <w:rsid w:val="00433259"/>
    <w:rsid w:val="0043487D"/>
    <w:rsid w:val="004349F2"/>
    <w:rsid w:val="00435176"/>
    <w:rsid w:val="004405A8"/>
    <w:rsid w:val="00440AE7"/>
    <w:rsid w:val="004430BF"/>
    <w:rsid w:val="004503DF"/>
    <w:rsid w:val="0045099B"/>
    <w:rsid w:val="00452197"/>
    <w:rsid w:val="00452A46"/>
    <w:rsid w:val="004535F6"/>
    <w:rsid w:val="00453AA5"/>
    <w:rsid w:val="004568D5"/>
    <w:rsid w:val="00457503"/>
    <w:rsid w:val="00461E31"/>
    <w:rsid w:val="00461EEF"/>
    <w:rsid w:val="00462788"/>
    <w:rsid w:val="00462FF8"/>
    <w:rsid w:val="0046357B"/>
    <w:rsid w:val="00464491"/>
    <w:rsid w:val="00465AC3"/>
    <w:rsid w:val="00465EB0"/>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024A"/>
    <w:rsid w:val="00491505"/>
    <w:rsid w:val="004935B1"/>
    <w:rsid w:val="004945D0"/>
    <w:rsid w:val="0049601C"/>
    <w:rsid w:val="00497F17"/>
    <w:rsid w:val="004A1E59"/>
    <w:rsid w:val="004A3FD5"/>
    <w:rsid w:val="004B10DB"/>
    <w:rsid w:val="004B1DB1"/>
    <w:rsid w:val="004B2387"/>
    <w:rsid w:val="004B3910"/>
    <w:rsid w:val="004B4F42"/>
    <w:rsid w:val="004B5F16"/>
    <w:rsid w:val="004B7B38"/>
    <w:rsid w:val="004C063B"/>
    <w:rsid w:val="004C0685"/>
    <w:rsid w:val="004C1520"/>
    <w:rsid w:val="004C25CB"/>
    <w:rsid w:val="004C3D02"/>
    <w:rsid w:val="004C4687"/>
    <w:rsid w:val="004C4CCC"/>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242C"/>
    <w:rsid w:val="00513B64"/>
    <w:rsid w:val="00514072"/>
    <w:rsid w:val="00514183"/>
    <w:rsid w:val="00515354"/>
    <w:rsid w:val="005158F8"/>
    <w:rsid w:val="005160DD"/>
    <w:rsid w:val="0051752B"/>
    <w:rsid w:val="005175AA"/>
    <w:rsid w:val="00520109"/>
    <w:rsid w:val="00521EE9"/>
    <w:rsid w:val="005227F7"/>
    <w:rsid w:val="005263CD"/>
    <w:rsid w:val="00526706"/>
    <w:rsid w:val="00526B14"/>
    <w:rsid w:val="005272E9"/>
    <w:rsid w:val="00531768"/>
    <w:rsid w:val="00531C2C"/>
    <w:rsid w:val="00533D4F"/>
    <w:rsid w:val="00533FE0"/>
    <w:rsid w:val="00535133"/>
    <w:rsid w:val="00535E82"/>
    <w:rsid w:val="00537F2F"/>
    <w:rsid w:val="005402EE"/>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379"/>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76"/>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0B78"/>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31FDA"/>
    <w:rsid w:val="007321A9"/>
    <w:rsid w:val="007342B3"/>
    <w:rsid w:val="007346B4"/>
    <w:rsid w:val="007351F0"/>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0AE1"/>
    <w:rsid w:val="007A14EE"/>
    <w:rsid w:val="007A1526"/>
    <w:rsid w:val="007A2CEB"/>
    <w:rsid w:val="007A2F92"/>
    <w:rsid w:val="007A3514"/>
    <w:rsid w:val="007A38EB"/>
    <w:rsid w:val="007A55A4"/>
    <w:rsid w:val="007A5908"/>
    <w:rsid w:val="007B0FEF"/>
    <w:rsid w:val="007B11E6"/>
    <w:rsid w:val="007B18B4"/>
    <w:rsid w:val="007B2B2C"/>
    <w:rsid w:val="007B3F45"/>
    <w:rsid w:val="007B4109"/>
    <w:rsid w:val="007B4F35"/>
    <w:rsid w:val="007B54BF"/>
    <w:rsid w:val="007B5A08"/>
    <w:rsid w:val="007B5A89"/>
    <w:rsid w:val="007B5CE4"/>
    <w:rsid w:val="007B62F5"/>
    <w:rsid w:val="007B736B"/>
    <w:rsid w:val="007B7817"/>
    <w:rsid w:val="007B7A28"/>
    <w:rsid w:val="007B7C06"/>
    <w:rsid w:val="007C0C4B"/>
    <w:rsid w:val="007C0EE2"/>
    <w:rsid w:val="007C1A72"/>
    <w:rsid w:val="007C3FBD"/>
    <w:rsid w:val="007C779E"/>
    <w:rsid w:val="007C7B25"/>
    <w:rsid w:val="007D1CC2"/>
    <w:rsid w:val="007D4098"/>
    <w:rsid w:val="007D5123"/>
    <w:rsid w:val="007D53CC"/>
    <w:rsid w:val="007D5585"/>
    <w:rsid w:val="007D78A8"/>
    <w:rsid w:val="007E16F7"/>
    <w:rsid w:val="007E30CB"/>
    <w:rsid w:val="007E3ECD"/>
    <w:rsid w:val="007E4A00"/>
    <w:rsid w:val="007E4A4A"/>
    <w:rsid w:val="007E4C86"/>
    <w:rsid w:val="007E5079"/>
    <w:rsid w:val="007F0DC5"/>
    <w:rsid w:val="007F1345"/>
    <w:rsid w:val="007F15D5"/>
    <w:rsid w:val="007F1CA3"/>
    <w:rsid w:val="007F1F73"/>
    <w:rsid w:val="007F3983"/>
    <w:rsid w:val="007F45AA"/>
    <w:rsid w:val="007F4D0E"/>
    <w:rsid w:val="00800148"/>
    <w:rsid w:val="00800B9C"/>
    <w:rsid w:val="00800EE7"/>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178D2"/>
    <w:rsid w:val="00821BE1"/>
    <w:rsid w:val="00822AB7"/>
    <w:rsid w:val="00823ED2"/>
    <w:rsid w:val="008240FC"/>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182F"/>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771"/>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A9A"/>
    <w:rsid w:val="00920D83"/>
    <w:rsid w:val="0092276C"/>
    <w:rsid w:val="009259DE"/>
    <w:rsid w:val="00926543"/>
    <w:rsid w:val="00926D63"/>
    <w:rsid w:val="00930600"/>
    <w:rsid w:val="009319BA"/>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0D1B"/>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117"/>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D7256"/>
    <w:rsid w:val="009E093A"/>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39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984"/>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0891"/>
    <w:rsid w:val="00AB14B6"/>
    <w:rsid w:val="00AB163D"/>
    <w:rsid w:val="00AB1F3D"/>
    <w:rsid w:val="00AB1FF3"/>
    <w:rsid w:val="00AB2759"/>
    <w:rsid w:val="00AB32D7"/>
    <w:rsid w:val="00AB3733"/>
    <w:rsid w:val="00AB3A7D"/>
    <w:rsid w:val="00AB4C19"/>
    <w:rsid w:val="00AB52FB"/>
    <w:rsid w:val="00AB769D"/>
    <w:rsid w:val="00AB7B54"/>
    <w:rsid w:val="00AC2C1A"/>
    <w:rsid w:val="00AC33CC"/>
    <w:rsid w:val="00AC3B8A"/>
    <w:rsid w:val="00AC43D7"/>
    <w:rsid w:val="00AC594D"/>
    <w:rsid w:val="00AC68DC"/>
    <w:rsid w:val="00AD2858"/>
    <w:rsid w:val="00AD4F86"/>
    <w:rsid w:val="00AE0372"/>
    <w:rsid w:val="00AE120D"/>
    <w:rsid w:val="00AE439E"/>
    <w:rsid w:val="00AE55D9"/>
    <w:rsid w:val="00AE5BC8"/>
    <w:rsid w:val="00AE5C1C"/>
    <w:rsid w:val="00AE62EB"/>
    <w:rsid w:val="00AE698A"/>
    <w:rsid w:val="00AE7C99"/>
    <w:rsid w:val="00AF0065"/>
    <w:rsid w:val="00AF0ED9"/>
    <w:rsid w:val="00AF1572"/>
    <w:rsid w:val="00AF3B36"/>
    <w:rsid w:val="00AF424F"/>
    <w:rsid w:val="00AF465D"/>
    <w:rsid w:val="00AF4D1B"/>
    <w:rsid w:val="00AF7022"/>
    <w:rsid w:val="00AF7F6D"/>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170"/>
    <w:rsid w:val="00B8446D"/>
    <w:rsid w:val="00B855DB"/>
    <w:rsid w:val="00B869BE"/>
    <w:rsid w:val="00B86C54"/>
    <w:rsid w:val="00B86CD1"/>
    <w:rsid w:val="00B874A8"/>
    <w:rsid w:val="00B87F92"/>
    <w:rsid w:val="00B9078B"/>
    <w:rsid w:val="00B90BA7"/>
    <w:rsid w:val="00B92030"/>
    <w:rsid w:val="00B92411"/>
    <w:rsid w:val="00B93111"/>
    <w:rsid w:val="00B93909"/>
    <w:rsid w:val="00B93F61"/>
    <w:rsid w:val="00B97052"/>
    <w:rsid w:val="00BA0D93"/>
    <w:rsid w:val="00BA3653"/>
    <w:rsid w:val="00BA3703"/>
    <w:rsid w:val="00BA3B15"/>
    <w:rsid w:val="00BA4845"/>
    <w:rsid w:val="00BA5F8B"/>
    <w:rsid w:val="00BA674C"/>
    <w:rsid w:val="00BA710E"/>
    <w:rsid w:val="00BA7469"/>
    <w:rsid w:val="00BA7BD1"/>
    <w:rsid w:val="00BB0AC3"/>
    <w:rsid w:val="00BB13AC"/>
    <w:rsid w:val="00BB15F0"/>
    <w:rsid w:val="00BB23E7"/>
    <w:rsid w:val="00BB2E23"/>
    <w:rsid w:val="00BB2FB6"/>
    <w:rsid w:val="00BB5AC3"/>
    <w:rsid w:val="00BB6677"/>
    <w:rsid w:val="00BB7295"/>
    <w:rsid w:val="00BC057D"/>
    <w:rsid w:val="00BC0A35"/>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80E"/>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0A7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0FCD"/>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ACB"/>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266"/>
    <w:rsid w:val="00E13F6E"/>
    <w:rsid w:val="00E15141"/>
    <w:rsid w:val="00E156BF"/>
    <w:rsid w:val="00E15D5B"/>
    <w:rsid w:val="00E16F42"/>
    <w:rsid w:val="00E204C1"/>
    <w:rsid w:val="00E20F48"/>
    <w:rsid w:val="00E21828"/>
    <w:rsid w:val="00E231E4"/>
    <w:rsid w:val="00E27ACE"/>
    <w:rsid w:val="00E3061E"/>
    <w:rsid w:val="00E30A37"/>
    <w:rsid w:val="00E315E8"/>
    <w:rsid w:val="00E31E4A"/>
    <w:rsid w:val="00E33688"/>
    <w:rsid w:val="00E34D3C"/>
    <w:rsid w:val="00E354CA"/>
    <w:rsid w:val="00E36E3A"/>
    <w:rsid w:val="00E37356"/>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54D7"/>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6F7"/>
    <w:rsid w:val="00E9314D"/>
    <w:rsid w:val="00E93AED"/>
    <w:rsid w:val="00E94855"/>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0D7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33C3"/>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0D18"/>
    <w:rsid w:val="00F71EA1"/>
    <w:rsid w:val="00F74A60"/>
    <w:rsid w:val="00F75FBE"/>
    <w:rsid w:val="00F80D60"/>
    <w:rsid w:val="00F80F57"/>
    <w:rsid w:val="00F84060"/>
    <w:rsid w:val="00F8741C"/>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4C4CC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28267973">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FDA0-4B9D-4171-8313-30EB5DA7D1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D05536-4673-415E-B3D9-0D78663A1EC3}">
  <ds:schemaRefs>
    <ds:schemaRef ds:uri="http://schemas.microsoft.com/sharepoint/v3/contenttype/forms"/>
  </ds:schemaRefs>
</ds:datastoreItem>
</file>

<file path=customXml/itemProps3.xml><?xml version="1.0" encoding="utf-8"?>
<ds:datastoreItem xmlns:ds="http://schemas.openxmlformats.org/officeDocument/2006/customXml" ds:itemID="{545F4945-1C29-429F-8A38-643273400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Pages>
  <Words>1140</Words>
  <Characters>6499</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Haruhiko Sogabe (曽我部 治彦)</cp:lastModifiedBy>
  <cp:revision>18</cp:revision>
  <cp:lastPrinted>2006-02-09T00:55:00Z</cp:lastPrinted>
  <dcterms:created xsi:type="dcterms:W3CDTF">2021-05-10T15:09:00Z</dcterms:created>
  <dcterms:modified xsi:type="dcterms:W3CDTF">2021-05-11T05:59:00Z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