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5F5920C"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5322E6">
        <w:rPr>
          <w:rFonts w:cs="Arial"/>
          <w:bCs/>
          <w:sz w:val="24"/>
          <w:szCs w:val="24"/>
          <w:lang w:eastAsia="ja-JP"/>
        </w:rPr>
        <w:t>4</w:t>
      </w:r>
      <w:r w:rsidR="00EC6925" w:rsidRPr="00E710AA">
        <w:rPr>
          <w:rFonts w:cs="Arial"/>
          <w:bCs/>
          <w:sz w:val="24"/>
          <w:szCs w:val="24"/>
          <w:lang w:eastAsia="ja-JP"/>
        </w:rPr>
        <w:t>-e</w:t>
      </w:r>
      <w:r w:rsidR="005322E6">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8473B0">
        <w:rPr>
          <w:rFonts w:cs="Arial"/>
          <w:bCs/>
          <w:sz w:val="24"/>
          <w:szCs w:val="24"/>
          <w:lang w:eastAsia="ja-JP"/>
        </w:rPr>
        <w:t>1</w:t>
      </w:r>
      <w:r w:rsidR="004E49D1">
        <w:rPr>
          <w:rFonts w:cs="Arial"/>
          <w:bCs/>
          <w:sz w:val="24"/>
          <w:szCs w:val="24"/>
          <w:lang w:eastAsia="ja-JP"/>
        </w:rPr>
        <w:t>0</w:t>
      </w:r>
      <w:r w:rsidR="00C07654">
        <w:rPr>
          <w:rFonts w:cs="Arial"/>
          <w:bCs/>
          <w:sz w:val="24"/>
          <w:szCs w:val="24"/>
          <w:lang w:eastAsia="ja-JP"/>
        </w:rPr>
        <w:t>5252</w:t>
      </w:r>
      <w:bookmarkStart w:id="0" w:name="_GoBack"/>
      <w:bookmarkEnd w:id="0"/>
    </w:p>
    <w:p w14:paraId="29CDF947" w14:textId="03BDF5A0"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5322E6">
        <w:rPr>
          <w:rFonts w:cs="Arial"/>
          <w:bCs/>
          <w:sz w:val="24"/>
          <w:szCs w:val="24"/>
          <w:lang w:eastAsia="ja-JP"/>
        </w:rPr>
        <w:t>May</w:t>
      </w:r>
      <w:r w:rsidR="00A80536">
        <w:rPr>
          <w:rFonts w:cs="Arial"/>
          <w:bCs/>
          <w:sz w:val="24"/>
          <w:szCs w:val="24"/>
          <w:lang w:eastAsia="ja-JP"/>
        </w:rPr>
        <w:t xml:space="preserve"> </w:t>
      </w:r>
      <w:r w:rsidR="005322E6">
        <w:rPr>
          <w:rFonts w:cs="Arial"/>
          <w:bCs/>
          <w:sz w:val="24"/>
          <w:szCs w:val="24"/>
          <w:lang w:eastAsia="ja-JP"/>
        </w:rPr>
        <w:t>19</w:t>
      </w:r>
      <w:r w:rsidR="008473B0">
        <w:rPr>
          <w:rFonts w:cs="Arial"/>
          <w:bCs/>
          <w:sz w:val="24"/>
          <w:szCs w:val="24"/>
          <w:vertAlign w:val="superscript"/>
          <w:lang w:eastAsia="ja-JP"/>
        </w:rPr>
        <w:t>th</w:t>
      </w:r>
      <w:r w:rsidR="00A80536">
        <w:rPr>
          <w:rFonts w:cs="Arial"/>
          <w:bCs/>
          <w:sz w:val="24"/>
          <w:szCs w:val="24"/>
          <w:lang w:eastAsia="ja-JP"/>
        </w:rPr>
        <w:t xml:space="preserve"> – </w:t>
      </w:r>
      <w:r w:rsidR="005322E6">
        <w:rPr>
          <w:rFonts w:cs="Arial"/>
          <w:bCs/>
          <w:sz w:val="24"/>
          <w:szCs w:val="24"/>
          <w:lang w:eastAsia="ja-JP"/>
        </w:rPr>
        <w:t>May</w:t>
      </w:r>
      <w:r w:rsidR="00F5468B">
        <w:rPr>
          <w:rFonts w:cs="Arial"/>
          <w:bCs/>
          <w:sz w:val="24"/>
          <w:szCs w:val="24"/>
          <w:lang w:eastAsia="ja-JP"/>
        </w:rPr>
        <w:t xml:space="preserve"> </w:t>
      </w:r>
      <w:r w:rsidR="003D5C74">
        <w:rPr>
          <w:rFonts w:cs="Arial"/>
          <w:bCs/>
          <w:sz w:val="24"/>
          <w:szCs w:val="24"/>
          <w:lang w:eastAsia="ja-JP"/>
        </w:rPr>
        <w:t>2</w:t>
      </w:r>
      <w:r w:rsidR="005322E6">
        <w:rPr>
          <w:rFonts w:cs="Arial"/>
          <w:bCs/>
          <w:sz w:val="24"/>
          <w:szCs w:val="24"/>
          <w:lang w:eastAsia="ja-JP"/>
        </w:rPr>
        <w:t>7</w:t>
      </w:r>
      <w:r w:rsidRPr="00A80536">
        <w:rPr>
          <w:rFonts w:cs="Arial"/>
          <w:bCs/>
          <w:sz w:val="24"/>
          <w:szCs w:val="24"/>
          <w:vertAlign w:val="superscript"/>
          <w:lang w:eastAsia="ja-JP"/>
        </w:rPr>
        <w:t>th</w:t>
      </w:r>
      <w:r w:rsidRPr="00E710AA">
        <w:rPr>
          <w:rFonts w:cs="Arial"/>
          <w:bCs/>
          <w:sz w:val="24"/>
          <w:szCs w:val="24"/>
          <w:lang w:eastAsia="ja-JP"/>
        </w:rPr>
        <w:t>, 202</w:t>
      </w:r>
      <w:r w:rsidR="008473B0">
        <w:rPr>
          <w:rFonts w:cs="Arial"/>
          <w:bCs/>
          <w:sz w:val="24"/>
          <w:szCs w:val="24"/>
          <w:lang w:eastAsia="ja-JP"/>
        </w:rPr>
        <w:t>1</w:t>
      </w:r>
      <w:r w:rsidR="005322E6">
        <w:rPr>
          <w:rFonts w:cs="Arial"/>
          <w:bCs/>
          <w:sz w:val="24"/>
          <w:szCs w:val="24"/>
          <w:lang w:eastAsia="ja-JP"/>
        </w:rPr>
        <w:t xml:space="preserve">                           (Resubmission of </w:t>
      </w:r>
      <w:r w:rsidR="005322E6" w:rsidRPr="00E710AA">
        <w:rPr>
          <w:rFonts w:cs="Arial"/>
          <w:bCs/>
          <w:sz w:val="24"/>
          <w:szCs w:val="24"/>
          <w:lang w:eastAsia="ja-JP"/>
        </w:rPr>
        <w:t>R2-</w:t>
      </w:r>
      <w:r w:rsidR="005322E6">
        <w:rPr>
          <w:rFonts w:cs="Arial"/>
          <w:bCs/>
          <w:sz w:val="24"/>
          <w:szCs w:val="24"/>
          <w:lang w:eastAsia="ja-JP"/>
        </w:rPr>
        <w:t>2102826</w:t>
      </w:r>
      <w:r w:rsidR="005322E6">
        <w:rPr>
          <w:rFonts w:cs="Arial"/>
          <w:bCs/>
          <w:sz w:val="24"/>
          <w:szCs w:val="24"/>
          <w:lang w:eastAsia="ja-JP"/>
        </w:rPr>
        <w:t>)</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6C05ED1D"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663380" w:rsidRPr="00E710AA">
        <w:rPr>
          <w:rFonts w:cs="Arial"/>
          <w:b/>
          <w:noProof/>
          <w:sz w:val="24"/>
        </w:rPr>
        <w:t>8.10.3.</w:t>
      </w:r>
      <w:r w:rsidR="001C6025">
        <w:rPr>
          <w:rFonts w:cs="Arial"/>
          <w:b/>
          <w:noProof/>
          <w:sz w:val="24"/>
        </w:rPr>
        <w:t>1</w:t>
      </w:r>
    </w:p>
    <w:p w14:paraId="3DD82F11" w14:textId="12D9A197"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0468B3F0"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3D5C74" w:rsidRPr="003D5C74">
        <w:rPr>
          <w:rFonts w:cs="Arial"/>
          <w:b/>
          <w:noProof/>
          <w:sz w:val="24"/>
        </w:rPr>
        <w:t>On Soft-switch based</w:t>
      </w:r>
      <w:r w:rsidR="003D5C74">
        <w:rPr>
          <w:rFonts w:cs="Arial"/>
          <w:b/>
          <w:noProof/>
          <w:sz w:val="24"/>
        </w:rPr>
        <w:t xml:space="preserve"> Tracking Area Updates </w:t>
      </w:r>
      <w:r w:rsidR="00B62AF8">
        <w:rPr>
          <w:rFonts w:cs="Arial"/>
          <w:b/>
          <w:noProof/>
          <w:sz w:val="24"/>
        </w:rPr>
        <w:t>in NR-NTN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135A4156" w14:textId="6F0C72DA" w:rsidR="001C6025" w:rsidRDefault="0096060F" w:rsidP="0096060F">
      <w:pPr>
        <w:spacing w:before="240"/>
        <w:rPr>
          <w:rFonts w:ascii="Arial" w:hAnsi="Arial" w:cs="Arial"/>
        </w:rPr>
      </w:pPr>
      <w:r w:rsidRPr="00156F24">
        <w:rPr>
          <w:rFonts w:ascii="Arial" w:hAnsi="Arial" w:cs="Arial"/>
        </w:rPr>
        <w:t>During the study item for non-terrestrial networks, the impact</w:t>
      </w:r>
      <w:r w:rsidR="00995A90">
        <w:rPr>
          <w:rFonts w:ascii="Arial" w:hAnsi="Arial" w:cs="Arial"/>
        </w:rPr>
        <w:t xml:space="preserve"> of</w:t>
      </w:r>
      <w:r w:rsidRPr="00156F24">
        <w:rPr>
          <w:rFonts w:ascii="Arial" w:hAnsi="Arial" w:cs="Arial"/>
        </w:rPr>
        <w:t xml:space="preserve">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r w:rsidR="001C6025">
        <w:rPr>
          <w:rFonts w:ascii="Arial" w:hAnsi="Arial" w:cs="Arial"/>
        </w:rPr>
        <w:t xml:space="preserve"> Furthermore, during RAN2 113-e the following agreement [2] was made:</w:t>
      </w:r>
    </w:p>
    <w:p w14:paraId="11A07662" w14:textId="77777777" w:rsidR="001C6025" w:rsidRDefault="001C6025" w:rsidP="0096060F">
      <w:pPr>
        <w:spacing w:before="240"/>
        <w:rPr>
          <w:rFonts w:ascii="Arial" w:hAnsi="Arial" w:cs="Arial"/>
        </w:rPr>
      </w:pPr>
    </w:p>
    <w:tbl>
      <w:tblPr>
        <w:tblStyle w:val="TableGrid"/>
        <w:tblW w:w="0" w:type="auto"/>
        <w:tblLook w:val="04A0" w:firstRow="1" w:lastRow="0" w:firstColumn="1" w:lastColumn="0" w:noHBand="0" w:noVBand="1"/>
      </w:tblPr>
      <w:tblGrid>
        <w:gridCol w:w="9016"/>
      </w:tblGrid>
      <w:tr w:rsidR="001C6025" w14:paraId="6EA76C2D" w14:textId="77777777" w:rsidTr="001C6025">
        <w:tc>
          <w:tcPr>
            <w:tcW w:w="9016" w:type="dxa"/>
          </w:tcPr>
          <w:p w14:paraId="15E25795" w14:textId="2746A215" w:rsidR="001C6025" w:rsidRDefault="001C6025" w:rsidP="001C6025">
            <w:pPr>
              <w:spacing w:before="240"/>
              <w:rPr>
                <w:rFonts w:ascii="Arial" w:hAnsi="Arial" w:cs="Arial"/>
              </w:rPr>
            </w:pPr>
            <w:r>
              <w:rPr>
                <w:rFonts w:ascii="Arial" w:hAnsi="Arial" w:cs="Arial"/>
              </w:rPr>
              <w:t>Agreements:</w:t>
            </w:r>
          </w:p>
          <w:p w14:paraId="1BDFBA1D" w14:textId="760E967F" w:rsidR="001C6025" w:rsidRDefault="001C6025" w:rsidP="001C6025">
            <w:pPr>
              <w:spacing w:before="240"/>
              <w:rPr>
                <w:rFonts w:ascii="Arial" w:hAnsi="Arial" w:cs="Arial"/>
              </w:rPr>
            </w:pPr>
            <w:r w:rsidRPr="001C6025">
              <w:rPr>
                <w:rFonts w:ascii="Arial" w:hAnsi="Arial" w:cs="Arial"/>
              </w:rPr>
              <w:t>1.</w:t>
            </w:r>
            <w:r>
              <w:rPr>
                <w:rFonts w:ascii="Arial" w:hAnsi="Arial" w:cs="Arial"/>
              </w:rPr>
              <w:t xml:space="preserve"> </w:t>
            </w:r>
            <w:r w:rsidRPr="001C6025">
              <w:rPr>
                <w:rFonts w:ascii="Arial" w:hAnsi="Arial" w:cs="Arial"/>
              </w:rPr>
              <w:t>In NTN, the UE determines the TA based on the broadcast information (the use of other information is not excluded). In any case RAN2 will not go in a different direction than other groups</w:t>
            </w:r>
          </w:p>
          <w:p w14:paraId="4432DF25" w14:textId="28B07E19" w:rsidR="001C6025" w:rsidRDefault="001C6025" w:rsidP="001C6025">
            <w:pPr>
              <w:spacing w:before="240"/>
              <w:rPr>
                <w:rFonts w:ascii="Arial" w:hAnsi="Arial" w:cs="Arial"/>
              </w:rPr>
            </w:pPr>
            <w:r w:rsidRPr="001C6025">
              <w:rPr>
                <w:rFonts w:ascii="Arial" w:hAnsi="Arial" w:cs="Arial"/>
                <w:highlight w:val="yellow"/>
              </w:rPr>
              <w:t>2. In NTN, the network may broadcast more than one TACs per PLMN in a cell, which is to up to network implementation.</w:t>
            </w:r>
          </w:p>
        </w:tc>
      </w:tr>
    </w:tbl>
    <w:p w14:paraId="6E58B27F" w14:textId="219AFEF7" w:rsidR="0096060F" w:rsidRPr="00156F24" w:rsidRDefault="0096060F" w:rsidP="0096060F">
      <w:pPr>
        <w:spacing w:before="240"/>
        <w:rPr>
          <w:rFonts w:ascii="Arial" w:hAnsi="Arial" w:cs="Arial"/>
        </w:rPr>
      </w:pPr>
      <w:r w:rsidRPr="00156F24">
        <w:rPr>
          <w:rFonts w:ascii="Arial" w:hAnsi="Arial" w:cs="Arial"/>
        </w:rPr>
        <w:t>In this contribution, we discuss solutions</w:t>
      </w:r>
      <w:r w:rsidR="001C6025">
        <w:rPr>
          <w:rFonts w:ascii="Arial" w:hAnsi="Arial" w:cs="Arial"/>
        </w:rPr>
        <w:t xml:space="preserve"> and changes required </w:t>
      </w:r>
      <w:r w:rsidRPr="00156F24">
        <w:rPr>
          <w:rFonts w:ascii="Arial" w:hAnsi="Arial" w:cs="Arial"/>
        </w:rPr>
        <w:t xml:space="preserve">for implementing earth fixed tracking areas with moving </w:t>
      </w:r>
      <w:r w:rsidR="001C6025">
        <w:rPr>
          <w:rFonts w:ascii="Arial" w:hAnsi="Arial" w:cs="Arial"/>
        </w:rPr>
        <w:t>NTN-</w:t>
      </w:r>
      <w:r w:rsidRPr="00156F24">
        <w:rPr>
          <w:rFonts w:ascii="Arial" w:hAnsi="Arial" w:cs="Arial"/>
        </w:rPr>
        <w:t xml:space="preserve">cells </w:t>
      </w:r>
      <w:r w:rsidR="001C6025">
        <w:rPr>
          <w:rFonts w:ascii="Arial" w:hAnsi="Arial" w:cs="Arial"/>
        </w:rPr>
        <w:t>and network broadcasting more than one TACs per PLMN in a cell</w:t>
      </w:r>
      <w:r w:rsidRPr="00156F24">
        <w:rPr>
          <w:rFonts w:ascii="Arial" w:hAnsi="Arial" w:cs="Arial"/>
        </w:rPr>
        <w:t>.</w:t>
      </w:r>
    </w:p>
    <w:p w14:paraId="5BC493B1" w14:textId="77777777" w:rsidR="0096060F" w:rsidRPr="00156F24" w:rsidRDefault="0096060F" w:rsidP="0096060F">
      <w:pPr>
        <w:pStyle w:val="Heading1"/>
        <w:rPr>
          <w:rFonts w:cs="Arial"/>
        </w:rPr>
      </w:pPr>
      <w:r w:rsidRPr="00156F24">
        <w:rPr>
          <w:rFonts w:cs="Arial"/>
        </w:rPr>
        <w:t>2 Discussion</w:t>
      </w:r>
    </w:p>
    <w:p w14:paraId="1F62DA53" w14:textId="4889FCBE"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w:t>
      </w:r>
      <w:r w:rsidR="00F57244">
        <w:rPr>
          <w:rFonts w:ascii="Arial" w:hAnsi="Arial" w:cs="Arial"/>
        </w:rPr>
        <w:t>3</w:t>
      </w:r>
      <w:r w:rsidR="00156F24">
        <w:rPr>
          <w:rFonts w:ascii="Arial" w:hAnsi="Arial" w:cs="Arial"/>
        </w:rPr>
        <w:t>]</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F57244">
        <w:rPr>
          <w:rFonts w:ascii="Arial" w:hAnsi="Arial" w:cs="Arial"/>
        </w:rPr>
        <w:t>4</w:t>
      </w:r>
      <w:r w:rsidR="00597394" w:rsidRPr="00156F24">
        <w:rPr>
          <w:rFonts w:ascii="Arial" w:hAnsi="Arial" w:cs="Arial"/>
        </w:rPr>
        <w:t>]</w:t>
      </w:r>
      <w:r w:rsidRPr="00156F24">
        <w:rPr>
          <w:rFonts w:ascii="Arial" w:hAnsi="Arial" w:cs="Arial"/>
        </w:rPr>
        <w:t>.</w:t>
      </w:r>
    </w:p>
    <w:p w14:paraId="49C6CB9E" w14:textId="445DC18F" w:rsidR="0096060F" w:rsidRPr="00156F24" w:rsidRDefault="001C6025" w:rsidP="0096060F">
      <w:pPr>
        <w:rPr>
          <w:rFonts w:ascii="Arial" w:hAnsi="Arial" w:cs="Arial"/>
        </w:rPr>
      </w:pPr>
      <w:r>
        <w:rPr>
          <w:rFonts w:ascii="Arial" w:hAnsi="Arial" w:cs="Arial"/>
        </w:rPr>
        <w:t xml:space="preserve">As agreed in RAN2 113-e, the soft-switch option </w:t>
      </w:r>
      <w:r w:rsidR="0096060F" w:rsidRPr="00156F24">
        <w:rPr>
          <w:rFonts w:ascii="Arial" w:hAnsi="Arial" w:cs="Arial"/>
        </w:rPr>
        <w:t>allow</w:t>
      </w:r>
      <w:r>
        <w:rPr>
          <w:rFonts w:ascii="Arial" w:hAnsi="Arial" w:cs="Arial"/>
        </w:rPr>
        <w:t>s</w:t>
      </w:r>
      <w:r w:rsidR="0096060F" w:rsidRPr="00156F24">
        <w:rPr>
          <w:rFonts w:ascii="Arial" w:hAnsi="Arial" w:cs="Arial"/>
        </w:rPr>
        <w:t xml:space="preserve"> one cell to broadcast more than one TAC per PLMN.</w:t>
      </w:r>
      <w:r>
        <w:rPr>
          <w:rFonts w:ascii="Arial" w:hAnsi="Arial" w:cs="Arial"/>
        </w:rPr>
        <w:t xml:space="preserve"> It can </w:t>
      </w:r>
      <w:r w:rsidR="0096060F" w:rsidRPr="00156F24">
        <w:rPr>
          <w:rFonts w:ascii="Arial" w:hAnsi="Arial" w:cs="Arial"/>
        </w:rPr>
        <w:t>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0FA8CADA" w:rsidR="0096060F" w:rsidRDefault="0096060F" w:rsidP="0096060F">
      <w:pPr>
        <w:pStyle w:val="ListParagraph"/>
        <w:numPr>
          <w:ilvl w:val="0"/>
          <w:numId w:val="36"/>
        </w:numPr>
        <w:rPr>
          <w:rFonts w:ascii="Arial" w:hAnsi="Arial" w:cs="Arial"/>
        </w:rPr>
      </w:pPr>
      <w:r w:rsidRPr="00156F24">
        <w:rPr>
          <w:rFonts w:ascii="Arial" w:hAnsi="Arial" w:cs="Arial"/>
        </w:rPr>
        <w:t xml:space="preserve">When the cell exits the primary region for a TAC, it </w:t>
      </w:r>
      <w:r w:rsidR="001C6025">
        <w:rPr>
          <w:rFonts w:ascii="Arial" w:hAnsi="Arial" w:cs="Arial"/>
        </w:rPr>
        <w:t>can stop</w:t>
      </w:r>
      <w:r w:rsidRPr="00156F24">
        <w:rPr>
          <w:rFonts w:ascii="Arial" w:hAnsi="Arial" w:cs="Arial"/>
        </w:rPr>
        <w:t xml:space="preserve"> broadcasting that TAC in its system information.</w:t>
      </w:r>
    </w:p>
    <w:p w14:paraId="054FD639" w14:textId="707BA234" w:rsidR="0096060F" w:rsidRPr="00156F24" w:rsidRDefault="0096060F" w:rsidP="0096060F">
      <w:pPr>
        <w:pStyle w:val="ListParagraph"/>
        <w:numPr>
          <w:ilvl w:val="0"/>
          <w:numId w:val="36"/>
        </w:numPr>
        <w:rPr>
          <w:rFonts w:ascii="Arial" w:hAnsi="Arial" w:cs="Arial"/>
        </w:rPr>
      </w:pPr>
      <w:r w:rsidRPr="00156F24">
        <w:rPr>
          <w:rFonts w:ascii="Arial" w:hAnsi="Arial" w:cs="Arial"/>
        </w:rPr>
        <w:t xml:space="preserve">The UE is registered to one TAC as in legacy. </w:t>
      </w:r>
      <w:r w:rsidR="001C6025">
        <w:rPr>
          <w:rFonts w:ascii="Arial" w:hAnsi="Arial" w:cs="Arial"/>
        </w:rPr>
        <w:t>I</w:t>
      </w:r>
      <w:r w:rsidRPr="00156F24">
        <w:rPr>
          <w:rFonts w:ascii="Arial" w:hAnsi="Arial" w:cs="Arial"/>
        </w:rPr>
        <w:t xml:space="preserve">t is provided by the network to the UE in the Registration Accept message. </w:t>
      </w:r>
      <w:r w:rsidR="00995A90">
        <w:rPr>
          <w:rFonts w:ascii="Arial" w:hAnsi="Arial" w:cs="Arial"/>
        </w:rPr>
        <w:t xml:space="preserve">(The choice of TAC can be left to NW implementation – one option could be to choose </w:t>
      </w:r>
      <w:r w:rsidRPr="00156F24">
        <w:rPr>
          <w:rFonts w:ascii="Arial" w:hAnsi="Arial" w:cs="Arial"/>
        </w:rPr>
        <w:t>the TAC that the cell is moving towards</w:t>
      </w:r>
      <w:r w:rsidR="00995A90">
        <w:rPr>
          <w:rFonts w:ascii="Arial" w:hAnsi="Arial" w:cs="Arial"/>
        </w:rPr>
        <w:t>, since it’s highly likely that a UE in that region has reselected to that cell)</w:t>
      </w:r>
      <w:r w:rsidRPr="00156F24">
        <w:rPr>
          <w:rFonts w:ascii="Arial" w:hAnsi="Arial" w:cs="Arial"/>
        </w:rPr>
        <w:t>.</w:t>
      </w:r>
    </w:p>
    <w:p w14:paraId="62DA089E" w14:textId="77777777" w:rsidR="0096060F" w:rsidRDefault="0096060F" w:rsidP="0096060F">
      <w:pPr>
        <w:pStyle w:val="ListParagraph"/>
        <w:numPr>
          <w:ilvl w:val="0"/>
          <w:numId w:val="36"/>
        </w:numPr>
        <w:rPr>
          <w:rFonts w:ascii="Arial" w:hAnsi="Arial" w:cs="Arial"/>
        </w:rPr>
      </w:pPr>
      <w:r w:rsidRPr="00156F24">
        <w:rPr>
          <w:rFonts w:ascii="Arial" w:hAnsi="Arial" w:cs="Arial"/>
        </w:rPr>
        <w:lastRenderedPageBreak/>
        <w:t>When the UE detects that it has moved to a cell that is not broadcasting the TAC that it is registered to, it initiates TAU.</w:t>
      </w:r>
    </w:p>
    <w:p w14:paraId="1EC9582A" w14:textId="12213FFD" w:rsidR="00F57244" w:rsidRPr="00156F24" w:rsidRDefault="00F57244" w:rsidP="00F57244">
      <w:pPr>
        <w:pStyle w:val="ListParagraph"/>
        <w:numPr>
          <w:ilvl w:val="0"/>
          <w:numId w:val="36"/>
        </w:numPr>
        <w:rPr>
          <w:rFonts w:ascii="Arial" w:hAnsi="Arial" w:cs="Arial"/>
        </w:rPr>
      </w:pPr>
      <w:r>
        <w:rPr>
          <w:rFonts w:ascii="Arial" w:hAnsi="Arial" w:cs="Arial"/>
        </w:rPr>
        <w:t xml:space="preserve">The network can periodically update the TAC-list of the individual cells to include the new TACs it </w:t>
      </w:r>
      <w:r w:rsidR="00995A90">
        <w:rPr>
          <w:rFonts w:ascii="Arial" w:hAnsi="Arial" w:cs="Arial"/>
        </w:rPr>
        <w:t xml:space="preserve">covers </w:t>
      </w:r>
      <w:r>
        <w:rPr>
          <w:rFonts w:ascii="Arial" w:hAnsi="Arial" w:cs="Arial"/>
        </w:rPr>
        <w:t>and remove the old (unused) TACs</w:t>
      </w:r>
      <w:r w:rsidR="00995A90">
        <w:rPr>
          <w:rFonts w:ascii="Arial" w:hAnsi="Arial" w:cs="Arial"/>
        </w:rPr>
        <w:t xml:space="preserve"> as the cell coverage leaves the fixed TAC region on the ground</w:t>
      </w:r>
      <w:r>
        <w:rPr>
          <w:rFonts w:ascii="Arial" w:hAnsi="Arial" w:cs="Arial"/>
        </w:rPr>
        <w:t xml:space="preserve">. This will </w:t>
      </w:r>
      <w:r w:rsidR="00995A90">
        <w:rPr>
          <w:rFonts w:ascii="Arial" w:hAnsi="Arial" w:cs="Arial"/>
        </w:rPr>
        <w:t xml:space="preserve">set </w:t>
      </w:r>
      <w:r>
        <w:rPr>
          <w:rFonts w:ascii="Arial" w:hAnsi="Arial" w:cs="Arial"/>
        </w:rPr>
        <w:t>an upper-bound of the TAC-list size and paging load in the network</w:t>
      </w:r>
      <w:r w:rsidR="00995A90">
        <w:rPr>
          <w:rFonts w:ascii="Arial" w:hAnsi="Arial" w:cs="Arial"/>
        </w:rPr>
        <w:t xml:space="preserve"> is managed</w:t>
      </w:r>
      <w:r>
        <w:rPr>
          <w:rFonts w:ascii="Arial" w:hAnsi="Arial" w:cs="Arial"/>
        </w:rPr>
        <w:t>.</w:t>
      </w:r>
    </w:p>
    <w:p w14:paraId="44443B1D" w14:textId="77777777" w:rsidR="00F57244" w:rsidRPr="00F57244" w:rsidRDefault="00F57244" w:rsidP="001C6025">
      <w:pPr>
        <w:rPr>
          <w:rFonts w:ascii="Arial" w:hAnsi="Arial" w:cs="Arial"/>
          <w:sz w:val="4"/>
        </w:rPr>
      </w:pPr>
    </w:p>
    <w:p w14:paraId="63BEB831" w14:textId="4B4A0687" w:rsidR="00F57244" w:rsidRPr="00F57244" w:rsidRDefault="00F57244" w:rsidP="001C6025">
      <w:pPr>
        <w:rPr>
          <w:rFonts w:ascii="Arial" w:hAnsi="Arial" w:cs="Arial"/>
          <w:b/>
        </w:rPr>
      </w:pPr>
      <w:r>
        <w:rPr>
          <w:rFonts w:ascii="Arial" w:hAnsi="Arial" w:cs="Arial"/>
          <w:b/>
        </w:rPr>
        <w:t>Proposal</w:t>
      </w:r>
      <w:r w:rsidRPr="00F57244">
        <w:rPr>
          <w:rFonts w:ascii="Arial" w:hAnsi="Arial" w:cs="Arial"/>
          <w:b/>
        </w:rPr>
        <w:t xml:space="preserve"> 1: Network can periodically update the TAC-list of the individual cells to include the new TACs it </w:t>
      </w:r>
      <w:r w:rsidR="00995A90">
        <w:rPr>
          <w:rFonts w:ascii="Arial" w:hAnsi="Arial" w:cs="Arial"/>
          <w:b/>
        </w:rPr>
        <w:t xml:space="preserve">covers on the ground </w:t>
      </w:r>
      <w:r w:rsidRPr="00F57244">
        <w:rPr>
          <w:rFonts w:ascii="Arial" w:hAnsi="Arial" w:cs="Arial"/>
          <w:b/>
        </w:rPr>
        <w:t>and remove the old (unused) TACs</w:t>
      </w:r>
      <w:r w:rsidR="00995A90">
        <w:rPr>
          <w:rFonts w:ascii="Arial" w:hAnsi="Arial" w:cs="Arial"/>
          <w:b/>
        </w:rPr>
        <w:t xml:space="preserve"> as it leaves the fixed TA region on the ground</w:t>
      </w:r>
      <w:r w:rsidRPr="00F57244">
        <w:rPr>
          <w:rFonts w:ascii="Arial" w:hAnsi="Arial" w:cs="Arial"/>
          <w:b/>
        </w:rPr>
        <w:t xml:space="preserve">. This will </w:t>
      </w:r>
      <w:r w:rsidR="00995A90">
        <w:rPr>
          <w:rFonts w:ascii="Arial" w:hAnsi="Arial" w:cs="Arial"/>
          <w:b/>
        </w:rPr>
        <w:t xml:space="preserve">set </w:t>
      </w:r>
      <w:r w:rsidRPr="00F57244">
        <w:rPr>
          <w:rFonts w:ascii="Arial" w:hAnsi="Arial" w:cs="Arial"/>
          <w:b/>
        </w:rPr>
        <w:t>an upper-bound of the TAC-list size and the paging load in the network</w:t>
      </w:r>
      <w:r w:rsidR="00995A90">
        <w:rPr>
          <w:rFonts w:ascii="Arial" w:hAnsi="Arial" w:cs="Arial"/>
          <w:b/>
        </w:rPr>
        <w:t xml:space="preserve"> is managed</w:t>
      </w:r>
      <w:r w:rsidRPr="00F57244">
        <w:rPr>
          <w:rFonts w:ascii="Arial" w:hAnsi="Arial" w:cs="Arial"/>
          <w:b/>
        </w:rPr>
        <w:t>.</w:t>
      </w:r>
    </w:p>
    <w:p w14:paraId="6D2FDDC6" w14:textId="1D94FF94" w:rsidR="0096060F" w:rsidRPr="00156F24" w:rsidRDefault="00F57244" w:rsidP="0096060F">
      <w:pPr>
        <w:keepNext/>
        <w:jc w:val="center"/>
        <w:rPr>
          <w:rFonts w:ascii="Arial" w:hAnsi="Arial" w:cs="Arial"/>
        </w:rPr>
      </w:pPr>
      <w:r w:rsidRPr="00156F24">
        <w:rPr>
          <w:rFonts w:ascii="Arial" w:hAnsi="Arial" w:cs="Arial"/>
        </w:rPr>
        <w:object w:dxaOrig="20056" w:dyaOrig="10621" w14:anchorId="43A9E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5pt;height:265.9pt" o:ole="">
            <v:imagedata r:id="rId8" o:title=""/>
          </v:shape>
          <o:OLEObject Type="Embed" ProgID="Visio.Drawing.15" ShapeID="_x0000_i1025" DrawAspect="Content" ObjectID="_1682154543" r:id="rId9"/>
        </w:object>
      </w:r>
    </w:p>
    <w:p w14:paraId="605BF102" w14:textId="77777777" w:rsidR="0096060F" w:rsidRPr="00156F24" w:rsidRDefault="0096060F" w:rsidP="0096060F">
      <w:pPr>
        <w:pStyle w:val="Caption"/>
        <w:jc w:val="center"/>
        <w:rPr>
          <w:rFonts w:ascii="Arial" w:hAnsi="Arial" w:cs="Arial"/>
        </w:rPr>
      </w:pPr>
      <w:bookmarkStart w:id="3"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00F57244">
        <w:rPr>
          <w:rFonts w:ascii="Arial" w:hAnsi="Arial" w:cs="Arial"/>
          <w:noProof/>
        </w:rPr>
        <w:t>1</w:t>
      </w:r>
      <w:r w:rsidRPr="00156F24">
        <w:rPr>
          <w:rFonts w:ascii="Arial" w:hAnsi="Arial" w:cs="Arial"/>
          <w:noProof/>
        </w:rPr>
        <w:fldChar w:fldCharType="end"/>
      </w:r>
      <w:bookmarkEnd w:id="3"/>
      <w:r w:rsidRPr="00156F24">
        <w:rPr>
          <w:rFonts w:ascii="Arial" w:hAnsi="Arial" w:cs="Arial"/>
        </w:rPr>
        <w:t xml:space="preserve"> "Soft switch" example with TA regions larger than cell size</w:t>
      </w:r>
    </w:p>
    <w:p w14:paraId="15551981" w14:textId="77777777" w:rsidR="001C6025" w:rsidRDefault="001C6025" w:rsidP="0096060F">
      <w:pPr>
        <w:rPr>
          <w:rFonts w:ascii="Arial" w:hAnsi="Arial" w:cs="Arial"/>
        </w:rPr>
      </w:pPr>
    </w:p>
    <w:p w14:paraId="4239D223" w14:textId="2DF2A965" w:rsidR="0096060F" w:rsidRPr="00156F24" w:rsidRDefault="00F57244" w:rsidP="0096060F">
      <w:pPr>
        <w:rPr>
          <w:rFonts w:ascii="Arial" w:hAnsi="Arial" w:cs="Arial"/>
        </w:rPr>
      </w:pPr>
      <w:r w:rsidRPr="00156F24">
        <w:rPr>
          <w:rFonts w:ascii="Arial" w:hAnsi="Arial" w:cs="Arial"/>
        </w:rPr>
        <w:t xml:space="preserve">If the primary TAC regions are </w:t>
      </w:r>
      <w:r>
        <w:rPr>
          <w:rFonts w:ascii="Arial" w:hAnsi="Arial" w:cs="Arial"/>
        </w:rPr>
        <w:t>larger</w:t>
      </w:r>
      <w:r w:rsidRPr="00156F24">
        <w:rPr>
          <w:rFonts w:ascii="Arial" w:hAnsi="Arial" w:cs="Arial"/>
        </w:rPr>
        <w:t xml:space="preserve"> than the cell size, a cell spanning a single TAC region would broadcast one TAC per PLMN. </w:t>
      </w:r>
      <w:r w:rsidR="0096060F" w:rsidRPr="00156F24">
        <w:rPr>
          <w:rFonts w:ascii="Arial" w:hAnsi="Arial" w:cs="Arial"/>
        </w:rPr>
        <w:t>During the NR NTN study item, it was pointed out that, with the “soft switch” option, one cell would be broadcasting more than one TAC, and therefore the paging load for the cell would increase.</w:t>
      </w:r>
    </w:p>
    <w:p w14:paraId="7D1C5A1C" w14:textId="35457089" w:rsidR="0096060F" w:rsidRPr="00156F24" w:rsidRDefault="0096060F" w:rsidP="0096060F">
      <w:pPr>
        <w:rPr>
          <w:rFonts w:ascii="Arial" w:hAnsi="Arial" w:cs="Arial"/>
        </w:rPr>
      </w:pPr>
      <w:r w:rsidRPr="00156F24">
        <w:rPr>
          <w:rFonts w:ascii="Arial" w:hAnsi="Arial" w:cs="Arial"/>
        </w:rPr>
        <w:t xml:space="preserve">However, this problem exists in the </w:t>
      </w:r>
      <w:r w:rsidR="00F57244">
        <w:rPr>
          <w:rFonts w:ascii="Arial" w:hAnsi="Arial" w:cs="Arial"/>
        </w:rPr>
        <w:t>“hard switch” option as well. I</w:t>
      </w:r>
      <w:r w:rsidRPr="00156F24">
        <w:rPr>
          <w:rFonts w:ascii="Arial" w:hAnsi="Arial" w:cs="Arial"/>
        </w:rPr>
        <w:t>f the UEs do</w:t>
      </w:r>
      <w:r w:rsidR="00995A90">
        <w:rPr>
          <w:rFonts w:ascii="Arial" w:hAnsi="Arial" w:cs="Arial"/>
        </w:rPr>
        <w:t>es</w:t>
      </w:r>
      <w:r w:rsidRPr="00156F24">
        <w:rPr>
          <w:rFonts w:ascii="Arial" w:hAnsi="Arial" w:cs="Arial"/>
        </w:rPr>
        <w:t xml:space="preserve"> not read the system information between T2 and T3, they will not be aware that the TAC has changed. </w:t>
      </w:r>
      <w:r w:rsidR="00A9163D">
        <w:rPr>
          <w:rFonts w:ascii="Arial" w:hAnsi="Arial" w:cs="Arial"/>
        </w:rPr>
        <w:t>Consequently</w:t>
      </w:r>
      <w:r w:rsidRPr="00156F24">
        <w:rPr>
          <w:rFonts w:ascii="Arial" w:hAnsi="Arial" w:cs="Arial"/>
        </w:rPr>
        <w:t xml:space="preserve">, the network </w:t>
      </w:r>
      <w:r w:rsidR="00A9163D">
        <w:rPr>
          <w:rFonts w:ascii="Arial" w:hAnsi="Arial" w:cs="Arial"/>
        </w:rPr>
        <w:t xml:space="preserve">will </w:t>
      </w:r>
      <w:r w:rsidRPr="00156F24">
        <w:rPr>
          <w:rFonts w:ascii="Arial" w:hAnsi="Arial" w:cs="Arial"/>
        </w:rPr>
        <w:t xml:space="preserve">not know if the UEs have read the </w:t>
      </w:r>
      <w:r w:rsidR="00A9163D">
        <w:rPr>
          <w:rFonts w:ascii="Arial" w:hAnsi="Arial" w:cs="Arial"/>
        </w:rPr>
        <w:t xml:space="preserve">updated </w:t>
      </w:r>
      <w:r w:rsidRPr="00156F24">
        <w:rPr>
          <w:rFonts w:ascii="Arial" w:hAnsi="Arial" w:cs="Arial"/>
        </w:rPr>
        <w:t>system information or not. Therefore the network has to page the UEs that have been registered to the “previous” TAC on those cells</w:t>
      </w:r>
      <w:r w:rsidR="00294CE7">
        <w:rPr>
          <w:rFonts w:ascii="Arial" w:hAnsi="Arial" w:cs="Arial"/>
        </w:rPr>
        <w:t>.</w:t>
      </w:r>
      <w:r w:rsidRPr="00156F24">
        <w:rPr>
          <w:rFonts w:ascii="Arial" w:hAnsi="Arial" w:cs="Arial"/>
        </w:rPr>
        <w:t xml:space="preserve"> Therefore, with both “hard switch” and “soft switch” options, if a cell partly covers a TA region on the ground, all UEs that are registered to that TA need to be paged on that cell.</w:t>
      </w:r>
    </w:p>
    <w:p w14:paraId="43B9D829" w14:textId="2BDB29C5"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w:t>
      </w:r>
      <w:r w:rsidR="00F57244">
        <w:rPr>
          <w:rFonts w:ascii="Arial" w:hAnsi="Arial" w:cs="Arial"/>
          <w:b/>
        </w:rPr>
        <w:t>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2989736C" w:rsidR="0096060F" w:rsidRPr="00156F24" w:rsidRDefault="0096060F" w:rsidP="0096060F">
      <w:pPr>
        <w:rPr>
          <w:rFonts w:ascii="Arial" w:hAnsi="Arial" w:cs="Arial"/>
        </w:rPr>
      </w:pPr>
      <w:r w:rsidRPr="00156F24">
        <w:rPr>
          <w:rFonts w:ascii="Arial" w:hAnsi="Arial" w:cs="Arial"/>
        </w:rPr>
        <w:t xml:space="preserve">Note that currently only one TAC can be broadcast by a cell per PLMN as specified in TS 38.331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156F24">
        <w:rPr>
          <w:rFonts w:ascii="Arial" w:hAnsi="Arial" w:cs="Arial"/>
        </w:rPr>
        <w:t>4</w:t>
      </w:r>
      <w:r w:rsidRPr="00156F24">
        <w:rPr>
          <w:rFonts w:ascii="Arial" w:hAnsi="Arial" w:cs="Arial"/>
        </w:rPr>
        <w:t>]</w:t>
      </w:r>
      <w:r w:rsidRPr="00156F24">
        <w:rPr>
          <w:rFonts w:ascii="Arial" w:hAnsi="Arial" w:cs="Arial"/>
        </w:rPr>
        <w:fldChar w:fldCharType="end"/>
      </w:r>
      <w:r w:rsidRPr="00156F24">
        <w:rPr>
          <w:rFonts w:ascii="Arial" w:hAnsi="Arial" w:cs="Arial"/>
        </w:rPr>
        <w:t>:</w:t>
      </w:r>
    </w:p>
    <w:p w14:paraId="4D2E501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SIB1</w:t>
      </w:r>
      <w:r w:rsidRPr="00156F24">
        <w:rPr>
          <w:rFonts w:ascii="Arial" w:hAnsi="Arial" w:cs="Arial"/>
        </w:rPr>
        <w:t xml:space="preserve"> ::=        SEQUENCE {</w:t>
      </w:r>
    </w:p>
    <w:p w14:paraId="04C2A06E"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cellSelectionInfo                   SEQUENCE {</w:t>
      </w:r>
    </w:p>
    <w:p w14:paraId="39913FE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                          Q-RxLevMin,</w:t>
      </w:r>
    </w:p>
    <w:p w14:paraId="144E482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q-RxLevMinOffset                    INTEGER (1..8)                                              OPTIONAL,   -- Need S</w:t>
      </w:r>
    </w:p>
    <w:p w14:paraId="1A31FC7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lastRenderedPageBreak/>
        <w:t xml:space="preserve">        q-RxLevMinSUL                       Q-RxLevMin                                                  OPTIONAL,   -- Need R</w:t>
      </w:r>
    </w:p>
    <w:p w14:paraId="0AAE6ED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                           Q-QualMin                                                   OPTIONAL,   -- Need S</w:t>
      </w:r>
    </w:p>
    <w:p w14:paraId="60DE13C0"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q-QualMinOffset                     INTEGER (1..8)                                              OPTIONAL    -- Need S</w:t>
      </w:r>
    </w:p>
    <w:p w14:paraId="42A8A60F"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                                                                                                   OPTIONAL,   -- Cond Standalone</w:t>
      </w:r>
    </w:p>
    <w:p w14:paraId="5AF76A3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w:t>
      </w:r>
    </w:p>
    <w:p w14:paraId="60B26E82"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384669B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CellAccessRelatedInfo</w:t>
      </w:r>
      <w:r w:rsidRPr="00156F24">
        <w:rPr>
          <w:rFonts w:ascii="Arial" w:hAnsi="Arial" w:cs="Arial"/>
        </w:rPr>
        <w:t xml:space="preserve">   ::=         SEQUENCE {</w:t>
      </w:r>
    </w:p>
    <w:p w14:paraId="005247F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plmn-IdentityList</w:t>
      </w:r>
      <w:r w:rsidRPr="00156F24">
        <w:rPr>
          <w:rFonts w:ascii="Arial" w:hAnsi="Arial" w:cs="Arial"/>
        </w:rPr>
        <w:t xml:space="preserve">                   </w:t>
      </w:r>
      <w:r w:rsidRPr="00156F24">
        <w:rPr>
          <w:rFonts w:ascii="Arial" w:hAnsi="Arial" w:cs="Arial"/>
          <w:highlight w:val="yellow"/>
        </w:rPr>
        <w:t>PLMN-IdentityInfoList</w:t>
      </w:r>
      <w:r w:rsidRPr="00156F24">
        <w:rPr>
          <w:rFonts w:ascii="Arial" w:hAnsi="Arial" w:cs="Arial"/>
        </w:rPr>
        <w:t>,</w:t>
      </w:r>
    </w:p>
    <w:p w14:paraId="6F9F3780"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4A211DD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PLMN-IdentityInfoList</w:t>
      </w:r>
      <w:r w:rsidRPr="00156F24">
        <w:rPr>
          <w:rFonts w:ascii="Arial" w:hAnsi="Arial" w:cs="Arial"/>
        </w:rPr>
        <w:t xml:space="preserve"> ::=               SEQUENCE (SIZE (1..maxPLMN)) OF </w:t>
      </w:r>
      <w:r w:rsidRPr="00156F24">
        <w:rPr>
          <w:rFonts w:ascii="Arial" w:hAnsi="Arial" w:cs="Arial"/>
          <w:highlight w:val="yellow"/>
        </w:rPr>
        <w:t>PLMN-IdentityInfo</w:t>
      </w:r>
    </w:p>
    <w:p w14:paraId="738392F4"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p>
    <w:p w14:paraId="19A99B8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w:t>
      </w:r>
      <w:r w:rsidRPr="00156F24">
        <w:rPr>
          <w:rFonts w:ascii="Arial" w:hAnsi="Arial" w:cs="Arial"/>
        </w:rPr>
        <w:t xml:space="preserve"> ::=                   SEQUENCE {</w:t>
      </w:r>
    </w:p>
    <w:p w14:paraId="1AC000FB"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plmn-IdentityList                       SEQUENCE (SIZE (1..maxPLMN)) OF PLMN-Identity,</w:t>
      </w:r>
    </w:p>
    <w:p w14:paraId="52F2517C"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OPTIONAL,       -- Need R</w:t>
      </w:r>
    </w:p>
    <w:p w14:paraId="352CD3A5"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13C0335E" w14:textId="77777777" w:rsidR="0096060F" w:rsidRPr="00156F24" w:rsidRDefault="0096060F"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156F24">
        <w:rPr>
          <w:rFonts w:cs="Arial"/>
          <w:b/>
          <w:bCs/>
          <w:i/>
          <w:iCs/>
          <w:noProof/>
          <w:lang w:eastAsia="en-GB"/>
        </w:rPr>
        <w:t>plmn-IdentityList</w:t>
      </w:r>
    </w:p>
    <w:p w14:paraId="4F7F4921"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The</w:t>
      </w:r>
      <w:r w:rsidRPr="00156F24">
        <w:rPr>
          <w:rFonts w:ascii="Arial" w:hAnsi="Arial" w:cs="Arial"/>
          <w:i/>
        </w:rPr>
        <w:t xml:space="preserve"> plmn-IdentityList</w:t>
      </w:r>
      <w:r w:rsidRPr="00156F24">
        <w:rPr>
          <w:rFonts w:ascii="Arial" w:hAnsi="Arial" w:cs="Arial"/>
        </w:rPr>
        <w:t xml:space="preserve"> is used to configure a set of </w:t>
      </w:r>
      <w:r w:rsidRPr="00156F24">
        <w:rPr>
          <w:rFonts w:ascii="Arial" w:hAnsi="Arial" w:cs="Arial"/>
          <w:i/>
        </w:rPr>
        <w:t>PLMN-IdentityInfoList</w:t>
      </w:r>
      <w:r w:rsidRPr="00156F24">
        <w:rPr>
          <w:rFonts w:ascii="Arial" w:hAnsi="Arial" w:cs="Arial"/>
        </w:rPr>
        <w:t xml:space="preserve"> elements. Each of those elements contains a list of one or more PLMN Identities and additional information associated with those PLMNs. </w:t>
      </w:r>
      <w:r w:rsidRPr="00156F24">
        <w:rPr>
          <w:rFonts w:ascii="Arial" w:hAnsi="Arial" w:cs="Arial"/>
          <w:highlight w:val="yellow"/>
        </w:rPr>
        <w:t xml:space="preserve">A PLMN-identity can be included only once, and in only one entry of the </w:t>
      </w:r>
      <w:r w:rsidRPr="00156F24">
        <w:rPr>
          <w:rFonts w:ascii="Arial" w:hAnsi="Arial" w:cs="Arial"/>
          <w:i/>
          <w:highlight w:val="yellow"/>
        </w:rPr>
        <w:t>PLMN-IdentityInfoList</w:t>
      </w:r>
      <w:r w:rsidRPr="00156F24">
        <w:rPr>
          <w:rFonts w:ascii="Arial" w:hAnsi="Arial" w:cs="Arial"/>
        </w:rPr>
        <w:t xml:space="preserve">. </w:t>
      </w:r>
      <w:r w:rsidRPr="00156F24">
        <w:rPr>
          <w:rFonts w:ascii="Arial" w:eastAsia="SimSun" w:hAnsi="Arial" w:cs="Arial"/>
          <w:lang w:eastAsia="zh-CN"/>
        </w:rPr>
        <w:t xml:space="preserve">The PLMN index is defined as </w:t>
      </w:r>
      <w:r w:rsidRPr="00156F24">
        <w:rPr>
          <w:rFonts w:ascii="Arial" w:hAnsi="Arial" w:cs="Arial"/>
          <w:i/>
          <w:lang w:eastAsia="en-GB"/>
        </w:rPr>
        <w:t>b1+b2+…+</w:t>
      </w:r>
      <w:r w:rsidRPr="00156F24">
        <w:rPr>
          <w:rFonts w:ascii="Arial" w:eastAsia="SimSun" w:hAnsi="Arial" w:cs="Arial"/>
          <w:i/>
          <w:lang w:eastAsia="zh-CN"/>
        </w:rPr>
        <w:t>b(n-1)</w:t>
      </w:r>
      <w:r w:rsidRPr="00156F24">
        <w:rPr>
          <w:rFonts w:ascii="Arial" w:hAnsi="Arial" w:cs="Arial"/>
          <w:i/>
          <w:lang w:eastAsia="en-GB"/>
        </w:rPr>
        <w:t>+i</w:t>
      </w:r>
      <w:r w:rsidRPr="00156F24">
        <w:rPr>
          <w:rFonts w:ascii="Arial" w:hAnsi="Arial" w:cs="Arial"/>
          <w:lang w:eastAsia="en-GB"/>
        </w:rPr>
        <w:t xml:space="preserve"> for </w:t>
      </w:r>
      <w:r w:rsidRPr="00156F24">
        <w:rPr>
          <w:rFonts w:ascii="Arial" w:eastAsia="SimSun" w:hAnsi="Arial" w:cs="Arial"/>
          <w:lang w:eastAsia="zh-CN"/>
        </w:rPr>
        <w:t>the</w:t>
      </w:r>
      <w:r w:rsidRPr="00156F24">
        <w:rPr>
          <w:rFonts w:ascii="Arial" w:hAnsi="Arial" w:cs="Arial"/>
          <w:lang w:eastAsia="en-GB"/>
        </w:rPr>
        <w:t xml:space="preserve"> PLMN </w:t>
      </w:r>
      <w:r w:rsidRPr="00156F24">
        <w:rPr>
          <w:rFonts w:ascii="Arial" w:eastAsia="SimSun" w:hAnsi="Arial" w:cs="Arial"/>
          <w:lang w:eastAsia="zh-CN"/>
        </w:rPr>
        <w:t>included</w:t>
      </w:r>
      <w:r w:rsidRPr="00156F24">
        <w:rPr>
          <w:rFonts w:ascii="Arial" w:hAnsi="Arial" w:cs="Arial"/>
          <w:lang w:eastAsia="en-GB"/>
        </w:rPr>
        <w:t xml:space="preserve"> at the </w:t>
      </w:r>
      <w:r w:rsidRPr="00156F24">
        <w:rPr>
          <w:rFonts w:ascii="Arial" w:hAnsi="Arial" w:cs="Arial"/>
          <w:i/>
          <w:lang w:eastAsia="en-GB"/>
        </w:rPr>
        <w:t>n</w:t>
      </w:r>
      <w:r w:rsidRPr="00156F24">
        <w:rPr>
          <w:rFonts w:ascii="Arial" w:hAnsi="Arial" w:cs="Arial"/>
          <w:lang w:eastAsia="en-GB"/>
        </w:rPr>
        <w:t xml:space="preserve">-th entry </w:t>
      </w:r>
      <w:r w:rsidRPr="00156F24">
        <w:rPr>
          <w:rFonts w:ascii="Arial" w:eastAsia="SimSun" w:hAnsi="Arial" w:cs="Arial"/>
          <w:lang w:eastAsia="zh-CN"/>
        </w:rPr>
        <w:t xml:space="preserve">of </w:t>
      </w:r>
      <w:r w:rsidRPr="00156F24">
        <w:rPr>
          <w:rFonts w:ascii="Arial" w:hAnsi="Arial" w:cs="Arial"/>
          <w:i/>
        </w:rPr>
        <w:t>PLMN-IdentityInfoList</w:t>
      </w:r>
      <w:r w:rsidRPr="00156F24">
        <w:rPr>
          <w:rFonts w:ascii="Arial" w:hAnsi="Arial" w:cs="Arial"/>
          <w:lang w:eastAsia="en-GB"/>
        </w:rPr>
        <w:t xml:space="preserve"> and the</w:t>
      </w:r>
      <w:r w:rsidRPr="00156F24">
        <w:rPr>
          <w:rFonts w:ascii="Arial" w:hAnsi="Arial" w:cs="Arial"/>
          <w:i/>
          <w:lang w:eastAsia="en-GB"/>
        </w:rPr>
        <w:t xml:space="preserve"> i</w:t>
      </w:r>
      <w:r w:rsidRPr="00156F24">
        <w:rPr>
          <w:rFonts w:ascii="Arial" w:hAnsi="Arial" w:cs="Arial"/>
          <w:lang w:eastAsia="en-GB"/>
        </w:rPr>
        <w:t xml:space="preserve">-th entry of its corresponding </w:t>
      </w:r>
      <w:r w:rsidRPr="00156F24">
        <w:rPr>
          <w:rFonts w:ascii="Arial" w:hAnsi="Arial" w:cs="Arial"/>
          <w:i/>
          <w:lang w:eastAsia="en-GB"/>
        </w:rPr>
        <w:t>PLMN-IdentityInfo</w:t>
      </w:r>
      <w:r w:rsidRPr="00156F24">
        <w:rPr>
          <w:rFonts w:ascii="Arial" w:eastAsia="SimSun" w:hAnsi="Arial" w:cs="Arial"/>
          <w:lang w:eastAsia="zh-CN"/>
        </w:rPr>
        <w:t xml:space="preserve">, where </w:t>
      </w:r>
      <w:r w:rsidRPr="00156F24">
        <w:rPr>
          <w:rFonts w:ascii="Arial" w:eastAsia="SimSun" w:hAnsi="Arial" w:cs="Arial"/>
          <w:i/>
          <w:lang w:eastAsia="zh-CN"/>
        </w:rPr>
        <w:t>b(j)</w:t>
      </w:r>
      <w:r w:rsidRPr="00156F24">
        <w:rPr>
          <w:rFonts w:ascii="Arial" w:eastAsia="SimSun" w:hAnsi="Arial" w:cs="Arial"/>
          <w:lang w:eastAsia="zh-CN"/>
        </w:rPr>
        <w:t xml:space="preserve"> is the number of </w:t>
      </w:r>
      <w:r w:rsidRPr="00156F24">
        <w:rPr>
          <w:rFonts w:ascii="Arial" w:hAnsi="Arial" w:cs="Arial"/>
          <w:i/>
          <w:lang w:eastAsia="en-GB"/>
        </w:rPr>
        <w:t>PLMN-Identity</w:t>
      </w:r>
      <w:r w:rsidRPr="00156F24">
        <w:rPr>
          <w:rFonts w:ascii="Arial" w:hAnsi="Arial" w:cs="Arial"/>
          <w:lang w:eastAsia="en-GB"/>
        </w:rPr>
        <w:t xml:space="preserve"> entries in each </w:t>
      </w:r>
      <w:r w:rsidRPr="00156F24">
        <w:rPr>
          <w:rFonts w:ascii="Arial" w:hAnsi="Arial" w:cs="Arial"/>
          <w:i/>
          <w:lang w:eastAsia="en-GB"/>
        </w:rPr>
        <w:t>PLMN-IdentityInfo</w:t>
      </w:r>
      <w:r w:rsidRPr="00156F24">
        <w:rPr>
          <w:rFonts w:ascii="Arial" w:hAnsi="Arial" w:cs="Arial"/>
          <w:lang w:eastAsia="en-GB"/>
        </w:rPr>
        <w:t>, respectively.</w:t>
      </w:r>
    </w:p>
    <w:p w14:paraId="612568BA" w14:textId="781D9DB7" w:rsidR="0096060F" w:rsidRPr="00156F24" w:rsidRDefault="0096060F" w:rsidP="0096060F">
      <w:pPr>
        <w:rPr>
          <w:rFonts w:ascii="Arial" w:hAnsi="Arial" w:cs="Arial"/>
        </w:rPr>
      </w:pPr>
      <w:r w:rsidRPr="00156F24">
        <w:rPr>
          <w:rFonts w:ascii="Arial" w:hAnsi="Arial" w:cs="Arial"/>
        </w:rPr>
        <w:t>Therefore, in order to support multiple TACs broadcast per PLMN per cell, some updates in the specifications are required.</w:t>
      </w:r>
    </w:p>
    <w:p w14:paraId="732F9D6E" w14:textId="7B16123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w:t>
      </w:r>
      <w:r w:rsidR="00F57244">
        <w:rPr>
          <w:rFonts w:ascii="Arial" w:hAnsi="Arial" w:cs="Arial"/>
          <w:b/>
        </w:rPr>
        <w:t>2</w:t>
      </w:r>
      <w:r w:rsidRPr="00156F24">
        <w:rPr>
          <w:rFonts w:ascii="Arial" w:hAnsi="Arial" w:cs="Arial"/>
          <w:b/>
        </w:rPr>
        <w:t>: To support multiple TACs broadcast per PLMN per cell, some specification updates are necessary.</w:t>
      </w:r>
    </w:p>
    <w:p w14:paraId="21E99143" w14:textId="43FB0219" w:rsidR="00F57244" w:rsidRDefault="00F57244" w:rsidP="0096060F">
      <w:pPr>
        <w:rPr>
          <w:rFonts w:ascii="Arial" w:hAnsi="Arial" w:cs="Arial"/>
        </w:rPr>
      </w:pPr>
      <w:r>
        <w:rPr>
          <w:rFonts w:ascii="Arial" w:hAnsi="Arial" w:cs="Arial"/>
        </w:rPr>
        <w:t xml:space="preserve">As different PLMNs might belong to different countries, it is </w:t>
      </w:r>
      <w:r w:rsidR="00A9163D">
        <w:rPr>
          <w:rFonts w:ascii="Arial" w:hAnsi="Arial" w:cs="Arial"/>
        </w:rPr>
        <w:t xml:space="preserve">necessary </w:t>
      </w:r>
      <w:r>
        <w:rPr>
          <w:rFonts w:ascii="Arial" w:hAnsi="Arial" w:cs="Arial"/>
        </w:rPr>
        <w:t xml:space="preserve">to </w:t>
      </w:r>
      <w:r w:rsidRPr="00F57244">
        <w:rPr>
          <w:rFonts w:ascii="Arial" w:hAnsi="Arial" w:cs="Arial"/>
        </w:rPr>
        <w:t>associate different sets of TACs with different PLMNs</w:t>
      </w:r>
      <w:r>
        <w:rPr>
          <w:rFonts w:ascii="Arial" w:hAnsi="Arial" w:cs="Arial"/>
        </w:rPr>
        <w:t>. Thus, “trackingAreaCode” in “</w:t>
      </w:r>
      <w:r w:rsidRPr="00F57244">
        <w:rPr>
          <w:rFonts w:ascii="Arial" w:hAnsi="Arial" w:cs="Arial"/>
        </w:rPr>
        <w:t>PLMN-IdentityInfo</w:t>
      </w:r>
      <w:r>
        <w:rPr>
          <w:rFonts w:ascii="Arial" w:hAnsi="Arial" w:cs="Arial"/>
        </w:rPr>
        <w:t>” mentioned in the table above needs to be updated to “trackingAreaCodeList”, where trackingAreaCodeList can be defined as:</w:t>
      </w:r>
    </w:p>
    <w:p w14:paraId="7E3E1947" w14:textId="77777777" w:rsidR="00F57244" w:rsidRDefault="00F57244" w:rsidP="0096060F">
      <w:pPr>
        <w:rPr>
          <w:rFonts w:ascii="Arial" w:hAnsi="Arial" w:cs="Arial"/>
        </w:rPr>
      </w:pPr>
    </w:p>
    <w:tbl>
      <w:tblPr>
        <w:tblStyle w:val="TableGrid"/>
        <w:tblW w:w="0" w:type="auto"/>
        <w:tblLook w:val="04A0" w:firstRow="1" w:lastRow="0" w:firstColumn="1" w:lastColumn="0" w:noHBand="0" w:noVBand="1"/>
      </w:tblPr>
      <w:tblGrid>
        <w:gridCol w:w="9016"/>
      </w:tblGrid>
      <w:tr w:rsidR="00F57244" w14:paraId="1B281C6D" w14:textId="77777777" w:rsidTr="00F57244">
        <w:tc>
          <w:tcPr>
            <w:tcW w:w="9016" w:type="dxa"/>
          </w:tcPr>
          <w:p w14:paraId="570FFB4A" w14:textId="1669ECFE" w:rsidR="00F57244" w:rsidRDefault="00F57244" w:rsidP="00F57244">
            <w:pPr>
              <w:rPr>
                <w:rFonts w:ascii="Arial" w:hAnsi="Arial" w:cs="Arial"/>
                <w:b/>
              </w:rPr>
            </w:pPr>
            <w:r>
              <w:rPr>
                <w:rFonts w:ascii="Arial" w:hAnsi="Arial" w:cs="Arial"/>
              </w:rPr>
              <w:t>trackingAreaCodeList ::=</w:t>
            </w:r>
            <w:r w:rsidRPr="00F57244">
              <w:rPr>
                <w:rFonts w:ascii="Arial" w:hAnsi="Arial" w:cs="Arial"/>
              </w:rPr>
              <w:t>SEQUENCE (SIZE (1..maxTAC)) OF TrackingAreaCode</w:t>
            </w:r>
          </w:p>
        </w:tc>
      </w:tr>
    </w:tbl>
    <w:p w14:paraId="77B6E702" w14:textId="77777777" w:rsidR="00F57244" w:rsidRDefault="00F57244" w:rsidP="0096060F">
      <w:pPr>
        <w:rPr>
          <w:rFonts w:ascii="Arial" w:hAnsi="Arial" w:cs="Arial"/>
          <w:b/>
        </w:rPr>
      </w:pPr>
    </w:p>
    <w:p w14:paraId="34AF01A2" w14:textId="1BB97CED" w:rsidR="00F57244" w:rsidRPr="00F57244" w:rsidRDefault="0096060F" w:rsidP="0096060F">
      <w:pPr>
        <w:rPr>
          <w:rFonts w:ascii="Arial" w:hAnsi="Arial" w:cs="Arial"/>
          <w:b/>
        </w:rPr>
      </w:pPr>
      <w:r w:rsidRPr="00F57244">
        <w:rPr>
          <w:rFonts w:ascii="Arial" w:hAnsi="Arial" w:cs="Arial"/>
          <w:b/>
        </w:rPr>
        <w:t>Proposal</w:t>
      </w:r>
      <w:r w:rsidR="00F57244" w:rsidRPr="00F57244">
        <w:rPr>
          <w:rFonts w:ascii="Arial" w:hAnsi="Arial" w:cs="Arial"/>
          <w:b/>
        </w:rPr>
        <w:t xml:space="preserve"> 2</w:t>
      </w:r>
      <w:r w:rsidRPr="00F57244">
        <w:rPr>
          <w:rFonts w:ascii="Arial" w:hAnsi="Arial" w:cs="Arial"/>
          <w:b/>
        </w:rPr>
        <w:t xml:space="preserve">: </w:t>
      </w:r>
      <w:r w:rsidR="00C91092">
        <w:rPr>
          <w:rFonts w:ascii="Arial" w:hAnsi="Arial" w:cs="Arial"/>
          <w:b/>
        </w:rPr>
        <w:t>Given that different fixed tracking areas on the groun</w:t>
      </w:r>
      <w:r w:rsidR="00294CE7">
        <w:rPr>
          <w:rFonts w:ascii="Arial" w:hAnsi="Arial" w:cs="Arial"/>
          <w:b/>
        </w:rPr>
        <w:t>d</w:t>
      </w:r>
      <w:r w:rsidR="00C91092">
        <w:rPr>
          <w:rFonts w:ascii="Arial" w:hAnsi="Arial" w:cs="Arial"/>
          <w:b/>
        </w:rPr>
        <w:t xml:space="preserve"> can be associated with different PLMNs, </w:t>
      </w:r>
      <w:r w:rsidR="00F57244" w:rsidRPr="00F57244">
        <w:rPr>
          <w:rFonts w:ascii="Arial" w:hAnsi="Arial" w:cs="Arial"/>
          <w:b/>
        </w:rPr>
        <w:t xml:space="preserve">it is </w:t>
      </w:r>
      <w:r w:rsidR="00C91092">
        <w:rPr>
          <w:rFonts w:ascii="Arial" w:hAnsi="Arial" w:cs="Arial"/>
          <w:b/>
        </w:rPr>
        <w:t xml:space="preserve">necessary </w:t>
      </w:r>
      <w:r w:rsidR="00F57244" w:rsidRPr="00F57244">
        <w:rPr>
          <w:rFonts w:ascii="Arial" w:hAnsi="Arial" w:cs="Arial"/>
          <w:b/>
        </w:rPr>
        <w:t xml:space="preserve">to associate different </w:t>
      </w:r>
      <w:r w:rsidR="00B348B5">
        <w:rPr>
          <w:rFonts w:ascii="Arial" w:hAnsi="Arial" w:cs="Arial"/>
          <w:b/>
        </w:rPr>
        <w:t xml:space="preserve">sets of </w:t>
      </w:r>
      <w:r w:rsidR="00F57244" w:rsidRPr="00F57244">
        <w:rPr>
          <w:rFonts w:ascii="Arial" w:hAnsi="Arial" w:cs="Arial"/>
          <w:b/>
        </w:rPr>
        <w:t>TACs with different PLMNs. PLMNs can belong to different countries.</w:t>
      </w:r>
    </w:p>
    <w:p w14:paraId="1A3CF67D" w14:textId="5D1EF30B" w:rsidR="0096060F" w:rsidRPr="00156F24" w:rsidRDefault="0096060F"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58B1C4" w14:textId="77777777" w:rsidR="00C91092" w:rsidRPr="00F57244" w:rsidRDefault="00C91092" w:rsidP="00C91092">
      <w:pPr>
        <w:rPr>
          <w:rFonts w:ascii="Arial" w:hAnsi="Arial" w:cs="Arial"/>
          <w:b/>
        </w:rPr>
      </w:pPr>
      <w:r>
        <w:rPr>
          <w:rFonts w:ascii="Arial" w:hAnsi="Arial" w:cs="Arial"/>
          <w:b/>
        </w:rPr>
        <w:t>Proposal</w:t>
      </w:r>
      <w:r w:rsidRPr="00F57244">
        <w:rPr>
          <w:rFonts w:ascii="Arial" w:hAnsi="Arial" w:cs="Arial"/>
          <w:b/>
        </w:rPr>
        <w:t xml:space="preserve"> 1: Network can periodically update the TAC-list of the individual cells to include the new TACs it </w:t>
      </w:r>
      <w:r>
        <w:rPr>
          <w:rFonts w:ascii="Arial" w:hAnsi="Arial" w:cs="Arial"/>
          <w:b/>
        </w:rPr>
        <w:t xml:space="preserve">covers on the ground </w:t>
      </w:r>
      <w:r w:rsidRPr="00F57244">
        <w:rPr>
          <w:rFonts w:ascii="Arial" w:hAnsi="Arial" w:cs="Arial"/>
          <w:b/>
        </w:rPr>
        <w:t>and remove the old (unused) TACs</w:t>
      </w:r>
      <w:r>
        <w:rPr>
          <w:rFonts w:ascii="Arial" w:hAnsi="Arial" w:cs="Arial"/>
          <w:b/>
        </w:rPr>
        <w:t xml:space="preserve"> as it leaves the fixed TA region on the ground</w:t>
      </w:r>
      <w:r w:rsidRPr="00F57244">
        <w:rPr>
          <w:rFonts w:ascii="Arial" w:hAnsi="Arial" w:cs="Arial"/>
          <w:b/>
        </w:rPr>
        <w:t xml:space="preserve">. This will </w:t>
      </w:r>
      <w:r>
        <w:rPr>
          <w:rFonts w:ascii="Arial" w:hAnsi="Arial" w:cs="Arial"/>
          <w:b/>
        </w:rPr>
        <w:t xml:space="preserve">set </w:t>
      </w:r>
      <w:r w:rsidRPr="00F57244">
        <w:rPr>
          <w:rFonts w:ascii="Arial" w:hAnsi="Arial" w:cs="Arial"/>
          <w:b/>
        </w:rPr>
        <w:t>an upper-bound of the TAC-list size and the paging load in the network</w:t>
      </w:r>
      <w:r>
        <w:rPr>
          <w:rFonts w:ascii="Arial" w:hAnsi="Arial" w:cs="Arial"/>
          <w:b/>
        </w:rPr>
        <w:t xml:space="preserve"> is managed</w:t>
      </w:r>
      <w:r w:rsidRPr="00F57244">
        <w:rPr>
          <w:rFonts w:ascii="Arial" w:hAnsi="Arial" w:cs="Arial"/>
          <w:b/>
        </w:rPr>
        <w:t>.</w:t>
      </w:r>
    </w:p>
    <w:p w14:paraId="3C79B544" w14:textId="1E3C773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405477D9" w14:textId="495DC79C" w:rsidR="0096060F" w:rsidRPr="00156F24" w:rsidRDefault="00C91092" w:rsidP="0096060F">
      <w:pPr>
        <w:rPr>
          <w:rFonts w:ascii="Arial" w:hAnsi="Arial" w:cs="Arial"/>
          <w:b/>
        </w:rPr>
      </w:pPr>
      <w:r w:rsidRPr="00F57244">
        <w:rPr>
          <w:rFonts w:ascii="Arial" w:hAnsi="Arial" w:cs="Arial"/>
          <w:b/>
        </w:rPr>
        <w:lastRenderedPageBreak/>
        <w:t xml:space="preserve">Proposal 2: </w:t>
      </w:r>
      <w:r>
        <w:rPr>
          <w:rFonts w:ascii="Arial" w:hAnsi="Arial" w:cs="Arial"/>
          <w:b/>
        </w:rPr>
        <w:t>Given that different fixed tracking areas on the groun</w:t>
      </w:r>
      <w:r w:rsidR="003A0A57">
        <w:rPr>
          <w:rFonts w:ascii="Arial" w:hAnsi="Arial" w:cs="Arial"/>
          <w:b/>
        </w:rPr>
        <w:t>d</w:t>
      </w:r>
      <w:r>
        <w:rPr>
          <w:rFonts w:ascii="Arial" w:hAnsi="Arial" w:cs="Arial"/>
          <w:b/>
        </w:rPr>
        <w:t xml:space="preserve"> can be associated with different PLMNs, </w:t>
      </w:r>
      <w:r w:rsidRPr="00F57244">
        <w:rPr>
          <w:rFonts w:ascii="Arial" w:hAnsi="Arial" w:cs="Arial"/>
          <w:b/>
        </w:rPr>
        <w:t xml:space="preserve">it is </w:t>
      </w:r>
      <w:r>
        <w:rPr>
          <w:rFonts w:ascii="Arial" w:hAnsi="Arial" w:cs="Arial"/>
          <w:b/>
        </w:rPr>
        <w:t xml:space="preserve">necessary </w:t>
      </w:r>
      <w:r w:rsidRPr="00F57244">
        <w:rPr>
          <w:rFonts w:ascii="Arial" w:hAnsi="Arial" w:cs="Arial"/>
          <w:b/>
        </w:rPr>
        <w:t xml:space="preserve">to associate different </w:t>
      </w:r>
      <w:r>
        <w:rPr>
          <w:rFonts w:ascii="Arial" w:hAnsi="Arial" w:cs="Arial"/>
          <w:b/>
        </w:rPr>
        <w:t xml:space="preserve">sets of </w:t>
      </w:r>
      <w:r w:rsidRPr="00F57244">
        <w:rPr>
          <w:rFonts w:ascii="Arial" w:hAnsi="Arial" w:cs="Arial"/>
          <w:b/>
        </w:rPr>
        <w:t>TACs with different PLMNs. PLMNs can belong to different countries.</w:t>
      </w: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1D4340FE" w14:textId="4D6D862E" w:rsidR="00597394"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bookmarkStart w:id="4" w:name="_Ref45195199"/>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4"/>
    </w:p>
    <w:p w14:paraId="52340E84" w14:textId="6CA2160D" w:rsidR="001C6025" w:rsidRPr="00E13B06" w:rsidRDefault="001C6025" w:rsidP="001C6025">
      <w:pPr>
        <w:pStyle w:val="ListParagraph"/>
        <w:numPr>
          <w:ilvl w:val="0"/>
          <w:numId w:val="1"/>
        </w:numPr>
        <w:overflowPunct/>
        <w:autoSpaceDE/>
        <w:autoSpaceDN/>
        <w:adjustRightInd/>
        <w:spacing w:after="60"/>
        <w:contextualSpacing w:val="0"/>
        <w:textAlignment w:val="auto"/>
        <w:rPr>
          <w:rFonts w:ascii="Arial" w:hAnsi="Arial" w:cs="Arial"/>
        </w:rPr>
      </w:pPr>
      <w:r w:rsidRPr="001C6025">
        <w:rPr>
          <w:rFonts w:ascii="Arial" w:hAnsi="Arial" w:cs="Arial"/>
        </w:rPr>
        <w:t>RAN2-113-e - R16 eMIMO-CLI-PRN-RACS - R17 NTN-REDCAP (Sergio)_2021_02_05_EOM</w:t>
      </w:r>
    </w:p>
    <w:p w14:paraId="1F7F8805" w14:textId="4D81494D"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24.501; </w:t>
      </w:r>
      <w:r w:rsidRPr="00E13B06">
        <w:rPr>
          <w:rFonts w:ascii="Arial" w:hAnsi="Arial" w:cs="Arial"/>
          <w:color w:val="000000"/>
        </w:rPr>
        <w:t>Non-Access-Stratum (NAS) protocol for 5G System (5GS)</w:t>
      </w:r>
    </w:p>
    <w:p w14:paraId="2DA77632" w14:textId="0AC1BEB4"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38.304 NR; User Equipment (UE) procedures in Idle mode and RRC Inactive state.</w:t>
      </w:r>
    </w:p>
    <w:p w14:paraId="191DB9F9" w14:textId="0E85EAE0"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38.331 NR;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9A5CB" w14:textId="77777777" w:rsidR="00FC3819" w:rsidRDefault="00FC3819" w:rsidP="00BD754F">
      <w:pPr>
        <w:spacing w:after="0"/>
      </w:pPr>
      <w:r>
        <w:separator/>
      </w:r>
    </w:p>
  </w:endnote>
  <w:endnote w:type="continuationSeparator" w:id="0">
    <w:p w14:paraId="611AE818" w14:textId="77777777" w:rsidR="00FC3819" w:rsidRDefault="00FC381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E8381" w14:textId="77777777" w:rsidR="00FC3819" w:rsidRDefault="00FC3819" w:rsidP="00BD754F">
      <w:pPr>
        <w:spacing w:after="0"/>
      </w:pPr>
      <w:r>
        <w:separator/>
      </w:r>
    </w:p>
  </w:footnote>
  <w:footnote w:type="continuationSeparator" w:id="0">
    <w:p w14:paraId="53DEE90D" w14:textId="77777777" w:rsidR="00FC3819" w:rsidRDefault="00FC3819"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3C2"/>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6025"/>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1A3"/>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4CE7"/>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0A57"/>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5C74"/>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5708"/>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22E6"/>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B6A"/>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47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476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3B0"/>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498"/>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95A90"/>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45DF"/>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2BE"/>
    <w:rsid w:val="00A50854"/>
    <w:rsid w:val="00A5104D"/>
    <w:rsid w:val="00A55879"/>
    <w:rsid w:val="00A55C3A"/>
    <w:rsid w:val="00A575BB"/>
    <w:rsid w:val="00A578BA"/>
    <w:rsid w:val="00A57AED"/>
    <w:rsid w:val="00A62B24"/>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163D"/>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1790B"/>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804"/>
    <w:rsid w:val="00B348B5"/>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006"/>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654"/>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55D7"/>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092"/>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502"/>
    <w:rsid w:val="00E44F98"/>
    <w:rsid w:val="00E45590"/>
    <w:rsid w:val="00E469DB"/>
    <w:rsid w:val="00E4749F"/>
    <w:rsid w:val="00E47A1A"/>
    <w:rsid w:val="00E50E7A"/>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468B"/>
    <w:rsid w:val="00F556D3"/>
    <w:rsid w:val="00F556EA"/>
    <w:rsid w:val="00F55C99"/>
    <w:rsid w:val="00F57244"/>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819"/>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C6F86-F0C0-4312-A35A-83EEFEE88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2021-03-31T13:52:00Z</dcterms:created>
  <dcterms:modified xsi:type="dcterms:W3CDTF">2021-05-10T19:23:00Z</dcterms:modified>
</cp:coreProperties>
</file>