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0636E01C"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113bis-</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F1BFA">
        <w:rPr>
          <w:rFonts w:ascii="Arial" w:hAnsi="Arial" w:cs="Arial"/>
          <w:b/>
          <w:bCs/>
          <w:kern w:val="0"/>
          <w:sz w:val="24"/>
          <w:lang w:val="en-GB"/>
        </w:rPr>
        <w:t>1</w:t>
      </w:r>
      <w:r w:rsidR="003A32C7">
        <w:rPr>
          <w:rFonts w:ascii="Arial" w:hAnsi="Arial" w:cs="Arial"/>
          <w:b/>
          <w:bCs/>
          <w:kern w:val="0"/>
          <w:sz w:val="24"/>
          <w:lang w:val="en-GB"/>
        </w:rPr>
        <w:t>05138</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4C6FB7">
        <w:rPr>
          <w:rFonts w:ascii="Arial" w:hAnsi="Arial" w:cs="Arial"/>
          <w:b/>
          <w:bCs/>
          <w:kern w:val="0"/>
          <w:sz w:val="24"/>
          <w:lang w:val="en-GB"/>
        </w:rPr>
        <w:t>1</w:t>
      </w:r>
      <w:r w:rsidR="006007B9">
        <w:rPr>
          <w:rFonts w:ascii="Arial" w:hAnsi="Arial" w:cs="Arial"/>
          <w:b/>
          <w:bCs/>
          <w:kern w:val="0"/>
          <w:sz w:val="24"/>
          <w:lang w:val="en-GB"/>
        </w:rPr>
        <w:t>6</w:t>
      </w:r>
      <w:proofErr w:type="spellStart"/>
      <w:r w:rsidR="00C76477">
        <w:rPr>
          <w:rFonts w:ascii="Arial" w:hAnsi="Arial" w:cs="Arial" w:hint="eastAsia"/>
          <w:b/>
          <w:bCs/>
          <w:kern w:val="0"/>
          <w:sz w:val="24"/>
          <w:vertAlign w:val="superscript"/>
        </w:rPr>
        <w:t>th</w:t>
      </w:r>
      <w:proofErr w:type="spellEnd"/>
      <w:r w:rsidR="00C76477">
        <w:rPr>
          <w:rFonts w:ascii="Arial" w:hAnsi="Arial" w:cs="Arial"/>
          <w:b/>
          <w:bCs/>
          <w:kern w:val="0"/>
          <w:sz w:val="24"/>
          <w:lang w:val="en-GB"/>
        </w:rPr>
        <w:t xml:space="preserve"> </w:t>
      </w:r>
      <w:r w:rsidR="004C6FB7">
        <w:rPr>
          <w:rFonts w:ascii="Arial" w:hAnsi="Arial" w:cs="Arial"/>
          <w:b/>
          <w:bCs/>
          <w:kern w:val="0"/>
          <w:sz w:val="24"/>
          <w:lang w:val="en-GB"/>
        </w:rPr>
        <w:t>Mar</w:t>
      </w:r>
      <w:r w:rsidR="00C76477">
        <w:rPr>
          <w:rFonts w:ascii="Arial" w:hAnsi="Arial" w:cs="Arial"/>
          <w:b/>
          <w:bCs/>
          <w:kern w:val="0"/>
          <w:sz w:val="24"/>
          <w:lang w:val="en-GB"/>
        </w:rPr>
        <w:t xml:space="preserve"> – </w:t>
      </w:r>
      <w:r w:rsidR="006007B9">
        <w:rPr>
          <w:rFonts w:ascii="Arial" w:hAnsi="Arial" w:cs="Arial"/>
          <w:b/>
          <w:bCs/>
          <w:kern w:val="0"/>
          <w:sz w:val="24"/>
        </w:rPr>
        <w:t>26</w:t>
      </w:r>
      <w:r w:rsidR="00C76477">
        <w:rPr>
          <w:rFonts w:ascii="Arial" w:hAnsi="Arial" w:cs="Arial" w:hint="eastAsia"/>
          <w:b/>
          <w:bCs/>
          <w:kern w:val="0"/>
          <w:sz w:val="24"/>
          <w:vertAlign w:val="superscript"/>
        </w:rPr>
        <w:t>t</w:t>
      </w:r>
      <w:r w:rsidR="00C76477">
        <w:rPr>
          <w:rFonts w:ascii="Arial" w:hAnsi="Arial" w:cs="Arial"/>
          <w:b/>
          <w:bCs/>
          <w:kern w:val="0"/>
          <w:sz w:val="24"/>
          <w:vertAlign w:val="superscript"/>
        </w:rPr>
        <w:t>h</w:t>
      </w:r>
      <w:r w:rsidR="00C76477">
        <w:rPr>
          <w:rFonts w:ascii="Arial" w:hAnsi="Arial" w:cs="Arial"/>
          <w:b/>
          <w:bCs/>
          <w:kern w:val="0"/>
          <w:sz w:val="24"/>
          <w:lang w:val="en-GB"/>
        </w:rPr>
        <w:t xml:space="preserve"> </w:t>
      </w:r>
      <w:r w:rsidR="004C6FB7">
        <w:rPr>
          <w:rFonts w:ascii="Arial" w:hAnsi="Arial" w:cs="Arial"/>
          <w:b/>
          <w:bCs/>
          <w:kern w:val="0"/>
          <w:sz w:val="24"/>
        </w:rPr>
        <w:t>Mar</w:t>
      </w:r>
      <w:r w:rsidR="00C76477">
        <w:rPr>
          <w:rFonts w:ascii="Arial" w:hAnsi="Arial" w:cs="Arial" w:hint="eastAsia"/>
          <w:b/>
          <w:bCs/>
          <w:kern w:val="0"/>
          <w:sz w:val="24"/>
          <w:lang w:val="en-GB"/>
        </w:rPr>
        <w:t xml:space="preserve"> </w:t>
      </w:r>
      <w:r w:rsidR="00C76477">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E3E9F1E"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6E51A435"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4689B">
        <w:rPr>
          <w:rFonts w:ascii="Arial" w:hAnsi="Arial" w:cs="Arial"/>
          <w:b/>
          <w:bCs/>
          <w:snapToGrid w:val="0"/>
          <w:kern w:val="0"/>
          <w:sz w:val="24"/>
        </w:rPr>
        <w:t xml:space="preserve">Confined Mobility impact on </w:t>
      </w:r>
      <w:r w:rsidR="0004137B">
        <w:rPr>
          <w:rFonts w:ascii="Arial" w:hAnsi="Arial" w:cs="Arial"/>
          <w:b/>
          <w:sz w:val="24"/>
        </w:rPr>
        <w:t>RRM Relaxation</w:t>
      </w:r>
    </w:p>
    <w:p w14:paraId="3DFCE5B5" w14:textId="3CDF87F5"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8.12.3.</w:t>
      </w:r>
      <w:r w:rsidR="0004137B">
        <w:rPr>
          <w:rFonts w:ascii="Arial" w:hAnsi="Arial" w:cs="Arial"/>
          <w:b/>
          <w:sz w:val="24"/>
        </w:rPr>
        <w:t>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1E3824BD" w14:textId="0B8E7759" w:rsidR="0004137B" w:rsidRDefault="003A32C7" w:rsidP="003A32C7">
      <w:r>
        <w:t xml:space="preserve">Post RAN2-113bis-e meeting </w:t>
      </w:r>
      <w:proofErr w:type="gramStart"/>
      <w:r>
        <w:t>discussion[</w:t>
      </w:r>
      <w:proofErr w:type="gramEnd"/>
      <w:r>
        <w:t xml:space="preserve">1] on RRM relaxations focused on stationary aspects of the RedCap UEs for both RRC IDLE/INACTIVE and RRC_CONNECTED modes. But we think that </w:t>
      </w:r>
      <w:proofErr w:type="spellStart"/>
      <w:r>
        <w:t>stationality</w:t>
      </w:r>
      <w:proofErr w:type="spellEnd"/>
      <w:r>
        <w:t xml:space="preserve"> in terms of confined mobility is also a characteristic of some RedCap UEs (for </w:t>
      </w:r>
      <w:proofErr w:type="spellStart"/>
      <w:r>
        <w:t>eg.</w:t>
      </w:r>
      <w:proofErr w:type="spellEnd"/>
      <w:r>
        <w:t>, industrial sensors), and that RAN2 can make use of this characteristic. This paper proposes some basic signaling constructs that can lay foundation for making use of this characteristic.</w:t>
      </w:r>
    </w:p>
    <w:p w14:paraId="16681698" w14:textId="44E8603D" w:rsidR="00170CDB" w:rsidRDefault="002927DF">
      <w:r>
        <w:t xml:space="preserve"> </w:t>
      </w:r>
      <w:r w:rsidR="005D7AB5">
        <w:t xml:space="preserve"> </w:t>
      </w:r>
    </w:p>
    <w:p w14:paraId="32378F40" w14:textId="20287E0A" w:rsidR="00170CDB" w:rsidRDefault="00EC7E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3E7A20EC" w14:textId="281C7CA4" w:rsidR="00FA0C8C" w:rsidRPr="00761688" w:rsidRDefault="00FA0C8C" w:rsidP="00FA0C8C">
      <w:pPr>
        <w:pStyle w:val="Heading2"/>
        <w:numPr>
          <w:ilvl w:val="0"/>
          <w:numId w:val="0"/>
        </w:numPr>
        <w:rPr>
          <w:sz w:val="28"/>
          <w:szCs w:val="28"/>
        </w:rPr>
      </w:pPr>
      <w:r>
        <w:rPr>
          <w:sz w:val="28"/>
          <w:szCs w:val="28"/>
        </w:rPr>
        <w:t>2</w:t>
      </w:r>
      <w:r w:rsidRPr="00761688">
        <w:rPr>
          <w:sz w:val="28"/>
          <w:szCs w:val="28"/>
        </w:rPr>
        <w:t>.</w:t>
      </w:r>
      <w:r>
        <w:rPr>
          <w:sz w:val="28"/>
          <w:szCs w:val="28"/>
        </w:rPr>
        <w:t>1</w:t>
      </w:r>
      <w:r w:rsidRPr="00761688">
        <w:rPr>
          <w:sz w:val="28"/>
          <w:szCs w:val="28"/>
        </w:rPr>
        <w:t xml:space="preserve"> </w:t>
      </w:r>
      <w:r w:rsidR="00076E02">
        <w:rPr>
          <w:sz w:val="28"/>
          <w:szCs w:val="28"/>
        </w:rPr>
        <w:t>View from the RedCap use-cases perspective</w:t>
      </w:r>
    </w:p>
    <w:p w14:paraId="4203A892" w14:textId="6ABFA33D" w:rsidR="00076E02" w:rsidRDefault="00076E02">
      <w:r>
        <w:t>Based on the RedCap WI/SI description [</w:t>
      </w:r>
      <w:r w:rsidR="001029C8">
        <w:t>3</w:t>
      </w:r>
      <w:r>
        <w:t>], it can be said that the majority of the use-cases that RedCap UEs are expected to execute fall into the below categories of mobility:</w:t>
      </w:r>
    </w:p>
    <w:p w14:paraId="21EAAAD8" w14:textId="77777777" w:rsidR="00076E02" w:rsidRDefault="00076E02" w:rsidP="00076E02">
      <w:pPr>
        <w:pStyle w:val="ListParagraph"/>
        <w:numPr>
          <w:ilvl w:val="0"/>
          <w:numId w:val="35"/>
        </w:numPr>
      </w:pPr>
      <w:r>
        <w:t>Surveillance/Industry sensors</w:t>
      </w:r>
    </w:p>
    <w:p w14:paraId="13CEA271" w14:textId="086D7A6E" w:rsidR="00076E02" w:rsidRDefault="00076E02" w:rsidP="00076E02">
      <w:pPr>
        <w:pStyle w:val="ListParagraph"/>
        <w:numPr>
          <w:ilvl w:val="1"/>
          <w:numId w:val="35"/>
        </w:numPr>
      </w:pPr>
      <w:r>
        <w:t>Low mobility or stationery</w:t>
      </w:r>
    </w:p>
    <w:p w14:paraId="41EC0986" w14:textId="77777777" w:rsidR="00076E02" w:rsidRDefault="00076E02" w:rsidP="00076E02">
      <w:pPr>
        <w:pStyle w:val="ListParagraph"/>
        <w:numPr>
          <w:ilvl w:val="1"/>
          <w:numId w:val="35"/>
        </w:numPr>
      </w:pPr>
      <w:r>
        <w:t>Confined mobility</w:t>
      </w:r>
    </w:p>
    <w:p w14:paraId="317821A9" w14:textId="77777777" w:rsidR="00076E02" w:rsidRDefault="00076E02" w:rsidP="00076E02">
      <w:pPr>
        <w:pStyle w:val="ListParagraph"/>
        <w:numPr>
          <w:ilvl w:val="0"/>
          <w:numId w:val="35"/>
        </w:numPr>
      </w:pPr>
      <w:r>
        <w:t>Wearables</w:t>
      </w:r>
    </w:p>
    <w:p w14:paraId="2D88ABC2" w14:textId="77777777" w:rsidR="00076E02" w:rsidRDefault="00076E02" w:rsidP="00076E02">
      <w:pPr>
        <w:pStyle w:val="ListParagraph"/>
        <w:numPr>
          <w:ilvl w:val="1"/>
          <w:numId w:val="35"/>
        </w:numPr>
      </w:pPr>
      <w:r>
        <w:t>Mobility compared to legacy</w:t>
      </w:r>
    </w:p>
    <w:p w14:paraId="606FDCE5" w14:textId="2FFBA855" w:rsidR="00FA0C8C" w:rsidRDefault="00076E02" w:rsidP="00076E02">
      <w:pPr>
        <w:pStyle w:val="ListParagraph"/>
        <w:numPr>
          <w:ilvl w:val="1"/>
          <w:numId w:val="35"/>
        </w:numPr>
      </w:pPr>
      <w:r>
        <w:t xml:space="preserve">Potential stationery/low mobility periods in time  </w:t>
      </w:r>
    </w:p>
    <w:p w14:paraId="787BEC07" w14:textId="64D3CBE8" w:rsidR="00076E02" w:rsidRDefault="00076E02" w:rsidP="00076E02"/>
    <w:p w14:paraId="2C4267C3" w14:textId="78E75D08" w:rsidR="00076E02" w:rsidRDefault="002979A9" w:rsidP="00076E02">
      <w:r>
        <w:t xml:space="preserve">Based on the above, it can be inferred that the kind of mobility the UE is in, while this can be controlled by the NW, some of it </w:t>
      </w:r>
      <w:proofErr w:type="gramStart"/>
      <w:r>
        <w:t>( confined</w:t>
      </w:r>
      <w:proofErr w:type="gramEnd"/>
      <w:r>
        <w:t xml:space="preserve"> mobility etc..) is known at the UE better than the NW configured detection. </w:t>
      </w:r>
      <w:proofErr w:type="gramStart"/>
      <w:r>
        <w:t>So</w:t>
      </w:r>
      <w:proofErr w:type="gramEnd"/>
      <w:r>
        <w:t xml:space="preserve"> we think that RedCap UEs should be able to report the type of mobility it is expected to be in.</w:t>
      </w:r>
    </w:p>
    <w:p w14:paraId="5EE8EB19" w14:textId="63022044" w:rsidR="002979A9" w:rsidRDefault="002979A9" w:rsidP="00076E02">
      <w:r>
        <w:t xml:space="preserve">As captured in the TR, we propose that RAN2 allows the UEs to report the mobility state it is in, </w:t>
      </w:r>
      <w:proofErr w:type="spellStart"/>
      <w:r>
        <w:t>atleast</w:t>
      </w:r>
      <w:proofErr w:type="spellEnd"/>
      <w:r>
        <w:t xml:space="preserve"> for the </w:t>
      </w:r>
      <w:r w:rsidR="008423AA">
        <w:t>cases of stationary/confined mobility.</w:t>
      </w:r>
    </w:p>
    <w:p w14:paraId="639CB0FC" w14:textId="50229C70" w:rsidR="008423AA" w:rsidRPr="00714015" w:rsidRDefault="008423AA" w:rsidP="00076E02">
      <w:pPr>
        <w:rPr>
          <w:b/>
          <w:bCs/>
        </w:rPr>
      </w:pPr>
      <w:r w:rsidRPr="00714015">
        <w:rPr>
          <w:b/>
          <w:bCs/>
        </w:rPr>
        <w:t>Observation</w:t>
      </w:r>
      <w:r w:rsidR="00714015" w:rsidRPr="00714015">
        <w:rPr>
          <w:b/>
          <w:bCs/>
        </w:rPr>
        <w:t xml:space="preserve"> 1</w:t>
      </w:r>
      <w:r w:rsidRPr="00714015">
        <w:rPr>
          <w:b/>
          <w:bCs/>
        </w:rPr>
        <w:t xml:space="preserve">: Certain RedCap UEs inherently are confined to specific </w:t>
      </w:r>
      <w:proofErr w:type="spellStart"/>
      <w:r w:rsidRPr="00714015">
        <w:rPr>
          <w:b/>
          <w:bCs/>
        </w:rPr>
        <w:t>usecases</w:t>
      </w:r>
      <w:proofErr w:type="spellEnd"/>
      <w:r w:rsidRPr="00714015">
        <w:rPr>
          <w:b/>
          <w:bCs/>
        </w:rPr>
        <w:t xml:space="preserve"> and it is beneficial to the NW to know about this.</w:t>
      </w:r>
    </w:p>
    <w:p w14:paraId="694E537F" w14:textId="38F5AF72" w:rsidR="008423AA" w:rsidRPr="00714015" w:rsidRDefault="008423AA" w:rsidP="00076E02">
      <w:pPr>
        <w:rPr>
          <w:b/>
          <w:bCs/>
        </w:rPr>
      </w:pPr>
      <w:r w:rsidRPr="00714015">
        <w:rPr>
          <w:b/>
          <w:bCs/>
        </w:rPr>
        <w:t>Observation</w:t>
      </w:r>
      <w:r w:rsidR="00714015" w:rsidRPr="00714015">
        <w:rPr>
          <w:b/>
          <w:bCs/>
        </w:rPr>
        <w:t xml:space="preserve"> 2</w:t>
      </w:r>
      <w:r w:rsidRPr="00714015">
        <w:rPr>
          <w:b/>
          <w:bCs/>
        </w:rPr>
        <w:t xml:space="preserve">: The usage and scope of this capability is limited to RAN, and so it’s better to have this reported </w:t>
      </w:r>
      <w:r w:rsidRPr="00714015">
        <w:rPr>
          <w:b/>
          <w:bCs/>
        </w:rPr>
        <w:lastRenderedPageBreak/>
        <w:t>using the RAN UE capability.</w:t>
      </w:r>
    </w:p>
    <w:p w14:paraId="321BD44D" w14:textId="091163D7" w:rsidR="00A7370C" w:rsidRDefault="00A7370C" w:rsidP="00076E02">
      <w:r>
        <w:t>For the industry sensors or surveillance type of devices, it is already expected that their mobility is very restricted or in other words confined. However, there could be other sensors which are actively mobile within an industrial complex with speeds comparable to the legacy UEs, but still their mobility is confined to a geographical area.</w:t>
      </w:r>
    </w:p>
    <w:p w14:paraId="7B2FE8DF" w14:textId="126FEA74" w:rsidR="00A7370C" w:rsidRPr="00714015" w:rsidRDefault="00A7370C" w:rsidP="00076E02">
      <w:pPr>
        <w:rPr>
          <w:b/>
          <w:bCs/>
        </w:rPr>
      </w:pPr>
      <w:r w:rsidRPr="00714015">
        <w:rPr>
          <w:b/>
          <w:bCs/>
        </w:rPr>
        <w:t>Observation</w:t>
      </w:r>
      <w:r w:rsidR="00714015" w:rsidRPr="00714015">
        <w:rPr>
          <w:b/>
          <w:bCs/>
        </w:rPr>
        <w:t xml:space="preserve"> 3</w:t>
      </w:r>
      <w:r w:rsidRPr="00714015">
        <w:rPr>
          <w:b/>
          <w:bCs/>
        </w:rPr>
        <w:t>: Confined mobility is inherent to surveillance/industry sensors. The additional aspect is whether this mobility within a confined location is low mobility/stationary or comparable to legacy mobility.</w:t>
      </w:r>
    </w:p>
    <w:p w14:paraId="7B3F45B3" w14:textId="4DF73A71" w:rsidR="002D16C0" w:rsidRPr="00714015" w:rsidRDefault="002D16C0" w:rsidP="00076E02">
      <w:pPr>
        <w:rPr>
          <w:b/>
          <w:bCs/>
        </w:rPr>
      </w:pPr>
      <w:r w:rsidRPr="00714015">
        <w:rPr>
          <w:b/>
          <w:bCs/>
        </w:rPr>
        <w:t>Proposal 1: RAN2 to agree that for surveillance/industry sensors, the mobility of these type of UEs is confined. This confined mobility can be slow/</w:t>
      </w:r>
      <w:r w:rsidR="00714015" w:rsidRPr="00714015">
        <w:rPr>
          <w:b/>
          <w:bCs/>
        </w:rPr>
        <w:t>stationary,</w:t>
      </w:r>
      <w:r w:rsidRPr="00714015">
        <w:rPr>
          <w:b/>
          <w:bCs/>
        </w:rPr>
        <w:t xml:space="preserve"> or the mobility can be comparable to legacy mobility while still being confined.</w:t>
      </w:r>
    </w:p>
    <w:p w14:paraId="5FA23769" w14:textId="625D3ECE" w:rsidR="008423AA" w:rsidRPr="00714015" w:rsidRDefault="008423AA" w:rsidP="00076E02">
      <w:pPr>
        <w:rPr>
          <w:b/>
          <w:bCs/>
        </w:rPr>
      </w:pPr>
      <w:r w:rsidRPr="00714015">
        <w:rPr>
          <w:b/>
          <w:bCs/>
        </w:rPr>
        <w:t xml:space="preserve">Proposal </w:t>
      </w:r>
      <w:r w:rsidR="00830782" w:rsidRPr="00714015">
        <w:rPr>
          <w:b/>
          <w:bCs/>
        </w:rPr>
        <w:t>2</w:t>
      </w:r>
      <w:r w:rsidRPr="00714015">
        <w:rPr>
          <w:b/>
          <w:bCs/>
        </w:rPr>
        <w:t xml:space="preserve">: RedCap UEs can inform the NW of the type of the mobility it is expected to follow using existing UE capability procedure. The allowable types </w:t>
      </w:r>
      <w:proofErr w:type="gramStart"/>
      <w:r w:rsidRPr="00714015">
        <w:rPr>
          <w:b/>
          <w:bCs/>
        </w:rPr>
        <w:t>are :</w:t>
      </w:r>
      <w:proofErr w:type="gramEnd"/>
      <w:r w:rsidRPr="00714015">
        <w:rPr>
          <w:b/>
          <w:bCs/>
        </w:rPr>
        <w:t xml:space="preserve"> {stationary/low </w:t>
      </w:r>
      <w:r w:rsidR="00830782" w:rsidRPr="00714015">
        <w:rPr>
          <w:b/>
          <w:bCs/>
        </w:rPr>
        <w:t xml:space="preserve">confined </w:t>
      </w:r>
      <w:r w:rsidRPr="00714015">
        <w:rPr>
          <w:b/>
          <w:bCs/>
        </w:rPr>
        <w:t>mobility, confined mobility}</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7BB7673E" w14:textId="77777777" w:rsidR="00B45270" w:rsidRPr="00B45270" w:rsidRDefault="00B45270" w:rsidP="00B45270">
      <w:pPr>
        <w:rPr>
          <w:b/>
          <w:bCs/>
        </w:rPr>
      </w:pPr>
      <w:r w:rsidRPr="00B45270">
        <w:rPr>
          <w:b/>
          <w:bCs/>
        </w:rPr>
        <w:t>Proposal 1: RAN2 to agree that for surveillance/industry sensors, the mobility of these type of UEs is confined. This confined mobility can be slow/stationary, or the mobility can be comparable to legacy mobility while still being confined.</w:t>
      </w:r>
    </w:p>
    <w:p w14:paraId="4600BD5E" w14:textId="77777777" w:rsidR="00B45270" w:rsidRPr="00B45270" w:rsidRDefault="00B45270" w:rsidP="00B45270">
      <w:pPr>
        <w:rPr>
          <w:b/>
          <w:bCs/>
        </w:rPr>
      </w:pPr>
      <w:r w:rsidRPr="00B45270">
        <w:rPr>
          <w:b/>
          <w:bCs/>
        </w:rPr>
        <w:t xml:space="preserve">Proposal 2: RedCap UEs can inform the NW of the type of the mobility it is expected to follow using existing UE capability procedure. The allowable types </w:t>
      </w:r>
      <w:proofErr w:type="gramStart"/>
      <w:r w:rsidRPr="00B45270">
        <w:rPr>
          <w:b/>
          <w:bCs/>
        </w:rPr>
        <w:t>are :</w:t>
      </w:r>
      <w:proofErr w:type="gramEnd"/>
      <w:r w:rsidRPr="00B45270">
        <w:rPr>
          <w:b/>
          <w:bCs/>
        </w:rPr>
        <w:t xml:space="preserve"> {stationary/low confined mobility, confined mobility}</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02D2B33" w14:textId="03766FCD" w:rsidR="003A32C7" w:rsidRPr="003A32C7" w:rsidRDefault="003A32C7">
      <w:pPr>
        <w:pStyle w:val="ListParagraph"/>
        <w:numPr>
          <w:ilvl w:val="0"/>
          <w:numId w:val="20"/>
        </w:numPr>
        <w:spacing w:before="156"/>
        <w:rPr>
          <w:sz w:val="22"/>
        </w:rPr>
      </w:pPr>
      <w:r w:rsidRPr="003A32C7">
        <w:rPr>
          <w:sz w:val="22"/>
        </w:rPr>
        <w:t>Summary of [Post113bis-e][</w:t>
      </w:r>
      <w:proofErr w:type="gramStart"/>
      <w:r w:rsidRPr="003A32C7">
        <w:rPr>
          <w:sz w:val="22"/>
        </w:rPr>
        <w:t>102][</w:t>
      </w:r>
      <w:proofErr w:type="gramEnd"/>
      <w:r w:rsidRPr="003A32C7">
        <w:rPr>
          <w:sz w:val="22"/>
        </w:rPr>
        <w:t>RedCap] RRM relaxations</w:t>
      </w:r>
    </w:p>
    <w:p w14:paraId="6CE75641" w14:textId="4D285AB8" w:rsidR="00170CDB" w:rsidRDefault="00A24A94">
      <w:pPr>
        <w:pStyle w:val="ListParagraph"/>
        <w:numPr>
          <w:ilvl w:val="0"/>
          <w:numId w:val="20"/>
        </w:numPr>
        <w:spacing w:before="156"/>
        <w:rPr>
          <w:sz w:val="22"/>
        </w:rPr>
      </w:pPr>
      <w:r>
        <w:rPr>
          <w:sz w:val="22"/>
        </w:rPr>
        <w:t>TR 38.875</w:t>
      </w:r>
    </w:p>
    <w:p w14:paraId="548D55FB" w14:textId="77777777" w:rsidR="003A32C7" w:rsidRPr="008F0A4B" w:rsidRDefault="003A32C7" w:rsidP="003A32C7">
      <w:pPr>
        <w:pStyle w:val="ListParagraph"/>
        <w:numPr>
          <w:ilvl w:val="0"/>
          <w:numId w:val="20"/>
        </w:numPr>
        <w:spacing w:before="156"/>
        <w:rPr>
          <w:sz w:val="22"/>
        </w:rPr>
      </w:pPr>
      <w:r>
        <w:rPr>
          <w:sz w:val="22"/>
        </w:rPr>
        <w:t>RP-210918</w:t>
      </w:r>
      <w:r>
        <w:rPr>
          <w:sz w:val="22"/>
        </w:rPr>
        <w:tab/>
        <w:t>R</w:t>
      </w:r>
      <w:r w:rsidRPr="00271438">
        <w:rPr>
          <w:sz w:val="22"/>
        </w:rPr>
        <w:t>edCap</w:t>
      </w:r>
      <w:r>
        <w:rPr>
          <w:sz w:val="22"/>
        </w:rPr>
        <w:t xml:space="preserve"> WID</w:t>
      </w:r>
    </w:p>
    <w:p w14:paraId="69DA9665" w14:textId="6656CF33" w:rsidR="00170CDB" w:rsidRDefault="00170CDB">
      <w:pPr>
        <w:pStyle w:val="ListParagraph"/>
        <w:numPr>
          <w:ilvl w:val="0"/>
          <w:numId w:val="20"/>
        </w:numPr>
        <w:spacing w:before="156"/>
        <w:rPr>
          <w:sz w:val="22"/>
        </w:rPr>
      </w:pP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1E690" w14:textId="77777777" w:rsidR="007C0902" w:rsidRDefault="007C0902">
      <w:pPr>
        <w:spacing w:after="0"/>
      </w:pPr>
      <w:r>
        <w:separator/>
      </w:r>
    </w:p>
  </w:endnote>
  <w:endnote w:type="continuationSeparator" w:id="0">
    <w:p w14:paraId="098C276A" w14:textId="77777777" w:rsidR="007C0902" w:rsidRDefault="007C0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18491" w14:textId="77777777" w:rsidR="007C0902" w:rsidRDefault="007C0902">
      <w:pPr>
        <w:spacing w:after="0"/>
      </w:pPr>
      <w:r>
        <w:separator/>
      </w:r>
    </w:p>
  </w:footnote>
  <w:footnote w:type="continuationSeparator" w:id="0">
    <w:p w14:paraId="712FAB95" w14:textId="77777777" w:rsidR="007C0902" w:rsidRDefault="007C09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CE5CBD"/>
    <w:multiLevelType w:val="hybridMultilevel"/>
    <w:tmpl w:val="4B600BCE"/>
    <w:lvl w:ilvl="0" w:tplc="0CE63FFE">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C767A"/>
    <w:multiLevelType w:val="hybridMultilevel"/>
    <w:tmpl w:val="D89458E0"/>
    <w:lvl w:ilvl="0" w:tplc="4F78212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6"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21"/>
  </w:num>
  <w:num w:numId="3">
    <w:abstractNumId w:val="4"/>
  </w:num>
  <w:num w:numId="4">
    <w:abstractNumId w:val="18"/>
  </w:num>
  <w:num w:numId="5">
    <w:abstractNumId w:val="19"/>
  </w:num>
  <w:num w:numId="6">
    <w:abstractNumId w:val="11"/>
  </w:num>
  <w:num w:numId="7">
    <w:abstractNumId w:val="1"/>
  </w:num>
  <w:num w:numId="8">
    <w:abstractNumId w:val="25"/>
  </w:num>
  <w:num w:numId="9">
    <w:abstractNumId w:val="0"/>
  </w:num>
  <w:num w:numId="10">
    <w:abstractNumId w:val="8"/>
  </w:num>
  <w:num w:numId="11">
    <w:abstractNumId w:val="9"/>
  </w:num>
  <w:num w:numId="12">
    <w:abstractNumId w:val="12"/>
  </w:num>
  <w:num w:numId="13">
    <w:abstractNumId w:val="16"/>
  </w:num>
  <w:num w:numId="14">
    <w:abstractNumId w:val="28"/>
  </w:num>
  <w:num w:numId="15">
    <w:abstractNumId w:val="13"/>
  </w:num>
  <w:num w:numId="16">
    <w:abstractNumId w:val="26"/>
  </w:num>
  <w:num w:numId="17">
    <w:abstractNumId w:val="5"/>
  </w:num>
  <w:num w:numId="18">
    <w:abstractNumId w:val="15"/>
  </w:num>
  <w:num w:numId="19">
    <w:abstractNumId w:val="23"/>
  </w:num>
  <w:num w:numId="20">
    <w:abstractNumId w:val="22"/>
  </w:num>
  <w:num w:numId="21">
    <w:abstractNumId w:val="7"/>
  </w:num>
  <w:num w:numId="22">
    <w:abstractNumId w:val="10"/>
  </w:num>
  <w:num w:numId="23">
    <w:abstractNumId w:val="29"/>
  </w:num>
  <w:num w:numId="24">
    <w:abstractNumId w:val="3"/>
  </w:num>
  <w:num w:numId="25">
    <w:abstractNumId w:val="17"/>
  </w:num>
  <w:num w:numId="26">
    <w:abstractNumId w:val="27"/>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14"/>
  </w:num>
  <w:num w:numId="34">
    <w:abstractNumId w:val="2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4137B"/>
    <w:rsid w:val="00054BF1"/>
    <w:rsid w:val="00056A86"/>
    <w:rsid w:val="00076E02"/>
    <w:rsid w:val="00090557"/>
    <w:rsid w:val="000B07BF"/>
    <w:rsid w:val="000F61B9"/>
    <w:rsid w:val="001029C8"/>
    <w:rsid w:val="00170CDB"/>
    <w:rsid w:val="001868CE"/>
    <w:rsid w:val="001A0CD5"/>
    <w:rsid w:val="001A6921"/>
    <w:rsid w:val="001A73DD"/>
    <w:rsid w:val="001B4554"/>
    <w:rsid w:val="001C4E3D"/>
    <w:rsid w:val="001C56FD"/>
    <w:rsid w:val="001E7551"/>
    <w:rsid w:val="0024689B"/>
    <w:rsid w:val="00271438"/>
    <w:rsid w:val="00286B08"/>
    <w:rsid w:val="00286D02"/>
    <w:rsid w:val="002927DF"/>
    <w:rsid w:val="002979A9"/>
    <w:rsid w:val="002A06AF"/>
    <w:rsid w:val="002D16C0"/>
    <w:rsid w:val="002D23FD"/>
    <w:rsid w:val="002E7E8A"/>
    <w:rsid w:val="002F4026"/>
    <w:rsid w:val="00315FFF"/>
    <w:rsid w:val="0031652B"/>
    <w:rsid w:val="003202E7"/>
    <w:rsid w:val="0036050C"/>
    <w:rsid w:val="00377AD3"/>
    <w:rsid w:val="003A32C7"/>
    <w:rsid w:val="003B045F"/>
    <w:rsid w:val="003B6F03"/>
    <w:rsid w:val="00404BFA"/>
    <w:rsid w:val="004131AC"/>
    <w:rsid w:val="00427FAD"/>
    <w:rsid w:val="0046731D"/>
    <w:rsid w:val="0048309B"/>
    <w:rsid w:val="00483F01"/>
    <w:rsid w:val="004C6FB7"/>
    <w:rsid w:val="004E0013"/>
    <w:rsid w:val="004E5FCB"/>
    <w:rsid w:val="004F081C"/>
    <w:rsid w:val="00516145"/>
    <w:rsid w:val="00553794"/>
    <w:rsid w:val="00587E32"/>
    <w:rsid w:val="005A374B"/>
    <w:rsid w:val="005D0D02"/>
    <w:rsid w:val="005D309F"/>
    <w:rsid w:val="005D7AB5"/>
    <w:rsid w:val="005F32D6"/>
    <w:rsid w:val="006007B9"/>
    <w:rsid w:val="00616C38"/>
    <w:rsid w:val="006B58B3"/>
    <w:rsid w:val="00714015"/>
    <w:rsid w:val="00721A88"/>
    <w:rsid w:val="00756701"/>
    <w:rsid w:val="00761688"/>
    <w:rsid w:val="00770B79"/>
    <w:rsid w:val="0078280D"/>
    <w:rsid w:val="00784092"/>
    <w:rsid w:val="007B6D86"/>
    <w:rsid w:val="007C0902"/>
    <w:rsid w:val="00803196"/>
    <w:rsid w:val="00814A76"/>
    <w:rsid w:val="00830782"/>
    <w:rsid w:val="008423AA"/>
    <w:rsid w:val="008437C9"/>
    <w:rsid w:val="008476E8"/>
    <w:rsid w:val="00857BEF"/>
    <w:rsid w:val="008773C0"/>
    <w:rsid w:val="008F0A4B"/>
    <w:rsid w:val="00901D54"/>
    <w:rsid w:val="00923C22"/>
    <w:rsid w:val="009341F8"/>
    <w:rsid w:val="00954E6B"/>
    <w:rsid w:val="00964863"/>
    <w:rsid w:val="009809EB"/>
    <w:rsid w:val="0098328C"/>
    <w:rsid w:val="009B28F7"/>
    <w:rsid w:val="009D7E1C"/>
    <w:rsid w:val="009E3EB2"/>
    <w:rsid w:val="00A10045"/>
    <w:rsid w:val="00A201AB"/>
    <w:rsid w:val="00A24A94"/>
    <w:rsid w:val="00A35127"/>
    <w:rsid w:val="00A5387D"/>
    <w:rsid w:val="00A66DD1"/>
    <w:rsid w:val="00A7370C"/>
    <w:rsid w:val="00AD0C91"/>
    <w:rsid w:val="00AE4B90"/>
    <w:rsid w:val="00AE618D"/>
    <w:rsid w:val="00AF1BFA"/>
    <w:rsid w:val="00B07597"/>
    <w:rsid w:val="00B1119B"/>
    <w:rsid w:val="00B1253E"/>
    <w:rsid w:val="00B26D97"/>
    <w:rsid w:val="00B3568A"/>
    <w:rsid w:val="00B43A04"/>
    <w:rsid w:val="00B45270"/>
    <w:rsid w:val="00B524E6"/>
    <w:rsid w:val="00B67AC3"/>
    <w:rsid w:val="00B70449"/>
    <w:rsid w:val="00BC79BC"/>
    <w:rsid w:val="00BE0CA2"/>
    <w:rsid w:val="00C6032C"/>
    <w:rsid w:val="00C626A1"/>
    <w:rsid w:val="00C74FB5"/>
    <w:rsid w:val="00C76477"/>
    <w:rsid w:val="00C97915"/>
    <w:rsid w:val="00CA1BB3"/>
    <w:rsid w:val="00CB39B3"/>
    <w:rsid w:val="00CB479A"/>
    <w:rsid w:val="00CB5947"/>
    <w:rsid w:val="00CB766E"/>
    <w:rsid w:val="00CD26AF"/>
    <w:rsid w:val="00CE2F38"/>
    <w:rsid w:val="00CF173E"/>
    <w:rsid w:val="00D23AC1"/>
    <w:rsid w:val="00D2627F"/>
    <w:rsid w:val="00D276DE"/>
    <w:rsid w:val="00D5253F"/>
    <w:rsid w:val="00D66979"/>
    <w:rsid w:val="00D740CF"/>
    <w:rsid w:val="00D76C43"/>
    <w:rsid w:val="00DB66AA"/>
    <w:rsid w:val="00E2547F"/>
    <w:rsid w:val="00E94CEF"/>
    <w:rsid w:val="00EA40DD"/>
    <w:rsid w:val="00EC7EE5"/>
    <w:rsid w:val="00EF6D54"/>
    <w:rsid w:val="00F129C1"/>
    <w:rsid w:val="00F3014E"/>
    <w:rsid w:val="00F36C68"/>
    <w:rsid w:val="00F36F60"/>
    <w:rsid w:val="00F81946"/>
    <w:rsid w:val="00F9035F"/>
    <w:rsid w:val="00F9748C"/>
    <w:rsid w:val="00FA0C8C"/>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2.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3.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7.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2021-05-10T22:05:00Z</dcterms:created>
  <dcterms:modified xsi:type="dcterms:W3CDTF">2021-05-10T22:05:00Z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