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FD5858"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4"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0"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1"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FD5858"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2"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Huawei, HiSilicon</w:t>
            </w:r>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r>
              <w:rPr>
                <w:rFonts w:eastAsia="SimSun" w:cs="Arial"/>
                <w:lang w:eastAsia="zh-CN"/>
              </w:rPr>
              <w:t>Xiaolong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r>
              <w:rPr>
                <w:rFonts w:cs="Arial" w:hint="eastAsia"/>
                <w:lang w:eastAsia="ko-KR"/>
              </w:rPr>
              <w:t>Oanyong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r>
              <w:rPr>
                <w:rFonts w:eastAsia="SimSun" w:cs="Arial"/>
                <w:lang w:eastAsia="zh-CN"/>
              </w:rPr>
              <w:t>GateHouse</w:t>
            </w:r>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r>
              <w:rPr>
                <w:rFonts w:eastAsia="SimSun" w:cs="Arial"/>
                <w:lang w:eastAsia="zh-CN"/>
              </w:rPr>
              <w:t>Novamint</w:t>
            </w:r>
          </w:p>
        </w:tc>
        <w:tc>
          <w:tcPr>
            <w:tcW w:w="3003" w:type="dxa"/>
          </w:tcPr>
          <w:p w14:paraId="256D14E1" w14:textId="01BE8299" w:rsidR="006E72F6" w:rsidRDefault="00566D7C" w:rsidP="00B62640">
            <w:pPr>
              <w:rPr>
                <w:rFonts w:eastAsia="SimSun" w:cs="Arial"/>
                <w:lang w:eastAsia="zh-CN"/>
              </w:rPr>
            </w:pPr>
            <w:r>
              <w:rPr>
                <w:rFonts w:eastAsia="SimSun" w:cs="Arial"/>
                <w:lang w:eastAsia="zh-CN"/>
              </w:rPr>
              <w:t>Thierry Bérisot</w:t>
            </w:r>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r>
              <w:rPr>
                <w:rFonts w:eastAsia="SimSun" w:cs="Arial"/>
                <w:lang w:eastAsia="zh-CN"/>
              </w:rPr>
              <w:t>ramon.ferrus@sateliot.space</w:t>
            </w:r>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lastRenderedPageBreak/>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r>
              <w:rPr>
                <w:rFonts w:eastAsia="SimSun" w:cs="Arial" w:hint="eastAsia"/>
                <w:lang w:eastAsia="zh-CN"/>
              </w:rPr>
              <w:t>Sidong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r>
              <w:rPr>
                <w:rFonts w:eastAsia="SimSun" w:cs="Arial"/>
                <w:lang w:eastAsia="zh-CN"/>
              </w:rPr>
              <w:t>e</w:t>
            </w:r>
            <w:r w:rsidRPr="000A58C5">
              <w:rPr>
                <w:rFonts w:eastAsia="SimSun" w:cs="Arial"/>
                <w:lang w:eastAsia="zh-CN"/>
              </w:rPr>
              <w:t xml:space="preserve">mre dot yavuz at </w:t>
            </w:r>
            <w:r>
              <w:rPr>
                <w:rFonts w:eastAsia="SimSun" w:cs="Arial"/>
                <w:lang w:eastAsia="zh-CN"/>
              </w:rPr>
              <w:t>ericsson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r>
              <w:rPr>
                <w:rFonts w:eastAsia="SimSun" w:cs="Arial"/>
                <w:lang w:eastAsia="zh-CN"/>
              </w:rPr>
              <w:t>rfaurie-LS at sfr dot fr</w:t>
            </w:r>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FD5858">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FD5858">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FD5858">
            <w:pPr>
              <w:rPr>
                <w:rFonts w:eastAsia="SimSun" w:cs="Arial"/>
                <w:lang w:eastAsia="zh-CN"/>
              </w:rPr>
            </w:pPr>
            <w:r>
              <w:rPr>
                <w:rFonts w:eastAsia="SimSun" w:cs="Arial"/>
                <w:lang w:eastAsia="zh-CN"/>
              </w:rPr>
              <w:t>omarco at sequans.com</w:t>
            </w:r>
          </w:p>
        </w:tc>
      </w:tr>
      <w:tr w:rsidR="001370FB" w14:paraId="07967702" w14:textId="77777777" w:rsidTr="00A221C2">
        <w:tc>
          <w:tcPr>
            <w:tcW w:w="2981" w:type="dxa"/>
            <w:tcBorders>
              <w:top w:val="single" w:sz="4" w:space="0" w:color="auto"/>
              <w:left w:val="single" w:sz="4" w:space="0" w:color="auto"/>
              <w:bottom w:val="single" w:sz="4" w:space="0" w:color="auto"/>
              <w:right w:val="single" w:sz="4" w:space="0" w:color="auto"/>
            </w:tcBorders>
          </w:tcPr>
          <w:p w14:paraId="00BF4974" w14:textId="00C3D3C4" w:rsidR="001370FB" w:rsidRDefault="001370FB" w:rsidP="00FD5858">
            <w:pPr>
              <w:rPr>
                <w:rFonts w:eastAsia="SimSun" w:cs="Arial"/>
                <w:lang w:eastAsia="zh-CN"/>
              </w:rPr>
            </w:pPr>
            <w:r>
              <w:rPr>
                <w:rFonts w:eastAsia="SimSun" w:cs="Arial"/>
                <w:lang w:eastAsia="zh-CN"/>
              </w:rPr>
              <w:t>Apple</w:t>
            </w:r>
          </w:p>
        </w:tc>
        <w:tc>
          <w:tcPr>
            <w:tcW w:w="3003" w:type="dxa"/>
            <w:tcBorders>
              <w:top w:val="single" w:sz="4" w:space="0" w:color="auto"/>
              <w:left w:val="single" w:sz="4" w:space="0" w:color="auto"/>
              <w:bottom w:val="single" w:sz="4" w:space="0" w:color="auto"/>
              <w:right w:val="single" w:sz="4" w:space="0" w:color="auto"/>
            </w:tcBorders>
          </w:tcPr>
          <w:p w14:paraId="45719CF0" w14:textId="2DE45857" w:rsidR="001370FB" w:rsidRDefault="001370FB" w:rsidP="00FD5858">
            <w:pPr>
              <w:rPr>
                <w:rFonts w:eastAsia="SimSun" w:cs="Arial"/>
                <w:lang w:eastAsia="zh-CN"/>
              </w:rPr>
            </w:pPr>
            <w:r>
              <w:rPr>
                <w:rFonts w:eastAsia="SimSun" w:cs="Arial"/>
                <w:lang w:eastAsia="zh-CN"/>
              </w:rPr>
              <w:t>Sarma Vangala</w:t>
            </w:r>
          </w:p>
        </w:tc>
        <w:tc>
          <w:tcPr>
            <w:tcW w:w="3366" w:type="dxa"/>
            <w:tcBorders>
              <w:top w:val="single" w:sz="4" w:space="0" w:color="auto"/>
              <w:left w:val="single" w:sz="4" w:space="0" w:color="auto"/>
              <w:bottom w:val="single" w:sz="4" w:space="0" w:color="auto"/>
              <w:right w:val="single" w:sz="4" w:space="0" w:color="auto"/>
            </w:tcBorders>
          </w:tcPr>
          <w:p w14:paraId="329E8D10" w14:textId="003DEC31" w:rsidR="001370FB" w:rsidRDefault="001370FB" w:rsidP="00FD5858">
            <w:pPr>
              <w:rPr>
                <w:rFonts w:eastAsia="SimSun" w:cs="Arial"/>
                <w:lang w:eastAsia="zh-CN"/>
              </w:rPr>
            </w:pPr>
            <w:r>
              <w:rPr>
                <w:rFonts w:eastAsia="SimSun" w:cs="Arial"/>
                <w:lang w:eastAsia="zh-CN"/>
              </w:rPr>
              <w:t>svangala@apple.com</w:t>
            </w:r>
          </w:p>
        </w:tc>
      </w:tr>
      <w:tr w:rsidR="00336428" w14:paraId="67955739" w14:textId="77777777" w:rsidTr="00A221C2">
        <w:tc>
          <w:tcPr>
            <w:tcW w:w="2981" w:type="dxa"/>
            <w:tcBorders>
              <w:top w:val="single" w:sz="4" w:space="0" w:color="auto"/>
              <w:left w:val="single" w:sz="4" w:space="0" w:color="auto"/>
              <w:bottom w:val="single" w:sz="4" w:space="0" w:color="auto"/>
              <w:right w:val="single" w:sz="4" w:space="0" w:color="auto"/>
            </w:tcBorders>
          </w:tcPr>
          <w:p w14:paraId="662700FB" w14:textId="193B77C9" w:rsidR="00336428" w:rsidRDefault="00336428" w:rsidP="00FD5858">
            <w:pPr>
              <w:rPr>
                <w:rFonts w:eastAsia="SimSun" w:cs="Arial"/>
                <w:lang w:eastAsia="zh-CN"/>
              </w:rPr>
            </w:pPr>
            <w:r>
              <w:rPr>
                <w:rFonts w:eastAsia="SimSun" w:cs="Arial"/>
                <w:lang w:eastAsia="zh-CN"/>
              </w:rPr>
              <w:t>Hughes/EchoStar</w:t>
            </w:r>
          </w:p>
        </w:tc>
        <w:tc>
          <w:tcPr>
            <w:tcW w:w="3003" w:type="dxa"/>
            <w:tcBorders>
              <w:top w:val="single" w:sz="4" w:space="0" w:color="auto"/>
              <w:left w:val="single" w:sz="4" w:space="0" w:color="auto"/>
              <w:bottom w:val="single" w:sz="4" w:space="0" w:color="auto"/>
              <w:right w:val="single" w:sz="4" w:space="0" w:color="auto"/>
            </w:tcBorders>
          </w:tcPr>
          <w:p w14:paraId="015D9200" w14:textId="1654A0C4" w:rsidR="00336428" w:rsidRDefault="00336428" w:rsidP="00FD5858">
            <w:pPr>
              <w:rPr>
                <w:rFonts w:eastAsia="SimSun" w:cs="Arial"/>
                <w:lang w:eastAsia="zh-CN"/>
              </w:rPr>
            </w:pPr>
            <w:r>
              <w:rPr>
                <w:rFonts w:eastAsia="SimSun" w:cs="Arial"/>
                <w:lang w:eastAsia="zh-CN"/>
              </w:rPr>
              <w:t>Munira Jaffar</w:t>
            </w:r>
          </w:p>
        </w:tc>
        <w:tc>
          <w:tcPr>
            <w:tcW w:w="3366" w:type="dxa"/>
            <w:tcBorders>
              <w:top w:val="single" w:sz="4" w:space="0" w:color="auto"/>
              <w:left w:val="single" w:sz="4" w:space="0" w:color="auto"/>
              <w:bottom w:val="single" w:sz="4" w:space="0" w:color="auto"/>
              <w:right w:val="single" w:sz="4" w:space="0" w:color="auto"/>
            </w:tcBorders>
          </w:tcPr>
          <w:p w14:paraId="7DB6C44A" w14:textId="542F97B7" w:rsidR="00336428" w:rsidRDefault="00336428" w:rsidP="00FD5858">
            <w:pPr>
              <w:rPr>
                <w:rFonts w:eastAsia="SimSun" w:cs="Arial"/>
                <w:lang w:eastAsia="zh-CN"/>
              </w:rPr>
            </w:pPr>
            <w:r>
              <w:rPr>
                <w:rFonts w:eastAsia="SimSun" w:cs="Arial"/>
                <w:lang w:eastAsia="zh-CN"/>
              </w:rPr>
              <w:t>munirajaffar@hughes.com</w:t>
            </w:r>
          </w:p>
        </w:tc>
      </w:tr>
      <w:tr w:rsidR="008A5F64" w14:paraId="5946E114" w14:textId="77777777" w:rsidTr="00A221C2">
        <w:tc>
          <w:tcPr>
            <w:tcW w:w="2981" w:type="dxa"/>
            <w:tcBorders>
              <w:top w:val="single" w:sz="4" w:space="0" w:color="auto"/>
              <w:left w:val="single" w:sz="4" w:space="0" w:color="auto"/>
              <w:bottom w:val="single" w:sz="4" w:space="0" w:color="auto"/>
              <w:right w:val="single" w:sz="4" w:space="0" w:color="auto"/>
            </w:tcBorders>
          </w:tcPr>
          <w:p w14:paraId="7AA87BFF" w14:textId="018612A1" w:rsidR="008A5F64" w:rsidRDefault="008A5F64" w:rsidP="00FD5858">
            <w:pPr>
              <w:rPr>
                <w:rFonts w:eastAsia="SimSun" w:cs="Arial"/>
                <w:lang w:eastAsia="zh-CN"/>
              </w:rPr>
            </w:pPr>
            <w:r>
              <w:rPr>
                <w:rFonts w:eastAsia="SimSun" w:cs="Arial"/>
                <w:lang w:eastAsia="zh-CN"/>
              </w:rPr>
              <w:t>Vodafone</w:t>
            </w:r>
          </w:p>
        </w:tc>
        <w:tc>
          <w:tcPr>
            <w:tcW w:w="3003" w:type="dxa"/>
            <w:tcBorders>
              <w:top w:val="single" w:sz="4" w:space="0" w:color="auto"/>
              <w:left w:val="single" w:sz="4" w:space="0" w:color="auto"/>
              <w:bottom w:val="single" w:sz="4" w:space="0" w:color="auto"/>
              <w:right w:val="single" w:sz="4" w:space="0" w:color="auto"/>
            </w:tcBorders>
          </w:tcPr>
          <w:p w14:paraId="2CA9DB33" w14:textId="206A1A88" w:rsidR="008A5F64" w:rsidRDefault="008A5F64" w:rsidP="00FD5858">
            <w:pPr>
              <w:rPr>
                <w:rFonts w:eastAsia="SimSun" w:cs="Arial"/>
                <w:lang w:eastAsia="zh-CN"/>
              </w:rPr>
            </w:pPr>
            <w:r>
              <w:rPr>
                <w:rFonts w:eastAsia="SimSun" w:cs="Arial"/>
                <w:lang w:eastAsia="zh-CN"/>
              </w:rPr>
              <w:t>Manook Soghomonian</w:t>
            </w:r>
          </w:p>
        </w:tc>
        <w:tc>
          <w:tcPr>
            <w:tcW w:w="3366" w:type="dxa"/>
            <w:tcBorders>
              <w:top w:val="single" w:sz="4" w:space="0" w:color="auto"/>
              <w:left w:val="single" w:sz="4" w:space="0" w:color="auto"/>
              <w:bottom w:val="single" w:sz="4" w:space="0" w:color="auto"/>
              <w:right w:val="single" w:sz="4" w:space="0" w:color="auto"/>
            </w:tcBorders>
          </w:tcPr>
          <w:p w14:paraId="0B4B0D38" w14:textId="70464C4D" w:rsidR="008A5F64" w:rsidRDefault="008A5F64" w:rsidP="00FD5858">
            <w:pPr>
              <w:rPr>
                <w:rFonts w:eastAsia="SimSun" w:cs="Arial"/>
                <w:lang w:eastAsia="zh-CN"/>
              </w:rPr>
            </w:pPr>
            <w:hyperlink r:id="rId36" w:history="1">
              <w:r w:rsidRPr="009F3A75">
                <w:rPr>
                  <w:rStyle w:val="Hyperlink"/>
                  <w:rFonts w:eastAsia="SimSun" w:cs="Arial"/>
                  <w:lang w:eastAsia="zh-CN"/>
                </w:rPr>
                <w:t>Manook.soghomonian@vodafone.com</w:t>
              </w:r>
            </w:hyperlink>
            <w:r>
              <w:rPr>
                <w:rFonts w:eastAsia="SimSun" w:cs="Arial"/>
                <w:lang w:eastAsia="zh-CN"/>
              </w:rPr>
              <w:t xml:space="preserve"> </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lastRenderedPageBreak/>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432"/>
        <w:gridCol w:w="5998"/>
      </w:tblGrid>
      <w:tr w:rsidR="00AA6A4F" w14:paraId="0BDB3064" w14:textId="77777777" w:rsidTr="00BF3294">
        <w:tc>
          <w:tcPr>
            <w:tcW w:w="1795"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432"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BF3294">
        <w:tc>
          <w:tcPr>
            <w:tcW w:w="1795"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432"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BF3294">
        <w:tc>
          <w:tcPr>
            <w:tcW w:w="1795"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32"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BF3294">
        <w:tc>
          <w:tcPr>
            <w:tcW w:w="1795"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432"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BF3294">
        <w:tc>
          <w:tcPr>
            <w:tcW w:w="1795"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432"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neighbor cells that </w:t>
            </w:r>
            <w:r w:rsidRPr="007E73ED">
              <w:rPr>
                <w:rFonts w:ascii="Arial" w:eastAsia="SimSun" w:hAnsi="Arial" w:cs="Arial"/>
                <w:lang w:eastAsia="zh-CN"/>
              </w:rPr>
              <w:lastRenderedPageBreak/>
              <w:t>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BF3294">
        <w:tc>
          <w:tcPr>
            <w:tcW w:w="1795"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432"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BF3294">
        <w:tc>
          <w:tcPr>
            <w:tcW w:w="1795" w:type="dxa"/>
          </w:tcPr>
          <w:p w14:paraId="6DFE4A07" w14:textId="3F176563"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432"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moving beams should be addressed in Rel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7"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BF3294">
        <w:tc>
          <w:tcPr>
            <w:tcW w:w="1795" w:type="dxa"/>
          </w:tcPr>
          <w:p w14:paraId="7EB0E6BD" w14:textId="726FB9F7" w:rsidR="00C02B5E" w:rsidRDefault="00B5042F" w:rsidP="00C02B5E">
            <w:pPr>
              <w:spacing w:after="0"/>
              <w:jc w:val="both"/>
              <w:rPr>
                <w:rFonts w:ascii="Arial" w:eastAsia="SimSun" w:hAnsi="Arial" w:cs="Arial"/>
                <w:lang w:eastAsia="zh-CN"/>
              </w:rPr>
            </w:pPr>
            <w:r>
              <w:rPr>
                <w:rFonts w:ascii="Arial" w:eastAsia="SimSun" w:hAnsi="Arial" w:cs="Arial"/>
                <w:lang w:eastAsia="zh-CN"/>
              </w:rPr>
              <w:t>Novamin</w:t>
            </w:r>
            <w:r w:rsidRPr="00BC25A9">
              <w:rPr>
                <w:rFonts w:ascii="Arial" w:eastAsia="SimSun" w:hAnsi="Arial" w:cs="Arial"/>
                <w:lang w:eastAsia="zh-CN"/>
              </w:rPr>
              <w:t>t</w:t>
            </w:r>
          </w:p>
        </w:tc>
        <w:tc>
          <w:tcPr>
            <w:tcW w:w="1432"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In this context, such first version needs to be able to support small constellations of cubsat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and Ga</w:t>
            </w:r>
            <w:r w:rsidR="008D6F2C" w:rsidRPr="00883C17">
              <w:rPr>
                <w:rFonts w:ascii="Arial" w:eastAsia="SimSun" w:hAnsi="Arial" w:cs="Arial"/>
                <w:lang w:eastAsia="zh-CN"/>
              </w:rPr>
              <w:t>t</w:t>
            </w:r>
            <w:r w:rsidR="00211B2D">
              <w:rPr>
                <w:rFonts w:ascii="Arial" w:eastAsia="SimSun" w:hAnsi="Arial" w:cs="Arial"/>
                <w:lang w:eastAsia="zh-CN"/>
              </w:rPr>
              <w:t xml:space="preserve">eHouse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8" w:history="1">
              <w:r w:rsidRPr="002B5801">
                <w:rPr>
                  <w:rStyle w:val="Hyperlink"/>
                </w:rPr>
                <w:t>R2-2102961</w:t>
              </w:r>
            </w:hyperlink>
            <w:r>
              <w:rPr>
                <w:rFonts w:ascii="Arial" w:eastAsia="SimSun" w:hAnsi="Arial" w:cs="Arial"/>
                <w:lang w:eastAsia="zh-CN"/>
              </w:rPr>
              <w:t xml:space="preserve"> from Ga</w:t>
            </w:r>
            <w:r w:rsidRPr="00883C17">
              <w:rPr>
                <w:rFonts w:ascii="Arial" w:eastAsia="SimSun" w:hAnsi="Arial" w:cs="Arial"/>
                <w:lang w:eastAsia="zh-CN"/>
              </w:rPr>
              <w:t>t</w:t>
            </w:r>
            <w:r>
              <w:rPr>
                <w:rFonts w:ascii="Arial" w:eastAsia="SimSun" w:hAnsi="Arial" w:cs="Arial"/>
                <w:lang w:eastAsia="zh-CN"/>
              </w:rPr>
              <w:t>eHouse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BF3294">
        <w:tc>
          <w:tcPr>
            <w:tcW w:w="1795"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432"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As pointed out by ZTE, Novamint and GateHouse,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BF3294">
        <w:tc>
          <w:tcPr>
            <w:tcW w:w="1795"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432"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BF3294">
        <w:tc>
          <w:tcPr>
            <w:tcW w:w="1795"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432"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w:t>
            </w:r>
            <w:r>
              <w:rPr>
                <w:rFonts w:ascii="Arial" w:eastAsia="SimSun" w:hAnsi="Arial" w:cs="Arial"/>
                <w:lang w:eastAsia="zh-CN"/>
              </w:rPr>
              <w:lastRenderedPageBreak/>
              <w:t>could be used in IoT NTN as well. And we also agree with ZTE, GateHouse and Sateliot that we need to consider further enhancement for discontinuous coverage or coverage hole e.g. to avoid unnecessary cell search or measurement, as power consumption is always essential to IoT devices.</w:t>
            </w:r>
          </w:p>
        </w:tc>
      </w:tr>
      <w:tr w:rsidR="00757EA9" w14:paraId="24DFD803" w14:textId="77777777" w:rsidTr="00BF3294">
        <w:tc>
          <w:tcPr>
            <w:tcW w:w="1795"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432"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Cell selection mechanism can be used as such. Reuse of idle mode measurements on serving cell ,trigger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BF3294">
        <w:tc>
          <w:tcPr>
            <w:tcW w:w="1795"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432"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BF3294">
        <w:tc>
          <w:tcPr>
            <w:tcW w:w="1795"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432"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F3294">
        <w:tc>
          <w:tcPr>
            <w:tcW w:w="1795"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432"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a  spot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BF3294">
        <w:tc>
          <w:tcPr>
            <w:tcW w:w="1795"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lastRenderedPageBreak/>
              <w:t>Sequans</w:t>
            </w:r>
          </w:p>
        </w:tc>
        <w:tc>
          <w:tcPr>
            <w:tcW w:w="1432"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843F19" w14:paraId="22BCC821" w14:textId="77777777" w:rsidTr="00BF3294">
        <w:tc>
          <w:tcPr>
            <w:tcW w:w="1795" w:type="dxa"/>
            <w:tcBorders>
              <w:top w:val="single" w:sz="4" w:space="0" w:color="auto"/>
              <w:left w:val="single" w:sz="4" w:space="0" w:color="auto"/>
              <w:bottom w:val="single" w:sz="4" w:space="0" w:color="auto"/>
              <w:right w:val="single" w:sz="4" w:space="0" w:color="auto"/>
            </w:tcBorders>
          </w:tcPr>
          <w:p w14:paraId="6C724EC9" w14:textId="58D7D2DA" w:rsidR="00843F19" w:rsidRDefault="00843F19" w:rsidP="00FD5858">
            <w:pPr>
              <w:spacing w:after="0"/>
              <w:jc w:val="both"/>
              <w:rPr>
                <w:rFonts w:ascii="Arial" w:eastAsia="SimSun" w:hAnsi="Arial" w:cs="Arial"/>
                <w:lang w:eastAsia="zh-CN"/>
              </w:rPr>
            </w:pPr>
            <w:r>
              <w:rPr>
                <w:rFonts w:ascii="Arial" w:eastAsia="SimSun" w:hAnsi="Arial" w:cs="Arial"/>
                <w:lang w:eastAsia="zh-CN"/>
              </w:rPr>
              <w:t>Convida</w:t>
            </w:r>
          </w:p>
        </w:tc>
        <w:tc>
          <w:tcPr>
            <w:tcW w:w="1432" w:type="dxa"/>
            <w:tcBorders>
              <w:top w:val="single" w:sz="4" w:space="0" w:color="auto"/>
              <w:left w:val="single" w:sz="4" w:space="0" w:color="auto"/>
              <w:bottom w:val="single" w:sz="4" w:space="0" w:color="auto"/>
              <w:right w:val="single" w:sz="4" w:space="0" w:color="auto"/>
            </w:tcBorders>
          </w:tcPr>
          <w:p w14:paraId="78456722" w14:textId="5DE16780" w:rsidR="00843F19" w:rsidRDefault="00843F19" w:rsidP="00FD5858">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Borders>
              <w:top w:val="single" w:sz="4" w:space="0" w:color="auto"/>
              <w:left w:val="single" w:sz="4" w:space="0" w:color="auto"/>
              <w:bottom w:val="single" w:sz="4" w:space="0" w:color="auto"/>
              <w:right w:val="single" w:sz="4" w:space="0" w:color="auto"/>
            </w:tcBorders>
          </w:tcPr>
          <w:p w14:paraId="199275C5" w14:textId="77A03C5B"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Although, we </w:t>
            </w:r>
            <w:r w:rsidRPr="00843F19">
              <w:rPr>
                <w:rFonts w:ascii="Arial" w:eastAsia="SimSun" w:hAnsi="Arial" w:cs="Arial"/>
                <w:lang w:eastAsia="zh-CN"/>
              </w:rPr>
              <w:t>agree that existing measurement based procedures can be used for a baseline</w:t>
            </w:r>
            <w:r>
              <w:rPr>
                <w:rFonts w:ascii="Arial" w:eastAsia="SimSun" w:hAnsi="Arial" w:cs="Arial"/>
                <w:lang w:eastAsia="zh-CN"/>
              </w:rPr>
              <w:t>, additional enhancements appear to be necessary</w:t>
            </w:r>
          </w:p>
        </w:tc>
      </w:tr>
      <w:tr w:rsidR="001370FB" w14:paraId="14B87982" w14:textId="77777777" w:rsidTr="00BF3294">
        <w:tc>
          <w:tcPr>
            <w:tcW w:w="1795" w:type="dxa"/>
            <w:tcBorders>
              <w:top w:val="single" w:sz="4" w:space="0" w:color="auto"/>
              <w:left w:val="single" w:sz="4" w:space="0" w:color="auto"/>
              <w:bottom w:val="single" w:sz="4" w:space="0" w:color="auto"/>
              <w:right w:val="single" w:sz="4" w:space="0" w:color="auto"/>
            </w:tcBorders>
          </w:tcPr>
          <w:p w14:paraId="2434950A" w14:textId="60C4D5B3" w:rsidR="001370FB" w:rsidRDefault="001370FB" w:rsidP="00FD5858">
            <w:pPr>
              <w:spacing w:after="0"/>
              <w:jc w:val="both"/>
              <w:rPr>
                <w:rFonts w:ascii="Arial" w:eastAsia="SimSun" w:hAnsi="Arial" w:cs="Arial"/>
                <w:lang w:eastAsia="zh-CN"/>
              </w:rPr>
            </w:pPr>
            <w:r>
              <w:rPr>
                <w:rFonts w:ascii="Arial" w:eastAsia="SimSun" w:hAnsi="Arial" w:cs="Arial"/>
                <w:lang w:eastAsia="zh-CN"/>
              </w:rPr>
              <w:t>Apple</w:t>
            </w:r>
          </w:p>
        </w:tc>
        <w:tc>
          <w:tcPr>
            <w:tcW w:w="1432" w:type="dxa"/>
            <w:tcBorders>
              <w:top w:val="single" w:sz="4" w:space="0" w:color="auto"/>
              <w:left w:val="single" w:sz="4" w:space="0" w:color="auto"/>
              <w:bottom w:val="single" w:sz="4" w:space="0" w:color="auto"/>
              <w:right w:val="single" w:sz="4" w:space="0" w:color="auto"/>
            </w:tcBorders>
          </w:tcPr>
          <w:p w14:paraId="10466160" w14:textId="15083703" w:rsidR="001370FB" w:rsidRDefault="001370FB" w:rsidP="00FD5858">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771250F3" w14:textId="77D54D25" w:rsidR="001370FB"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measurement based procedures should be considered as baseline. Further enhancements at least at this stage should be considered. </w:t>
            </w:r>
          </w:p>
        </w:tc>
      </w:tr>
      <w:tr w:rsidR="00BF3294" w14:paraId="35155164" w14:textId="77777777" w:rsidTr="00BF3294">
        <w:tc>
          <w:tcPr>
            <w:tcW w:w="1795" w:type="dxa"/>
            <w:tcBorders>
              <w:top w:val="single" w:sz="4" w:space="0" w:color="auto"/>
              <w:left w:val="single" w:sz="4" w:space="0" w:color="auto"/>
              <w:bottom w:val="single" w:sz="4" w:space="0" w:color="auto"/>
              <w:right w:val="single" w:sz="4" w:space="0" w:color="auto"/>
            </w:tcBorders>
          </w:tcPr>
          <w:p w14:paraId="0A1E6FA9" w14:textId="08AD8E24" w:rsidR="00BF3294" w:rsidRDefault="00BF3294" w:rsidP="00FD5858">
            <w:pPr>
              <w:spacing w:after="0"/>
              <w:jc w:val="both"/>
              <w:rPr>
                <w:rFonts w:ascii="Arial" w:eastAsia="SimSun" w:hAnsi="Arial" w:cs="Arial"/>
                <w:lang w:eastAsia="zh-CN"/>
              </w:rPr>
            </w:pPr>
            <w:r>
              <w:rPr>
                <w:rFonts w:ascii="Arial" w:eastAsia="SimSun" w:hAnsi="Arial" w:cs="Arial"/>
                <w:lang w:eastAsia="zh-CN"/>
              </w:rPr>
              <w:t>Hughes/EchoStar</w:t>
            </w:r>
          </w:p>
        </w:tc>
        <w:tc>
          <w:tcPr>
            <w:tcW w:w="1432" w:type="dxa"/>
            <w:tcBorders>
              <w:top w:val="single" w:sz="4" w:space="0" w:color="auto"/>
              <w:left w:val="single" w:sz="4" w:space="0" w:color="auto"/>
              <w:bottom w:val="single" w:sz="4" w:space="0" w:color="auto"/>
              <w:right w:val="single" w:sz="4" w:space="0" w:color="auto"/>
            </w:tcBorders>
          </w:tcPr>
          <w:p w14:paraId="4CAE627D" w14:textId="4E3D6696" w:rsidR="00BF3294" w:rsidRDefault="00090710" w:rsidP="00FD5858">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90522CF" w14:textId="59C50B9D" w:rsidR="00BF3294" w:rsidRDefault="00090710" w:rsidP="00A221C2">
            <w:pPr>
              <w:spacing w:after="0"/>
              <w:jc w:val="both"/>
              <w:rPr>
                <w:rFonts w:ascii="Arial" w:eastAsia="SimSun" w:hAnsi="Arial" w:cs="Arial"/>
                <w:lang w:eastAsia="zh-CN"/>
              </w:rPr>
            </w:pPr>
            <w:r w:rsidRPr="00090710">
              <w:rPr>
                <w:rFonts w:ascii="Arial" w:eastAsia="SimSun" w:hAnsi="Arial" w:cs="Arial"/>
                <w:lang w:eastAsia="zh-CN"/>
              </w:rPr>
              <w:t>Existing cell (re-)selection mechanism can be reused in IoT NTN but this will be at the cost of the battery life, e.g. in case of moving cells or discontinuous coverage</w:t>
            </w:r>
          </w:p>
        </w:tc>
      </w:tr>
      <w:tr w:rsidR="00FD5858" w14:paraId="1BAEE283" w14:textId="77777777" w:rsidTr="00BF3294">
        <w:tc>
          <w:tcPr>
            <w:tcW w:w="1795" w:type="dxa"/>
            <w:tcBorders>
              <w:top w:val="single" w:sz="4" w:space="0" w:color="auto"/>
              <w:left w:val="single" w:sz="4" w:space="0" w:color="auto"/>
              <w:bottom w:val="single" w:sz="4" w:space="0" w:color="auto"/>
              <w:right w:val="single" w:sz="4" w:space="0" w:color="auto"/>
            </w:tcBorders>
          </w:tcPr>
          <w:p w14:paraId="2282D9DE" w14:textId="5A3B000B" w:rsidR="00FD5858" w:rsidRDefault="00FD5858" w:rsidP="00FD5858">
            <w:pPr>
              <w:spacing w:after="0"/>
              <w:jc w:val="both"/>
              <w:rPr>
                <w:rFonts w:ascii="Arial" w:eastAsia="SimSun" w:hAnsi="Arial" w:cs="Arial"/>
                <w:lang w:eastAsia="zh-CN"/>
              </w:rPr>
            </w:pPr>
            <w:r>
              <w:rPr>
                <w:rFonts w:ascii="Arial" w:eastAsia="SimSun" w:hAnsi="Arial" w:cs="Arial"/>
                <w:lang w:eastAsia="zh-CN"/>
              </w:rPr>
              <w:t xml:space="preserve">Vodafone </w:t>
            </w:r>
          </w:p>
        </w:tc>
        <w:tc>
          <w:tcPr>
            <w:tcW w:w="1432" w:type="dxa"/>
            <w:tcBorders>
              <w:top w:val="single" w:sz="4" w:space="0" w:color="auto"/>
              <w:left w:val="single" w:sz="4" w:space="0" w:color="auto"/>
              <w:bottom w:val="single" w:sz="4" w:space="0" w:color="auto"/>
              <w:right w:val="single" w:sz="4" w:space="0" w:color="auto"/>
            </w:tcBorders>
          </w:tcPr>
          <w:p w14:paraId="10ECDDE9" w14:textId="0E7337FC" w:rsidR="00FD5858" w:rsidRDefault="00FD5858" w:rsidP="00FD5858">
            <w:pPr>
              <w:spacing w:after="0"/>
              <w:jc w:val="both"/>
              <w:rPr>
                <w:rFonts w:ascii="Arial" w:eastAsia="SimSun" w:hAnsi="Arial" w:cs="Arial"/>
                <w:lang w:eastAsia="zh-CN"/>
              </w:rPr>
            </w:pPr>
            <w:r>
              <w:rPr>
                <w:rFonts w:ascii="Arial" w:eastAsia="SimSun" w:hAnsi="Arial" w:cs="Arial"/>
                <w:lang w:eastAsia="zh-CN"/>
              </w:rPr>
              <w:t xml:space="preserve">Yes (partially) </w:t>
            </w:r>
          </w:p>
        </w:tc>
        <w:tc>
          <w:tcPr>
            <w:tcW w:w="5998" w:type="dxa"/>
            <w:tcBorders>
              <w:top w:val="single" w:sz="4" w:space="0" w:color="auto"/>
              <w:left w:val="single" w:sz="4" w:space="0" w:color="auto"/>
              <w:bottom w:val="single" w:sz="4" w:space="0" w:color="auto"/>
              <w:right w:val="single" w:sz="4" w:space="0" w:color="auto"/>
            </w:tcBorders>
          </w:tcPr>
          <w:p w14:paraId="4211B724" w14:textId="77777777" w:rsidR="00FD5858" w:rsidRDefault="00FD5858" w:rsidP="00A221C2">
            <w:pPr>
              <w:spacing w:after="0"/>
              <w:jc w:val="both"/>
              <w:rPr>
                <w:rFonts w:ascii="Arial" w:eastAsia="SimSun" w:hAnsi="Arial" w:cs="Arial"/>
                <w:lang w:eastAsia="zh-CN"/>
              </w:rPr>
            </w:pPr>
            <w:r>
              <w:rPr>
                <w:rFonts w:ascii="Arial" w:eastAsia="SimSun" w:hAnsi="Arial" w:cs="Arial"/>
                <w:lang w:eastAsia="zh-CN"/>
              </w:rPr>
              <w:t xml:space="preserve">the existing solution can be reused for Earth-Stationary cells, the cells appear to be static w.r.t. the UE </w:t>
            </w:r>
          </w:p>
          <w:p w14:paraId="6A09F953" w14:textId="0D1D12DF" w:rsidR="00FD5858" w:rsidRPr="00090710" w:rsidRDefault="00FD5858" w:rsidP="00A221C2">
            <w:pPr>
              <w:spacing w:after="0"/>
              <w:jc w:val="both"/>
              <w:rPr>
                <w:rFonts w:ascii="Arial" w:eastAsia="SimSun" w:hAnsi="Arial" w:cs="Arial"/>
                <w:lang w:eastAsia="zh-CN"/>
              </w:rPr>
            </w:pPr>
            <w:r>
              <w:rPr>
                <w:rFonts w:ascii="Arial" w:eastAsia="SimSun" w:hAnsi="Arial" w:cs="Arial"/>
                <w:lang w:eastAsia="zh-CN"/>
              </w:rPr>
              <w:t>For moving cells however, we would require a more efficient mechanism not to use the UE’s power every time the cells pass over the stationary UE.</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lastRenderedPageBreak/>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(TLE or GNSS+velocity)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FD5858">
        <w:tc>
          <w:tcPr>
            <w:tcW w:w="1668" w:type="dxa"/>
          </w:tcPr>
          <w:p w14:paraId="21C88339" w14:textId="77777777" w:rsidR="005337B6" w:rsidRDefault="005337B6" w:rsidP="00FD5858">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FD5858">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38C97DF4"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61FA1C2" w14:textId="12DEA2D6"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36BA9CB8" w:rsidR="00A221C2" w:rsidRDefault="00843F19" w:rsidP="00A221C2">
            <w:pPr>
              <w:spacing w:after="0"/>
              <w:jc w:val="both"/>
              <w:rPr>
                <w:rFonts w:ascii="Arial" w:eastAsia="SimSun" w:hAnsi="Arial" w:cs="Arial"/>
                <w:lang w:eastAsia="zh-CN"/>
              </w:rPr>
            </w:pPr>
            <w:r>
              <w:rPr>
                <w:rFonts w:ascii="Arial" w:eastAsia="SimSun" w:hAnsi="Arial" w:cs="Arial"/>
                <w:lang w:eastAsia="zh-CN"/>
              </w:rPr>
              <w:t>Agree with most of the views above that this is necessary. The details are FFS.</w:t>
            </w:r>
          </w:p>
        </w:tc>
      </w:tr>
      <w:tr w:rsidR="00A221C2" w14:paraId="51A50264" w14:textId="77777777" w:rsidTr="00B62640">
        <w:tc>
          <w:tcPr>
            <w:tcW w:w="1668" w:type="dxa"/>
          </w:tcPr>
          <w:p w14:paraId="53CCB901" w14:textId="138FD2F7"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6FE23C51" w14:textId="7B4A4F0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530F147" w14:textId="7248E257"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There is definitely a trade-off advantage in terms of power savings in providing ephemeris to some categories UE. However, how big these benefits are for different IoT device categories needs to be further studied. </w:t>
            </w:r>
          </w:p>
        </w:tc>
      </w:tr>
      <w:tr w:rsidR="00357DB5" w14:paraId="5E5F7EB6" w14:textId="77777777" w:rsidTr="00B62640">
        <w:tc>
          <w:tcPr>
            <w:tcW w:w="1668" w:type="dxa"/>
          </w:tcPr>
          <w:p w14:paraId="59959F6A" w14:textId="2BCF149F" w:rsidR="00357DB5" w:rsidRPr="00357DB5" w:rsidRDefault="00357DB5" w:rsidP="00A221C2">
            <w:pPr>
              <w:spacing w:after="0"/>
              <w:jc w:val="both"/>
              <w:rPr>
                <w:rFonts w:ascii="Arial" w:eastAsia="SimSun" w:hAnsi="Arial" w:cs="Arial"/>
                <w:sz w:val="18"/>
                <w:szCs w:val="18"/>
                <w:lang w:eastAsia="zh-CN"/>
              </w:rPr>
            </w:pPr>
            <w:r w:rsidRPr="00357DB5">
              <w:rPr>
                <w:rFonts w:ascii="Arial" w:eastAsia="SimSun" w:hAnsi="Arial" w:cs="Arial"/>
                <w:sz w:val="18"/>
                <w:szCs w:val="18"/>
                <w:lang w:eastAsia="zh-CN"/>
              </w:rPr>
              <w:t>Hughes/EchoStar</w:t>
            </w:r>
          </w:p>
        </w:tc>
        <w:tc>
          <w:tcPr>
            <w:tcW w:w="1559" w:type="dxa"/>
          </w:tcPr>
          <w:p w14:paraId="5C118BB5" w14:textId="206F079F" w:rsidR="00357DB5" w:rsidRDefault="00357DB5"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82995AB" w14:textId="57F1B32D" w:rsidR="00357DB5" w:rsidRDefault="00F71448" w:rsidP="00A221C2">
            <w:pPr>
              <w:spacing w:after="0"/>
              <w:jc w:val="both"/>
              <w:rPr>
                <w:rFonts w:ascii="Arial" w:eastAsia="SimSun" w:hAnsi="Arial" w:cs="Arial"/>
                <w:lang w:eastAsia="zh-CN"/>
              </w:rPr>
            </w:pPr>
            <w:r>
              <w:rPr>
                <w:rFonts w:ascii="Arial" w:eastAsia="SimSun" w:hAnsi="Arial" w:cs="Arial"/>
                <w:lang w:eastAsia="zh-CN"/>
              </w:rPr>
              <w:t>Same view as Huawei</w:t>
            </w:r>
          </w:p>
        </w:tc>
      </w:tr>
      <w:tr w:rsidR="00FD5858" w14:paraId="68D3F771" w14:textId="77777777" w:rsidTr="00B62640">
        <w:tc>
          <w:tcPr>
            <w:tcW w:w="1668" w:type="dxa"/>
          </w:tcPr>
          <w:p w14:paraId="775CBCA3" w14:textId="6AD2CF5E" w:rsidR="00FD5858" w:rsidRPr="00357DB5" w:rsidRDefault="00FD5858" w:rsidP="00A221C2">
            <w:pPr>
              <w:spacing w:after="0"/>
              <w:jc w:val="both"/>
              <w:rPr>
                <w:rFonts w:ascii="Arial" w:eastAsia="SimSun" w:hAnsi="Arial" w:cs="Arial"/>
                <w:sz w:val="18"/>
                <w:szCs w:val="18"/>
                <w:lang w:eastAsia="zh-CN"/>
              </w:rPr>
            </w:pPr>
            <w:r>
              <w:rPr>
                <w:rFonts w:ascii="Arial" w:eastAsia="SimSun" w:hAnsi="Arial" w:cs="Arial"/>
                <w:sz w:val="18"/>
                <w:szCs w:val="18"/>
                <w:lang w:eastAsia="zh-CN"/>
              </w:rPr>
              <w:t xml:space="preserve">Vodafone </w:t>
            </w:r>
          </w:p>
        </w:tc>
        <w:tc>
          <w:tcPr>
            <w:tcW w:w="1559" w:type="dxa"/>
          </w:tcPr>
          <w:p w14:paraId="3BBDBA51" w14:textId="75A478BF" w:rsidR="00FD5858" w:rsidRDefault="00FD5858"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20168C3" w14:textId="77777777" w:rsidR="00FD5858" w:rsidRDefault="00FD5858" w:rsidP="00A221C2">
            <w:pPr>
              <w:spacing w:after="0"/>
              <w:jc w:val="both"/>
              <w:rPr>
                <w:rFonts w:ascii="Arial" w:eastAsia="SimSun" w:hAnsi="Arial" w:cs="Arial"/>
                <w:lang w:eastAsia="zh-CN"/>
              </w:rPr>
            </w:pPr>
            <w:r>
              <w:rPr>
                <w:rFonts w:ascii="Arial" w:eastAsia="SimSun" w:hAnsi="Arial" w:cs="Arial"/>
                <w:lang w:eastAsia="zh-CN"/>
              </w:rPr>
              <w:t xml:space="preserve">As stated by Ericsson above this assistance information need to be further studies </w:t>
            </w:r>
          </w:p>
          <w:p w14:paraId="2F3F86D9" w14:textId="05AFEC1B" w:rsidR="00FD5858" w:rsidRDefault="00FD5858" w:rsidP="00A221C2">
            <w:pPr>
              <w:spacing w:after="0"/>
              <w:jc w:val="both"/>
              <w:rPr>
                <w:rFonts w:ascii="Arial" w:eastAsia="SimSun" w:hAnsi="Arial" w:cs="Arial"/>
                <w:lang w:eastAsia="zh-CN"/>
              </w:rPr>
            </w:pPr>
            <w:r>
              <w:rPr>
                <w:rFonts w:ascii="Arial" w:eastAsia="SimSun" w:hAnsi="Arial" w:cs="Arial"/>
                <w:lang w:eastAsia="zh-CN"/>
              </w:rPr>
              <w:lastRenderedPageBreak/>
              <w:t>However, it must be stated here that the solution for the IoT devices, must be as simple as possible not to waste battery power.</w:t>
            </w:r>
          </w:p>
          <w:p w14:paraId="78A18E10" w14:textId="6CC409E1" w:rsidR="00FD5858" w:rsidRDefault="00FD5858" w:rsidP="00A221C2">
            <w:pPr>
              <w:spacing w:after="0"/>
              <w:jc w:val="both"/>
              <w:rPr>
                <w:rFonts w:ascii="Arial" w:eastAsia="SimSun" w:hAnsi="Arial" w:cs="Arial"/>
                <w:lang w:eastAsia="zh-CN"/>
              </w:rPr>
            </w:pPr>
            <w:r>
              <w:rPr>
                <w:rFonts w:ascii="Arial" w:eastAsia="SimSun" w:hAnsi="Arial" w:cs="Arial"/>
                <w:lang w:eastAsia="zh-CN"/>
              </w:rPr>
              <w:t>In practice minor coverage gaps can be tolerated</w:t>
            </w:r>
            <w:r w:rsidR="00E5688C">
              <w:rPr>
                <w:rFonts w:ascii="Arial" w:eastAsia="SimSun" w:hAnsi="Arial" w:cs="Arial"/>
                <w:lang w:eastAsia="zh-CN"/>
              </w:rPr>
              <w:t xml:space="preserve"> and therefore this solution should not be over-engineered </w:t>
            </w:r>
            <w:r>
              <w:rPr>
                <w:rFonts w:ascii="Arial" w:eastAsia="SimSun" w:hAnsi="Arial" w:cs="Arial"/>
                <w:lang w:eastAsia="zh-CN"/>
              </w:rPr>
              <w:t xml:space="preserve">  </w:t>
            </w: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eMCT/NB-IoT,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FD5858">
        <w:tc>
          <w:tcPr>
            <w:tcW w:w="1668" w:type="dxa"/>
          </w:tcPr>
          <w:p w14:paraId="4F7753A1"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2707E9AE" w:rsidR="00A221C2" w:rsidRDefault="00843F19" w:rsidP="00A221C2">
            <w:pPr>
              <w:spacing w:after="0"/>
              <w:jc w:val="both"/>
              <w:rPr>
                <w:rFonts w:ascii="Arial" w:eastAsia="SimSun" w:hAnsi="Arial" w:cs="Arial"/>
                <w:lang w:eastAsia="zh-CN"/>
              </w:rPr>
            </w:pPr>
            <w:r>
              <w:rPr>
                <w:rFonts w:ascii="Arial" w:eastAsia="SimSun" w:hAnsi="Arial" w:cs="Arial"/>
                <w:lang w:eastAsia="zh-CN"/>
              </w:rPr>
              <w:t xml:space="preserve">Convida </w:t>
            </w:r>
          </w:p>
        </w:tc>
        <w:tc>
          <w:tcPr>
            <w:tcW w:w="1559" w:type="dxa"/>
          </w:tcPr>
          <w:p w14:paraId="4894986A" w14:textId="516B1E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A221C2" w14:paraId="39E25B47" w14:textId="77777777" w:rsidTr="00B62640">
        <w:tc>
          <w:tcPr>
            <w:tcW w:w="1668" w:type="dxa"/>
          </w:tcPr>
          <w:p w14:paraId="37D5CDBF" w14:textId="00D99E06"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2042DE72" w14:textId="7CFCFE1F"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5C8EE2" w14:textId="77777777" w:rsidR="00A221C2" w:rsidRDefault="00A221C2" w:rsidP="00A221C2">
            <w:pPr>
              <w:spacing w:after="0"/>
              <w:jc w:val="both"/>
              <w:rPr>
                <w:rFonts w:ascii="Arial" w:eastAsia="SimSun" w:hAnsi="Arial" w:cs="Arial"/>
                <w:lang w:eastAsia="zh-CN"/>
              </w:rPr>
            </w:pPr>
          </w:p>
        </w:tc>
      </w:tr>
      <w:tr w:rsidR="001F0DB6" w14:paraId="05062C5A" w14:textId="77777777" w:rsidTr="00B62640">
        <w:tc>
          <w:tcPr>
            <w:tcW w:w="1668" w:type="dxa"/>
          </w:tcPr>
          <w:p w14:paraId="1DA60EEA" w14:textId="11FFC37B" w:rsidR="001F0DB6" w:rsidRDefault="001F0DB6" w:rsidP="00A221C2">
            <w:pPr>
              <w:spacing w:after="0"/>
              <w:jc w:val="both"/>
              <w:rPr>
                <w:rFonts w:ascii="Arial" w:eastAsia="SimSun" w:hAnsi="Arial" w:cs="Arial"/>
                <w:lang w:eastAsia="zh-CN"/>
              </w:rPr>
            </w:pPr>
            <w:r w:rsidRPr="001F0DB6">
              <w:rPr>
                <w:rFonts w:ascii="Arial" w:eastAsia="SimSun" w:hAnsi="Arial" w:cs="Arial"/>
                <w:lang w:eastAsia="zh-CN"/>
              </w:rPr>
              <w:t>Hughes/EchoStar</w:t>
            </w:r>
          </w:p>
        </w:tc>
        <w:tc>
          <w:tcPr>
            <w:tcW w:w="1559" w:type="dxa"/>
          </w:tcPr>
          <w:p w14:paraId="0696E401" w14:textId="62380CAF" w:rsidR="001F0DB6" w:rsidRDefault="001F0DB6"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B5A84B" w14:textId="23C42CB5" w:rsidR="001F0DB6" w:rsidRDefault="001A2BCE" w:rsidP="00A221C2">
            <w:pPr>
              <w:spacing w:after="0"/>
              <w:jc w:val="both"/>
              <w:rPr>
                <w:rFonts w:ascii="Arial" w:eastAsia="SimSun" w:hAnsi="Arial" w:cs="Arial"/>
                <w:lang w:eastAsia="zh-CN"/>
              </w:rPr>
            </w:pPr>
            <w:r>
              <w:rPr>
                <w:rFonts w:ascii="Arial" w:eastAsia="SimSun" w:hAnsi="Arial" w:cs="Arial"/>
                <w:lang w:eastAsia="zh-CN"/>
              </w:rPr>
              <w:t>OK to follow NR</w:t>
            </w:r>
          </w:p>
        </w:tc>
      </w:tr>
      <w:tr w:rsidR="00D776BA" w14:paraId="2F55D21F" w14:textId="77777777" w:rsidTr="00B62640">
        <w:tc>
          <w:tcPr>
            <w:tcW w:w="1668" w:type="dxa"/>
          </w:tcPr>
          <w:p w14:paraId="10E20A7E" w14:textId="33911946" w:rsidR="00D776BA" w:rsidRPr="001F0DB6" w:rsidRDefault="00D776BA" w:rsidP="00A221C2">
            <w:pPr>
              <w:spacing w:after="0"/>
              <w:jc w:val="both"/>
              <w:rPr>
                <w:rFonts w:ascii="Arial" w:eastAsia="SimSun" w:hAnsi="Arial" w:cs="Arial"/>
                <w:lang w:eastAsia="zh-CN"/>
              </w:rPr>
            </w:pPr>
            <w:r>
              <w:rPr>
                <w:rFonts w:ascii="Arial" w:eastAsia="SimSun" w:hAnsi="Arial" w:cs="Arial"/>
                <w:lang w:eastAsia="zh-CN"/>
              </w:rPr>
              <w:t xml:space="preserve">Vodafone </w:t>
            </w:r>
          </w:p>
        </w:tc>
        <w:tc>
          <w:tcPr>
            <w:tcW w:w="1559" w:type="dxa"/>
          </w:tcPr>
          <w:p w14:paraId="4AB94E8D" w14:textId="09EA68DB" w:rsidR="00D776BA" w:rsidRDefault="00D776BA"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2075BB4" w14:textId="00CD6178" w:rsidR="00D776BA" w:rsidRDefault="00D776BA" w:rsidP="00A221C2">
            <w:pPr>
              <w:spacing w:after="0"/>
              <w:jc w:val="both"/>
              <w:rPr>
                <w:rFonts w:ascii="Arial" w:eastAsia="SimSun" w:hAnsi="Arial" w:cs="Arial"/>
                <w:lang w:eastAsia="zh-CN"/>
              </w:rPr>
            </w:pPr>
            <w:r>
              <w:rPr>
                <w:rFonts w:ascii="Arial" w:eastAsia="SimSun" w:hAnsi="Arial" w:cs="Arial"/>
                <w:lang w:eastAsia="zh-CN"/>
              </w:rPr>
              <w:t xml:space="preserve">keep the solution as simple as possible </w:t>
            </w: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lastRenderedPageBreak/>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As connected mode mobility is not essential feature for IoT-NTN we think extending eMTC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eMTC without even knowing/analysing those agreements in the context of eMTC. </w:t>
            </w:r>
          </w:p>
        </w:tc>
      </w:tr>
      <w:tr w:rsidR="00843F19" w14:paraId="39039477" w14:textId="77777777" w:rsidTr="00B62640">
        <w:tc>
          <w:tcPr>
            <w:tcW w:w="1668" w:type="dxa"/>
          </w:tcPr>
          <w:p w14:paraId="1FD50DD9" w14:textId="195AE6DC" w:rsidR="00843F19"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B811280" w14:textId="4F93CA2B" w:rsidR="00843F19"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1AF9C15" w14:textId="2070A72D"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We agree that the solutions agreed for NR should be used as a baseline. Further enhancements should not be precluded. </w:t>
            </w:r>
          </w:p>
        </w:tc>
      </w:tr>
      <w:tr w:rsidR="001370FB" w14:paraId="653E5EE5" w14:textId="77777777" w:rsidTr="00B62640">
        <w:tc>
          <w:tcPr>
            <w:tcW w:w="1668" w:type="dxa"/>
          </w:tcPr>
          <w:p w14:paraId="6104B388" w14:textId="1DB8D45B" w:rsidR="001370FB"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0C6859DA" w14:textId="04DEC89D" w:rsidR="001370FB"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A4BB3D3" w14:textId="07B4FA04" w:rsidR="001370FB" w:rsidRDefault="001370FB" w:rsidP="00A221C2">
            <w:pPr>
              <w:spacing w:after="0"/>
              <w:jc w:val="both"/>
              <w:rPr>
                <w:rFonts w:ascii="Arial" w:eastAsia="SimSun" w:hAnsi="Arial" w:cs="Arial"/>
                <w:lang w:eastAsia="zh-CN"/>
              </w:rPr>
            </w:pPr>
            <w:r>
              <w:rPr>
                <w:rFonts w:ascii="Arial" w:eastAsia="SimSun" w:hAnsi="Arial" w:cs="Arial"/>
                <w:lang w:eastAsia="zh-CN"/>
              </w:rPr>
              <w:t>NR NTN procedures and agreements in general should be the baseline for IoT-NTN</w:t>
            </w:r>
          </w:p>
        </w:tc>
      </w:tr>
      <w:tr w:rsidR="009A5117" w14:paraId="5B0F02EA" w14:textId="77777777" w:rsidTr="00B62640">
        <w:tc>
          <w:tcPr>
            <w:tcW w:w="1668" w:type="dxa"/>
          </w:tcPr>
          <w:p w14:paraId="2C24FA40" w14:textId="537A42D2" w:rsidR="009A5117" w:rsidRDefault="009A5117" w:rsidP="00A221C2">
            <w:pPr>
              <w:spacing w:after="0"/>
              <w:jc w:val="both"/>
              <w:rPr>
                <w:rFonts w:ascii="Arial" w:eastAsia="SimSun" w:hAnsi="Arial" w:cs="Arial"/>
                <w:lang w:eastAsia="zh-CN"/>
              </w:rPr>
            </w:pPr>
            <w:r w:rsidRPr="009A5117">
              <w:rPr>
                <w:rFonts w:ascii="Arial" w:eastAsia="SimSun" w:hAnsi="Arial" w:cs="Arial"/>
                <w:lang w:eastAsia="zh-CN"/>
              </w:rPr>
              <w:lastRenderedPageBreak/>
              <w:t>Hughes/EchoStar</w:t>
            </w:r>
          </w:p>
        </w:tc>
        <w:tc>
          <w:tcPr>
            <w:tcW w:w="1559" w:type="dxa"/>
          </w:tcPr>
          <w:p w14:paraId="21A13D9F" w14:textId="12B4AB28" w:rsidR="009A5117" w:rsidRDefault="00722477"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41C5C478" w14:textId="10BE6A84" w:rsidR="009A5117" w:rsidRDefault="00722477" w:rsidP="00A221C2">
            <w:pPr>
              <w:spacing w:after="0"/>
              <w:jc w:val="both"/>
              <w:rPr>
                <w:rFonts w:ascii="Arial" w:eastAsia="SimSun" w:hAnsi="Arial" w:cs="Arial"/>
                <w:lang w:eastAsia="zh-CN"/>
              </w:rPr>
            </w:pPr>
            <w:r>
              <w:rPr>
                <w:rFonts w:ascii="Arial" w:hAnsi="Arial" w:cs="Arial"/>
                <w:lang w:eastAsia="ko-KR"/>
              </w:rPr>
              <w:t>For all the UE mobility issues in connected mode, NR-NTN can be the baseline</w:t>
            </w:r>
            <w:r w:rsidR="00597E8A">
              <w:rPr>
                <w:rFonts w:ascii="Arial" w:hAnsi="Arial" w:cs="Arial"/>
                <w:lang w:eastAsia="ko-KR"/>
              </w:rPr>
              <w:t xml:space="preserve"> but </w:t>
            </w:r>
            <w:r w:rsidR="00597E8A">
              <w:rPr>
                <w:rFonts w:ascii="Arial" w:eastAsia="SimSun" w:hAnsi="Arial" w:cs="Arial"/>
                <w:lang w:eastAsia="zh-CN"/>
              </w:rPr>
              <w:t>connected mode mobility is not essential for IoT-NTN for the first release.</w:t>
            </w:r>
          </w:p>
        </w:tc>
      </w:tr>
      <w:tr w:rsidR="00D776BA" w14:paraId="130C9991" w14:textId="77777777" w:rsidTr="00B62640">
        <w:tc>
          <w:tcPr>
            <w:tcW w:w="1668" w:type="dxa"/>
          </w:tcPr>
          <w:p w14:paraId="6C918D3B" w14:textId="05F6F308" w:rsidR="00D776BA" w:rsidRPr="009A5117" w:rsidRDefault="00D776BA" w:rsidP="00A221C2">
            <w:pPr>
              <w:spacing w:after="0"/>
              <w:jc w:val="both"/>
              <w:rPr>
                <w:rFonts w:ascii="Arial" w:eastAsia="SimSun" w:hAnsi="Arial" w:cs="Arial"/>
                <w:lang w:eastAsia="zh-CN"/>
              </w:rPr>
            </w:pPr>
            <w:r>
              <w:rPr>
                <w:rFonts w:ascii="Arial" w:eastAsia="SimSun" w:hAnsi="Arial" w:cs="Arial"/>
                <w:lang w:eastAsia="zh-CN"/>
              </w:rPr>
              <w:t xml:space="preserve">Vodafone </w:t>
            </w:r>
          </w:p>
        </w:tc>
        <w:tc>
          <w:tcPr>
            <w:tcW w:w="1559" w:type="dxa"/>
          </w:tcPr>
          <w:p w14:paraId="26E409E5" w14:textId="19AD5C8D" w:rsidR="00D776BA" w:rsidRDefault="00D776BA"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483DE60" w14:textId="22E6E642" w:rsidR="00D776BA" w:rsidRDefault="00D776BA" w:rsidP="00A221C2">
            <w:pPr>
              <w:spacing w:after="0"/>
              <w:jc w:val="both"/>
              <w:rPr>
                <w:rFonts w:ascii="Arial" w:hAnsi="Arial" w:cs="Arial"/>
                <w:lang w:eastAsia="ko-KR"/>
              </w:rPr>
            </w:pPr>
            <w:r>
              <w:rPr>
                <w:rFonts w:ascii="Arial" w:hAnsi="Arial" w:cs="Arial"/>
                <w:lang w:eastAsia="ko-KR"/>
              </w:rPr>
              <w:t>Agree with Ericsson’s comments.</w:t>
            </w:r>
          </w:p>
          <w:p w14:paraId="0F1C260E" w14:textId="2C424DB3" w:rsidR="00D776BA" w:rsidRDefault="00D776BA" w:rsidP="00A221C2">
            <w:pPr>
              <w:spacing w:after="0"/>
              <w:jc w:val="both"/>
              <w:rPr>
                <w:rFonts w:ascii="Arial" w:hAnsi="Arial" w:cs="Arial"/>
                <w:lang w:eastAsia="ko-KR"/>
              </w:rPr>
            </w:pPr>
            <w:r>
              <w:rPr>
                <w:rFonts w:ascii="Arial" w:hAnsi="Arial" w:cs="Arial"/>
                <w:lang w:eastAsia="ko-KR"/>
              </w:rPr>
              <w:t>Basic IoT devices can work perfectly well with normal handover and CHO could a over-complicated solution</w:t>
            </w:r>
          </w:p>
          <w:p w14:paraId="155C5A9B" w14:textId="76908FBB" w:rsidR="00D776BA" w:rsidRDefault="00D776BA" w:rsidP="00A221C2">
            <w:pPr>
              <w:spacing w:after="0"/>
              <w:jc w:val="both"/>
              <w:rPr>
                <w:rFonts w:ascii="Arial" w:hAnsi="Arial" w:cs="Arial"/>
                <w:lang w:eastAsia="ko-KR"/>
              </w:rPr>
            </w:pPr>
            <w:r>
              <w:rPr>
                <w:rFonts w:ascii="Arial" w:hAnsi="Arial" w:cs="Arial"/>
                <w:lang w:eastAsia="ko-KR"/>
              </w:rPr>
              <w:t xml:space="preserve">Keep the solution as simple as possible </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lastRenderedPageBreak/>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FD5858">
        <w:tc>
          <w:tcPr>
            <w:tcW w:w="1668" w:type="dxa"/>
          </w:tcPr>
          <w:p w14:paraId="43D7D67D"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FD5858">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FD5858">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FD5858">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48F0FF30"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7C023B1B" w14:textId="300CD9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A26AC0" w14:textId="191E99A9" w:rsidR="00A221C2" w:rsidRDefault="00843F19" w:rsidP="00A221C2">
            <w:pPr>
              <w:spacing w:after="0"/>
              <w:jc w:val="both"/>
              <w:rPr>
                <w:rFonts w:ascii="Arial" w:eastAsia="SimSun" w:hAnsi="Arial" w:cs="Arial"/>
                <w:lang w:eastAsia="zh-CN"/>
              </w:rPr>
            </w:pPr>
            <w:r>
              <w:rPr>
                <w:rFonts w:ascii="Arial" w:eastAsia="SimSun" w:hAnsi="Arial" w:cs="Arial"/>
                <w:lang w:eastAsia="zh-CN"/>
              </w:rPr>
              <w:t>We think that e</w:t>
            </w:r>
            <w:r w:rsidRPr="00843F19">
              <w:rPr>
                <w:rFonts w:ascii="Arial" w:eastAsia="SimSun" w:hAnsi="Arial" w:cs="Arial"/>
                <w:lang w:eastAsia="zh-CN"/>
              </w:rPr>
              <w:t>xisting RLF-based mobility procedures</w:t>
            </w:r>
            <w:r>
              <w:rPr>
                <w:rFonts w:ascii="Arial" w:eastAsia="SimSun" w:hAnsi="Arial" w:cs="Arial"/>
                <w:lang w:eastAsia="zh-CN"/>
              </w:rPr>
              <w:t xml:space="preserve"> can be used as a starting point. Additional enhancements should be considered to address some of the issues that ZTE points out.</w:t>
            </w:r>
          </w:p>
        </w:tc>
      </w:tr>
      <w:tr w:rsidR="00A221C2" w14:paraId="114DD3EC" w14:textId="77777777" w:rsidTr="00B62640">
        <w:tc>
          <w:tcPr>
            <w:tcW w:w="1668" w:type="dxa"/>
          </w:tcPr>
          <w:p w14:paraId="02CB56C7" w14:textId="3F43EC7F"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4DCCB263" w14:textId="6670CC4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E44C3F" w14:textId="39D2DE13"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but as ZTE mentions, enhancements are needed. </w:t>
            </w:r>
          </w:p>
        </w:tc>
      </w:tr>
      <w:tr w:rsidR="000D1C3E" w14:paraId="722A7FBA" w14:textId="77777777" w:rsidTr="00B62640">
        <w:tc>
          <w:tcPr>
            <w:tcW w:w="1668" w:type="dxa"/>
          </w:tcPr>
          <w:p w14:paraId="41CF37F7" w14:textId="7928DBB9" w:rsidR="000D1C3E" w:rsidRDefault="000D1C3E" w:rsidP="00A221C2">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Pr>
          <w:p w14:paraId="45A2E203" w14:textId="6BC5755A" w:rsidR="000D1C3E" w:rsidRDefault="000D1C3E"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4C55A6B" w14:textId="207DA0D9" w:rsidR="000D1C3E" w:rsidRDefault="000D1C3E"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w:t>
            </w:r>
          </w:p>
        </w:tc>
      </w:tr>
      <w:tr w:rsidR="00D776BA" w14:paraId="118A4A8A" w14:textId="77777777" w:rsidTr="00B62640">
        <w:tc>
          <w:tcPr>
            <w:tcW w:w="1668" w:type="dxa"/>
          </w:tcPr>
          <w:p w14:paraId="00758702" w14:textId="40D5E6E0" w:rsidR="00D776BA" w:rsidRDefault="00D776BA" w:rsidP="00A221C2">
            <w:pPr>
              <w:spacing w:after="0"/>
              <w:jc w:val="both"/>
              <w:rPr>
                <w:rFonts w:ascii="Arial" w:eastAsia="SimSun" w:hAnsi="Arial" w:cs="Arial"/>
                <w:lang w:eastAsia="zh-CN"/>
              </w:rPr>
            </w:pPr>
            <w:r>
              <w:rPr>
                <w:rFonts w:ascii="Arial" w:eastAsia="SimSun" w:hAnsi="Arial" w:cs="Arial"/>
                <w:lang w:eastAsia="zh-CN"/>
              </w:rPr>
              <w:t xml:space="preserve">Vodafone </w:t>
            </w:r>
          </w:p>
        </w:tc>
        <w:tc>
          <w:tcPr>
            <w:tcW w:w="1559" w:type="dxa"/>
          </w:tcPr>
          <w:p w14:paraId="37C8FE9D" w14:textId="7779F255" w:rsidR="00D776BA" w:rsidRDefault="00D776BA"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4DCB14B" w14:textId="48970255" w:rsidR="00D776BA" w:rsidRDefault="00D776BA" w:rsidP="00A221C2">
            <w:pPr>
              <w:spacing w:after="0"/>
              <w:jc w:val="both"/>
              <w:rPr>
                <w:rFonts w:ascii="Arial" w:eastAsia="SimSun" w:hAnsi="Arial" w:cs="Arial"/>
                <w:lang w:eastAsia="zh-CN"/>
              </w:rPr>
            </w:pPr>
            <w:r>
              <w:rPr>
                <w:rFonts w:ascii="Arial" w:eastAsia="SimSun" w:hAnsi="Arial" w:cs="Arial"/>
                <w:lang w:eastAsia="zh-CN"/>
              </w:rPr>
              <w:t xml:space="preserve">Initially yes and the existing solutions can be re-used here </w:t>
            </w: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 xml:space="preserve">further power </w:t>
            </w:r>
            <w:r w:rsidR="00DE6186">
              <w:rPr>
                <w:rFonts w:ascii="Arial" w:eastAsia="SimSun" w:hAnsi="Arial" w:cs="Arial"/>
                <w:lang w:eastAsia="zh-CN"/>
              </w:rPr>
              <w:lastRenderedPageBreak/>
              <w:t>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FD5858" w:rsidP="00BC25A9">
            <w:pPr>
              <w:spacing w:after="0"/>
              <w:jc w:val="both"/>
              <w:rPr>
                <w:rFonts w:ascii="Arial" w:eastAsia="SimSun" w:hAnsi="Arial" w:cs="Arial"/>
                <w:lang w:eastAsia="zh-CN"/>
              </w:rPr>
            </w:pPr>
            <w:hyperlink r:id="rId39"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Pr>
                <w:rFonts w:ascii="Arial" w:hAnsi="Arial" w:cs="Arial"/>
                <w:lang w:eastAsia="ko-KR"/>
              </w:rPr>
              <w:t>t</w:t>
            </w:r>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GateHouse</w:t>
            </w:r>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FD5858">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FD5858">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FD5858">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843F19" w:rsidRPr="00FF6EA1" w14:paraId="0E090E41" w14:textId="77777777" w:rsidTr="00A221C2">
        <w:tc>
          <w:tcPr>
            <w:tcW w:w="1668" w:type="dxa"/>
            <w:tcBorders>
              <w:top w:val="single" w:sz="4" w:space="0" w:color="auto"/>
              <w:left w:val="single" w:sz="4" w:space="0" w:color="auto"/>
              <w:bottom w:val="single" w:sz="4" w:space="0" w:color="auto"/>
              <w:right w:val="single" w:sz="4" w:space="0" w:color="auto"/>
            </w:tcBorders>
          </w:tcPr>
          <w:p w14:paraId="28BEB9F9" w14:textId="36E23C91" w:rsidR="00843F19" w:rsidRDefault="00843F19" w:rsidP="00FD5858">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37F144C6" w14:textId="03290D9E" w:rsidR="00843F19" w:rsidRDefault="00843F19" w:rsidP="00FD5858">
            <w:pPr>
              <w:spacing w:after="0"/>
              <w:jc w:val="both"/>
              <w:rPr>
                <w:rFonts w:ascii="Arial" w:eastAsia="SimSun" w:hAnsi="Arial" w:cs="Arial"/>
                <w:lang w:eastAsia="zh-CN"/>
              </w:rPr>
            </w:pPr>
            <w:r>
              <w:rPr>
                <w:rFonts w:ascii="Arial" w:eastAsia="SimSun" w:hAnsi="Arial" w:cs="Arial"/>
                <w:lang w:eastAsia="zh-CN"/>
              </w:rPr>
              <w:t>See comment</w:t>
            </w:r>
          </w:p>
        </w:tc>
        <w:tc>
          <w:tcPr>
            <w:tcW w:w="5998" w:type="dxa"/>
            <w:tcBorders>
              <w:top w:val="single" w:sz="4" w:space="0" w:color="auto"/>
              <w:left w:val="single" w:sz="4" w:space="0" w:color="auto"/>
              <w:bottom w:val="single" w:sz="4" w:space="0" w:color="auto"/>
              <w:right w:val="single" w:sz="4" w:space="0" w:color="auto"/>
            </w:tcBorders>
          </w:tcPr>
          <w:p w14:paraId="3DE82610" w14:textId="5BB79667" w:rsidR="00843F19" w:rsidRDefault="00843F19" w:rsidP="00FD5858">
            <w:pPr>
              <w:spacing w:after="0"/>
              <w:jc w:val="both"/>
              <w:rPr>
                <w:rFonts w:ascii="Arial" w:eastAsia="SimSun" w:hAnsi="Arial" w:cs="Arial"/>
                <w:lang w:eastAsia="zh-CN"/>
              </w:rPr>
            </w:pPr>
            <w:r>
              <w:rPr>
                <w:rFonts w:ascii="Arial" w:hAnsi="Arial" w:cs="Arial" w:hint="eastAsia"/>
                <w:lang w:eastAsia="ko-KR"/>
              </w:rPr>
              <w:t>In NR</w:t>
            </w:r>
            <w:r>
              <w:rPr>
                <w:rFonts w:ascii="Arial" w:hAnsi="Arial" w:cs="Arial"/>
                <w:lang w:eastAsia="ko-KR"/>
              </w:rPr>
              <w:t xml:space="preserve"> </w:t>
            </w:r>
            <w:r>
              <w:rPr>
                <w:rFonts w:ascii="Arial" w:hAnsi="Arial" w:cs="Arial" w:hint="eastAsia"/>
                <w:lang w:eastAsia="ko-KR"/>
              </w:rPr>
              <w:t xml:space="preserve">NTN, </w:t>
            </w:r>
            <w:r>
              <w:rPr>
                <w:rFonts w:ascii="Arial" w:hAnsi="Arial" w:cs="Arial"/>
                <w:lang w:eastAsia="ko-KR"/>
              </w:rPr>
              <w:t>introduction of</w:t>
            </w:r>
            <w:r>
              <w:rPr>
                <w:rFonts w:ascii="Arial" w:hAnsi="Arial" w:cs="Arial" w:hint="eastAsia"/>
                <w:lang w:eastAsia="ko-KR"/>
              </w:rPr>
              <w:t xml:space="preserve"> NTN-specific SIB is FFS. </w:t>
            </w:r>
            <w:r>
              <w:rPr>
                <w:rFonts w:ascii="Arial" w:hAnsi="Arial" w:cs="Arial"/>
                <w:lang w:eastAsia="ko-KR"/>
              </w:rPr>
              <w:t>We</w:t>
            </w:r>
            <w:r>
              <w:rPr>
                <w:rFonts w:ascii="Arial" w:hAnsi="Arial" w:cs="Arial" w:hint="eastAsia"/>
                <w:lang w:eastAsia="ko-KR"/>
              </w:rPr>
              <w:t xml:space="preserve"> should wait for the conclusion from NR-NTN</w:t>
            </w:r>
            <w:r>
              <w:rPr>
                <w:rFonts w:ascii="Arial" w:hAnsi="Arial" w:cs="Arial"/>
                <w:lang w:eastAsia="ko-KR"/>
              </w:rPr>
              <w:t xml:space="preserve"> to use as a baseline</w:t>
            </w:r>
            <w:r>
              <w:rPr>
                <w:rFonts w:ascii="Arial" w:hAnsi="Arial" w:cs="Arial" w:hint="eastAsia"/>
                <w:lang w:eastAsia="ko-KR"/>
              </w:rPr>
              <w:t>.</w:t>
            </w:r>
          </w:p>
        </w:tc>
      </w:tr>
      <w:tr w:rsidR="001370FB" w:rsidRPr="00FF6EA1" w14:paraId="22134EF1" w14:textId="77777777" w:rsidTr="00A221C2">
        <w:tc>
          <w:tcPr>
            <w:tcW w:w="1668" w:type="dxa"/>
            <w:tcBorders>
              <w:top w:val="single" w:sz="4" w:space="0" w:color="auto"/>
              <w:left w:val="single" w:sz="4" w:space="0" w:color="auto"/>
              <w:bottom w:val="single" w:sz="4" w:space="0" w:color="auto"/>
              <w:right w:val="single" w:sz="4" w:space="0" w:color="auto"/>
            </w:tcBorders>
          </w:tcPr>
          <w:p w14:paraId="55BF923E" w14:textId="74E38FD3" w:rsidR="001370FB" w:rsidRDefault="001370FB" w:rsidP="00FD5858">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315A2B97" w14:textId="0E3B5C98" w:rsidR="001370FB" w:rsidRDefault="001370FB" w:rsidP="00FD5858">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6B471C3D" w14:textId="4DB52F54" w:rsidR="001370FB" w:rsidRDefault="001370FB" w:rsidP="00FD5858">
            <w:pPr>
              <w:spacing w:after="0"/>
              <w:jc w:val="both"/>
              <w:rPr>
                <w:rFonts w:ascii="Arial" w:hAnsi="Arial" w:cs="Arial"/>
                <w:lang w:eastAsia="ko-KR"/>
              </w:rPr>
            </w:pPr>
            <w:r>
              <w:rPr>
                <w:rFonts w:ascii="Arial" w:hAnsi="Arial" w:cs="Arial"/>
                <w:lang w:eastAsia="ko-KR"/>
              </w:rPr>
              <w:t xml:space="preserve">We prefer to wait for RAN1 to conclude on this. However, we agree with Huawei that the presence of ephemeris on the UE is better and would save a lot of broadcast bandwidth. </w:t>
            </w:r>
          </w:p>
        </w:tc>
      </w:tr>
      <w:tr w:rsidR="00934DA8" w:rsidRPr="00FF6EA1" w14:paraId="687AE304" w14:textId="77777777" w:rsidTr="00A221C2">
        <w:tc>
          <w:tcPr>
            <w:tcW w:w="1668" w:type="dxa"/>
            <w:tcBorders>
              <w:top w:val="single" w:sz="4" w:space="0" w:color="auto"/>
              <w:left w:val="single" w:sz="4" w:space="0" w:color="auto"/>
              <w:bottom w:val="single" w:sz="4" w:space="0" w:color="auto"/>
              <w:right w:val="single" w:sz="4" w:space="0" w:color="auto"/>
            </w:tcBorders>
          </w:tcPr>
          <w:p w14:paraId="0074D921" w14:textId="6556C24F" w:rsidR="00934DA8" w:rsidRDefault="00934DA8" w:rsidP="00FD5858">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Borders>
              <w:top w:val="single" w:sz="4" w:space="0" w:color="auto"/>
              <w:left w:val="single" w:sz="4" w:space="0" w:color="auto"/>
              <w:bottom w:val="single" w:sz="4" w:space="0" w:color="auto"/>
              <w:right w:val="single" w:sz="4" w:space="0" w:color="auto"/>
            </w:tcBorders>
          </w:tcPr>
          <w:p w14:paraId="1DBA6723" w14:textId="3DE24E2D" w:rsidR="00934DA8" w:rsidRDefault="00934DA8"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13135A46" w14:textId="1D38BE90" w:rsidR="00934DA8" w:rsidRDefault="00EF6737" w:rsidP="00FD5858">
            <w:pPr>
              <w:spacing w:after="0"/>
              <w:jc w:val="both"/>
              <w:rPr>
                <w:rFonts w:ascii="Arial" w:hAnsi="Arial" w:cs="Arial"/>
                <w:lang w:eastAsia="ko-KR"/>
              </w:rPr>
            </w:pPr>
            <w:r>
              <w:rPr>
                <w:rFonts w:ascii="Arial" w:hAnsi="Arial" w:cs="Arial"/>
                <w:lang w:eastAsia="ko-KR"/>
              </w:rPr>
              <w:t>Follow NR-NTN decision</w:t>
            </w:r>
          </w:p>
        </w:tc>
      </w:tr>
      <w:tr w:rsidR="00D776BA" w:rsidRPr="00FF6EA1" w14:paraId="08319A9E" w14:textId="77777777" w:rsidTr="00A221C2">
        <w:tc>
          <w:tcPr>
            <w:tcW w:w="1668" w:type="dxa"/>
            <w:tcBorders>
              <w:top w:val="single" w:sz="4" w:space="0" w:color="auto"/>
              <w:left w:val="single" w:sz="4" w:space="0" w:color="auto"/>
              <w:bottom w:val="single" w:sz="4" w:space="0" w:color="auto"/>
              <w:right w:val="single" w:sz="4" w:space="0" w:color="auto"/>
            </w:tcBorders>
          </w:tcPr>
          <w:p w14:paraId="2D0FEAB7" w14:textId="2A412E26" w:rsidR="00D776BA" w:rsidRDefault="00D776BA" w:rsidP="00FD5858">
            <w:pPr>
              <w:spacing w:after="0"/>
              <w:jc w:val="both"/>
              <w:rPr>
                <w:rFonts w:ascii="Arial" w:eastAsia="SimSun" w:hAnsi="Arial" w:cs="Arial"/>
                <w:lang w:eastAsia="zh-CN"/>
              </w:rPr>
            </w:pPr>
            <w:r>
              <w:rPr>
                <w:rFonts w:ascii="Arial" w:eastAsia="SimSun" w:hAnsi="Arial" w:cs="Arial"/>
                <w:lang w:eastAsia="zh-CN"/>
              </w:rPr>
              <w:lastRenderedPageBreak/>
              <w:t>Vodafone</w:t>
            </w:r>
          </w:p>
        </w:tc>
        <w:tc>
          <w:tcPr>
            <w:tcW w:w="1559" w:type="dxa"/>
            <w:tcBorders>
              <w:top w:val="single" w:sz="4" w:space="0" w:color="auto"/>
              <w:left w:val="single" w:sz="4" w:space="0" w:color="auto"/>
              <w:bottom w:val="single" w:sz="4" w:space="0" w:color="auto"/>
              <w:right w:val="single" w:sz="4" w:space="0" w:color="auto"/>
            </w:tcBorders>
          </w:tcPr>
          <w:p w14:paraId="56AC44A6" w14:textId="652A287E" w:rsidR="00D776BA" w:rsidRDefault="00D776BA"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29D269CD" w14:textId="3BCB20C4" w:rsidR="00D776BA" w:rsidRDefault="00D776BA" w:rsidP="00FD5858">
            <w:pPr>
              <w:spacing w:after="0"/>
              <w:jc w:val="both"/>
              <w:rPr>
                <w:rFonts w:ascii="Arial" w:hAnsi="Arial" w:cs="Arial"/>
                <w:lang w:eastAsia="ko-KR"/>
              </w:rPr>
            </w:pPr>
            <w:r>
              <w:rPr>
                <w:rFonts w:ascii="Arial" w:hAnsi="Arial" w:cs="Arial"/>
                <w:lang w:eastAsia="ko-KR"/>
              </w:rPr>
              <w:t xml:space="preserve">the NTN is a unique environment and needs additional system-wide parameters to enable efficient operation, however as stage by Ericsson above and other companies, we need to wait for RAN1 to conclude their studios in order to ascertain the content of the new SIB </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r>
              <w:rPr>
                <w:rFonts w:ascii="Arial" w:eastAsia="SimSun" w:hAnsi="Arial" w:cs="Arial"/>
                <w:lang w:eastAsia="zh-CN"/>
              </w:rPr>
              <w:t>Novamin</w:t>
            </w:r>
            <w:r w:rsidR="00476B1E" w:rsidRPr="007E73ED">
              <w:rPr>
                <w:rFonts w:ascii="Arial" w:eastAsia="SimSun" w:hAnsi="Arial" w:cs="Arial"/>
                <w:lang w:eastAsia="zh-CN"/>
              </w:rPr>
              <w:t>t</w:t>
            </w:r>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re-acquistion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FD5858">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FD5858">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FD5858">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r>
              <w:rPr>
                <w:rFonts w:ascii="Arial" w:eastAsia="SimSun" w:hAnsi="Arial" w:cs="Arial"/>
                <w:lang w:eastAsia="zh-CN"/>
              </w:rPr>
              <w:t xml:space="preserve">wrt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FD5858">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843F19" w14:paraId="49D9B891" w14:textId="77777777" w:rsidTr="00A221C2">
        <w:tc>
          <w:tcPr>
            <w:tcW w:w="1668" w:type="dxa"/>
            <w:tcBorders>
              <w:top w:val="single" w:sz="4" w:space="0" w:color="auto"/>
              <w:left w:val="single" w:sz="4" w:space="0" w:color="auto"/>
              <w:bottom w:val="single" w:sz="4" w:space="0" w:color="auto"/>
              <w:right w:val="single" w:sz="4" w:space="0" w:color="auto"/>
            </w:tcBorders>
          </w:tcPr>
          <w:p w14:paraId="2C76332C" w14:textId="070220FC" w:rsidR="00843F19" w:rsidRDefault="00843F19" w:rsidP="00FD5858">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4D95EBC9" w14:textId="77777777" w:rsidR="00843F19" w:rsidRDefault="00843F19" w:rsidP="00FD5858">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0B835ED5" w14:textId="0259F29C" w:rsidR="00843F19" w:rsidRDefault="00843F19" w:rsidP="00FD5858">
            <w:pPr>
              <w:spacing w:after="0"/>
              <w:jc w:val="both"/>
              <w:rPr>
                <w:rFonts w:ascii="Arial" w:eastAsia="SimSun" w:hAnsi="Arial" w:cs="Arial"/>
                <w:lang w:eastAsia="zh-CN"/>
              </w:rPr>
            </w:pPr>
            <w:r>
              <w:rPr>
                <w:rFonts w:ascii="Arial" w:eastAsia="SimSun" w:hAnsi="Arial" w:cs="Arial"/>
                <w:lang w:eastAsia="zh-CN"/>
              </w:rPr>
              <w:t>Agree that this concept should be further studied to identify the potential benefits. Frequent SI acquisition should be minimized.</w:t>
            </w:r>
          </w:p>
        </w:tc>
      </w:tr>
      <w:tr w:rsidR="001370FB" w14:paraId="05BB791C" w14:textId="77777777" w:rsidTr="00A221C2">
        <w:tc>
          <w:tcPr>
            <w:tcW w:w="1668" w:type="dxa"/>
            <w:tcBorders>
              <w:top w:val="single" w:sz="4" w:space="0" w:color="auto"/>
              <w:left w:val="single" w:sz="4" w:space="0" w:color="auto"/>
              <w:bottom w:val="single" w:sz="4" w:space="0" w:color="auto"/>
              <w:right w:val="single" w:sz="4" w:space="0" w:color="auto"/>
            </w:tcBorders>
          </w:tcPr>
          <w:p w14:paraId="11BD1C6A" w14:textId="6CA32451" w:rsidR="001370FB" w:rsidRDefault="001370FB" w:rsidP="00FD5858">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1EF7DB16" w14:textId="5B3B47FE" w:rsidR="001370FB" w:rsidRDefault="001370FB" w:rsidP="00FD5858">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259CA6E6" w14:textId="4E52983C" w:rsidR="001370FB" w:rsidRDefault="001370FB" w:rsidP="00FD5858">
            <w:pPr>
              <w:spacing w:after="0"/>
              <w:jc w:val="both"/>
              <w:rPr>
                <w:rFonts w:ascii="Arial" w:eastAsia="SimSun" w:hAnsi="Arial" w:cs="Arial"/>
                <w:lang w:eastAsia="zh-CN"/>
              </w:rPr>
            </w:pPr>
            <w:r>
              <w:rPr>
                <w:rFonts w:ascii="Arial" w:eastAsia="SimSun" w:hAnsi="Arial" w:cs="Arial"/>
                <w:lang w:eastAsia="zh-CN"/>
              </w:rPr>
              <w:t>Agree with ZTE.</w:t>
            </w:r>
          </w:p>
        </w:tc>
      </w:tr>
      <w:tr w:rsidR="00EF6737" w14:paraId="38351896" w14:textId="77777777" w:rsidTr="00A221C2">
        <w:tc>
          <w:tcPr>
            <w:tcW w:w="1668" w:type="dxa"/>
            <w:tcBorders>
              <w:top w:val="single" w:sz="4" w:space="0" w:color="auto"/>
              <w:left w:val="single" w:sz="4" w:space="0" w:color="auto"/>
              <w:bottom w:val="single" w:sz="4" w:space="0" w:color="auto"/>
              <w:right w:val="single" w:sz="4" w:space="0" w:color="auto"/>
            </w:tcBorders>
          </w:tcPr>
          <w:p w14:paraId="039BB016" w14:textId="484302E5" w:rsidR="00EF6737" w:rsidRDefault="00EF6737" w:rsidP="00FD5858">
            <w:pPr>
              <w:spacing w:after="0"/>
              <w:jc w:val="both"/>
              <w:rPr>
                <w:rFonts w:ascii="Arial" w:eastAsia="SimSun" w:hAnsi="Arial" w:cs="Arial"/>
                <w:lang w:eastAsia="zh-CN"/>
              </w:rPr>
            </w:pPr>
            <w:r w:rsidRPr="00EF6737">
              <w:rPr>
                <w:rFonts w:ascii="Arial" w:eastAsia="SimSun" w:hAnsi="Arial" w:cs="Arial"/>
                <w:lang w:eastAsia="zh-CN"/>
              </w:rPr>
              <w:lastRenderedPageBreak/>
              <w:t>Hughes/EchoStar</w:t>
            </w:r>
          </w:p>
        </w:tc>
        <w:tc>
          <w:tcPr>
            <w:tcW w:w="1559" w:type="dxa"/>
            <w:tcBorders>
              <w:top w:val="single" w:sz="4" w:space="0" w:color="auto"/>
              <w:left w:val="single" w:sz="4" w:space="0" w:color="auto"/>
              <w:bottom w:val="single" w:sz="4" w:space="0" w:color="auto"/>
              <w:right w:val="single" w:sz="4" w:space="0" w:color="auto"/>
            </w:tcBorders>
          </w:tcPr>
          <w:p w14:paraId="06BEFF95" w14:textId="4D2BA2AD" w:rsidR="00EF6737" w:rsidRDefault="00A059A8" w:rsidP="00FD5858">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685FA475" w14:textId="77777777" w:rsidR="00EF6737" w:rsidRDefault="00EF6737" w:rsidP="00FD5858">
            <w:pPr>
              <w:spacing w:after="0"/>
              <w:jc w:val="both"/>
              <w:rPr>
                <w:rFonts w:ascii="Arial" w:eastAsia="SimSun" w:hAnsi="Arial" w:cs="Arial"/>
                <w:lang w:eastAsia="zh-CN"/>
              </w:rPr>
            </w:pPr>
          </w:p>
        </w:tc>
      </w:tr>
      <w:tr w:rsidR="00D776BA" w14:paraId="0B9FFE31" w14:textId="77777777" w:rsidTr="00A221C2">
        <w:tc>
          <w:tcPr>
            <w:tcW w:w="1668" w:type="dxa"/>
            <w:tcBorders>
              <w:top w:val="single" w:sz="4" w:space="0" w:color="auto"/>
              <w:left w:val="single" w:sz="4" w:space="0" w:color="auto"/>
              <w:bottom w:val="single" w:sz="4" w:space="0" w:color="auto"/>
              <w:right w:val="single" w:sz="4" w:space="0" w:color="auto"/>
            </w:tcBorders>
          </w:tcPr>
          <w:p w14:paraId="7A163240" w14:textId="4604CC84" w:rsidR="00D776BA" w:rsidRPr="00EF6737" w:rsidRDefault="00D776BA" w:rsidP="00FD5858">
            <w:pPr>
              <w:spacing w:after="0"/>
              <w:jc w:val="both"/>
              <w:rPr>
                <w:rFonts w:ascii="Arial" w:eastAsia="SimSun" w:hAnsi="Arial" w:cs="Arial"/>
                <w:lang w:eastAsia="zh-CN"/>
              </w:rPr>
            </w:pPr>
            <w:r>
              <w:rPr>
                <w:rFonts w:ascii="Arial" w:eastAsia="SimSun" w:hAnsi="Arial" w:cs="Arial"/>
                <w:lang w:eastAsia="zh-CN"/>
              </w:rPr>
              <w:t xml:space="preserve">Vodafone </w:t>
            </w:r>
          </w:p>
        </w:tc>
        <w:tc>
          <w:tcPr>
            <w:tcW w:w="1559" w:type="dxa"/>
            <w:tcBorders>
              <w:top w:val="single" w:sz="4" w:space="0" w:color="auto"/>
              <w:left w:val="single" w:sz="4" w:space="0" w:color="auto"/>
              <w:bottom w:val="single" w:sz="4" w:space="0" w:color="auto"/>
              <w:right w:val="single" w:sz="4" w:space="0" w:color="auto"/>
            </w:tcBorders>
          </w:tcPr>
          <w:p w14:paraId="4092B012" w14:textId="071DBCFB" w:rsidR="00D776BA" w:rsidRDefault="00D776BA" w:rsidP="00FD5858">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56796EE4" w14:textId="6DF3DBC8" w:rsidR="00D776BA" w:rsidRDefault="00D776BA" w:rsidP="00FD5858">
            <w:pPr>
              <w:spacing w:after="0"/>
              <w:jc w:val="both"/>
              <w:rPr>
                <w:rFonts w:ascii="Arial" w:eastAsia="SimSun" w:hAnsi="Arial" w:cs="Arial"/>
                <w:lang w:eastAsia="zh-CN"/>
              </w:rPr>
            </w:pPr>
            <w:r>
              <w:rPr>
                <w:rFonts w:ascii="Arial" w:eastAsia="SimSun" w:hAnsi="Arial" w:cs="Arial"/>
                <w:lang w:eastAsia="zh-CN"/>
              </w:rPr>
              <w:t>At this stage it is unclear if additional system information needs to be broadcasted</w:t>
            </w:r>
            <w:bookmarkStart w:id="14" w:name="_GoBack"/>
            <w:bookmarkEnd w:id="14"/>
            <w:r>
              <w:rPr>
                <w:rFonts w:ascii="Arial" w:eastAsia="SimSun" w:hAnsi="Arial" w:cs="Arial"/>
                <w:lang w:eastAsia="zh-CN"/>
              </w:rPr>
              <w:t xml:space="preserve"> in the NTN area </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r>
              <w:rPr>
                <w:rFonts w:ascii="Arial" w:eastAsia="SimSun" w:hAnsi="Arial" w:cs="Arial"/>
                <w:lang w:eastAsia="zh-CN"/>
              </w:rPr>
              <w:t>Novamint</w:t>
            </w:r>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Agree with GateHouse and Novamint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lastRenderedPageBreak/>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Qualcomm-Bharat" w:date="2021-04-14T13:51:00Z" w:initials="BS">
    <w:p w14:paraId="3375FC6A" w14:textId="6D134E2E" w:rsidR="00FD5858" w:rsidRDefault="00FD5858">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FD5858" w:rsidRDefault="00FD5858">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E504" w14:textId="77777777" w:rsidR="00215A5F" w:rsidRDefault="00215A5F" w:rsidP="00617813">
      <w:pPr>
        <w:spacing w:after="0"/>
      </w:pPr>
      <w:r>
        <w:separator/>
      </w:r>
    </w:p>
  </w:endnote>
  <w:endnote w:type="continuationSeparator" w:id="0">
    <w:p w14:paraId="5D283929" w14:textId="77777777" w:rsidR="00215A5F" w:rsidRDefault="00215A5F"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0D7C" w14:textId="77777777" w:rsidR="00E5688C" w:rsidRDefault="00E56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F865" w14:textId="3A3E5898" w:rsidR="00FD5858" w:rsidRDefault="00FD5858">
    <w:pPr>
      <w:pStyle w:val="Footer"/>
    </w:pPr>
    <w:r>
      <w:rPr>
        <w:noProof/>
      </w:rPr>
      <mc:AlternateContent>
        <mc:Choice Requires="wps">
          <w:drawing>
            <wp:anchor distT="0" distB="0" distL="114300" distR="114300" simplePos="0" relativeHeight="251659264" behindDoc="0" locked="0" layoutInCell="0" allowOverlap="1" wp14:anchorId="04D9A1FA" wp14:editId="50D44932">
              <wp:simplePos x="0" y="0"/>
              <wp:positionH relativeFrom="page">
                <wp:posOffset>0</wp:posOffset>
              </wp:positionH>
              <wp:positionV relativeFrom="page">
                <wp:posOffset>9594215</wp:posOffset>
              </wp:positionV>
              <wp:extent cx="7772400" cy="273050"/>
              <wp:effectExtent l="0" t="0" r="0" b="12700"/>
              <wp:wrapNone/>
              <wp:docPr id="1" name="MSIPCM727e4c37b8f8fa82c39889ea"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369DB" w14:textId="51288C25" w:rsidR="00FD5858" w:rsidRPr="008A5F64" w:rsidRDefault="00FD5858" w:rsidP="008A5F64">
                          <w:pPr>
                            <w:spacing w:after="0"/>
                            <w:rPr>
                              <w:rFonts w:ascii="Calibri" w:hAnsi="Calibri" w:cs="Calibri"/>
                              <w:color w:val="000000"/>
                              <w:sz w:val="14"/>
                            </w:rPr>
                          </w:pPr>
                          <w:r w:rsidRPr="008A5F6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D9A1FA" id="_x0000_t202" coordsize="21600,21600" o:spt="202" path="m,l,21600r21600,l21600,xe">
              <v:stroke joinstyle="miter"/>
              <v:path gradientshapeok="t" o:connecttype="rect"/>
            </v:shapetype>
            <v:shape id="MSIPCM727e4c37b8f8fa82c39889ea"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z+0DcL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48B369DB" w14:textId="51288C25" w:rsidR="00FD5858" w:rsidRPr="008A5F64" w:rsidRDefault="00FD5858" w:rsidP="008A5F64">
                    <w:pPr>
                      <w:spacing w:after="0"/>
                      <w:rPr>
                        <w:rFonts w:ascii="Calibri" w:hAnsi="Calibri" w:cs="Calibri"/>
                        <w:color w:val="000000"/>
                        <w:sz w:val="14"/>
                      </w:rPr>
                    </w:pPr>
                    <w:r w:rsidRPr="008A5F64">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1090" w14:textId="77777777" w:rsidR="00E5688C" w:rsidRDefault="00E5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05986" w14:textId="77777777" w:rsidR="00215A5F" w:rsidRDefault="00215A5F" w:rsidP="00617813">
      <w:pPr>
        <w:spacing w:after="0"/>
      </w:pPr>
      <w:r>
        <w:separator/>
      </w:r>
    </w:p>
  </w:footnote>
  <w:footnote w:type="continuationSeparator" w:id="0">
    <w:p w14:paraId="73E9F5C4" w14:textId="77777777" w:rsidR="00215A5F" w:rsidRDefault="00215A5F"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F8B6" w14:textId="77777777" w:rsidR="00E5688C" w:rsidRDefault="00E5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2241" w14:textId="77777777" w:rsidR="00E5688C" w:rsidRDefault="00E56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DEFE" w14:textId="77777777" w:rsidR="00E5688C" w:rsidRDefault="00E5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0710"/>
    <w:rsid w:val="000974A1"/>
    <w:rsid w:val="000A4CFC"/>
    <w:rsid w:val="000A58C5"/>
    <w:rsid w:val="000B3331"/>
    <w:rsid w:val="000B5C9E"/>
    <w:rsid w:val="000C452C"/>
    <w:rsid w:val="000C4775"/>
    <w:rsid w:val="000D16F6"/>
    <w:rsid w:val="000D1C3E"/>
    <w:rsid w:val="000D2CBC"/>
    <w:rsid w:val="000E4F20"/>
    <w:rsid w:val="0010747F"/>
    <w:rsid w:val="00116528"/>
    <w:rsid w:val="001235CB"/>
    <w:rsid w:val="0012442C"/>
    <w:rsid w:val="00130DD2"/>
    <w:rsid w:val="0013565D"/>
    <w:rsid w:val="001370FB"/>
    <w:rsid w:val="00147B59"/>
    <w:rsid w:val="0017656E"/>
    <w:rsid w:val="00186B9B"/>
    <w:rsid w:val="001A2BCE"/>
    <w:rsid w:val="001A39F9"/>
    <w:rsid w:val="001A50B4"/>
    <w:rsid w:val="001A7B94"/>
    <w:rsid w:val="001B6C3E"/>
    <w:rsid w:val="001C7D5C"/>
    <w:rsid w:val="001E016B"/>
    <w:rsid w:val="001E2478"/>
    <w:rsid w:val="001F0DB6"/>
    <w:rsid w:val="0020212B"/>
    <w:rsid w:val="00211B2D"/>
    <w:rsid w:val="00213C07"/>
    <w:rsid w:val="00215A5F"/>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428"/>
    <w:rsid w:val="00336799"/>
    <w:rsid w:val="00346D19"/>
    <w:rsid w:val="003548EB"/>
    <w:rsid w:val="00357DB5"/>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4E2F11"/>
    <w:rsid w:val="00503EF7"/>
    <w:rsid w:val="00506307"/>
    <w:rsid w:val="00506C90"/>
    <w:rsid w:val="00510E52"/>
    <w:rsid w:val="00512BC7"/>
    <w:rsid w:val="00530884"/>
    <w:rsid w:val="00531E66"/>
    <w:rsid w:val="005337B6"/>
    <w:rsid w:val="005346B5"/>
    <w:rsid w:val="00545A1F"/>
    <w:rsid w:val="00565B48"/>
    <w:rsid w:val="00566D7C"/>
    <w:rsid w:val="00593247"/>
    <w:rsid w:val="00597E8A"/>
    <w:rsid w:val="005C6D1D"/>
    <w:rsid w:val="005D2643"/>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22477"/>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C5C2F"/>
    <w:rsid w:val="007D5E9B"/>
    <w:rsid w:val="007E73ED"/>
    <w:rsid w:val="007F5CF9"/>
    <w:rsid w:val="008071F4"/>
    <w:rsid w:val="00824A62"/>
    <w:rsid w:val="00834D7C"/>
    <w:rsid w:val="00843F19"/>
    <w:rsid w:val="00846AC6"/>
    <w:rsid w:val="00850DE5"/>
    <w:rsid w:val="008531F3"/>
    <w:rsid w:val="00882C84"/>
    <w:rsid w:val="00883C17"/>
    <w:rsid w:val="008843CC"/>
    <w:rsid w:val="008877EE"/>
    <w:rsid w:val="00891676"/>
    <w:rsid w:val="008A3852"/>
    <w:rsid w:val="008A5DF8"/>
    <w:rsid w:val="008A5F64"/>
    <w:rsid w:val="008A7780"/>
    <w:rsid w:val="008B3383"/>
    <w:rsid w:val="008C7108"/>
    <w:rsid w:val="008D6F2C"/>
    <w:rsid w:val="008E0B99"/>
    <w:rsid w:val="008E15BE"/>
    <w:rsid w:val="008F16EA"/>
    <w:rsid w:val="008F341C"/>
    <w:rsid w:val="0090698A"/>
    <w:rsid w:val="00907FDE"/>
    <w:rsid w:val="00916F12"/>
    <w:rsid w:val="009211C3"/>
    <w:rsid w:val="00925FCF"/>
    <w:rsid w:val="00934DA8"/>
    <w:rsid w:val="00937AF1"/>
    <w:rsid w:val="0094590C"/>
    <w:rsid w:val="0098036C"/>
    <w:rsid w:val="00984C49"/>
    <w:rsid w:val="00985E05"/>
    <w:rsid w:val="00995254"/>
    <w:rsid w:val="009A1B04"/>
    <w:rsid w:val="009A2454"/>
    <w:rsid w:val="009A5117"/>
    <w:rsid w:val="009B2A9E"/>
    <w:rsid w:val="009C1234"/>
    <w:rsid w:val="009C4824"/>
    <w:rsid w:val="009D03AA"/>
    <w:rsid w:val="009F4C36"/>
    <w:rsid w:val="009F64A4"/>
    <w:rsid w:val="009F6638"/>
    <w:rsid w:val="00A001C2"/>
    <w:rsid w:val="00A02692"/>
    <w:rsid w:val="00A054D8"/>
    <w:rsid w:val="00A059A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BF3294"/>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776BA"/>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5688C"/>
    <w:rsid w:val="00E602DD"/>
    <w:rsid w:val="00E62B1E"/>
    <w:rsid w:val="00E773C3"/>
    <w:rsid w:val="00E8187A"/>
    <w:rsid w:val="00E86896"/>
    <w:rsid w:val="00E92681"/>
    <w:rsid w:val="00E9426E"/>
    <w:rsid w:val="00EA72BF"/>
    <w:rsid w:val="00EC1B1F"/>
    <w:rsid w:val="00EF1F2F"/>
    <w:rsid w:val="00EF6737"/>
    <w:rsid w:val="00F01FC5"/>
    <w:rsid w:val="00F0754E"/>
    <w:rsid w:val="00F075EE"/>
    <w:rsid w:val="00F1051E"/>
    <w:rsid w:val="00F12193"/>
    <w:rsid w:val="00F12D33"/>
    <w:rsid w:val="00F212BD"/>
    <w:rsid w:val="00F26286"/>
    <w:rsid w:val="00F26A45"/>
    <w:rsid w:val="00F32EBB"/>
    <w:rsid w:val="00F43A98"/>
    <w:rsid w:val="00F6599B"/>
    <w:rsid w:val="00F71448"/>
    <w:rsid w:val="00F7728D"/>
    <w:rsid w:val="00F8208B"/>
    <w:rsid w:val="00F85B00"/>
    <w:rsid w:val="00F91CB4"/>
    <w:rsid w:val="00F92DA7"/>
    <w:rsid w:val="00FB2B75"/>
    <w:rsid w:val="00FB30FC"/>
    <w:rsid w:val="00FD0208"/>
    <w:rsid w:val="00FD2512"/>
    <w:rsid w:val="00FD5858"/>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 w:type="character" w:styleId="UnresolvedMention">
    <w:name w:val="Unresolved Mention"/>
    <w:basedOn w:val="DefaultParagraphFont"/>
    <w:uiPriority w:val="99"/>
    <w:semiHidden/>
    <w:unhideWhenUsed/>
    <w:rsid w:val="008A5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2829.zip" TargetMode="External"/><Relationship Id="rId18" Type="http://schemas.openxmlformats.org/officeDocument/2006/relationships/hyperlink" Target="https://www.3gpp.org/ftp/tsg_ran/WG2_RL2/TSGR2_113bis-e/Docs/R2-2103190.zip" TargetMode="External"/><Relationship Id="rId26" Type="http://schemas.openxmlformats.org/officeDocument/2006/relationships/hyperlink" Target="https://www.3gpp.org/ftp/tsg_ran/WG2_RL2/TSGR2_113bis-e/Docs/R2-2104298.zip" TargetMode="External"/><Relationship Id="rId39" Type="http://schemas.openxmlformats.org/officeDocument/2006/relationships/hyperlink" Target="https://www.3gpp.org/ftp/tsg_ran/WG2_RL2/TSGR2_113bis-e/Docs/R2-2102961.zip" TargetMode="External"/><Relationship Id="rId21" Type="http://schemas.openxmlformats.org/officeDocument/2006/relationships/hyperlink" Target="https://www.3gpp.org/ftp/tsg_ran/WG2_RL2/TSGR2_113bis-e/Docs/R2-2103411.zip" TargetMode="External"/><Relationship Id="rId34" Type="http://schemas.microsoft.com/office/2011/relationships/commentsExtended" Target="commentsExtended.xm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3bis-e/Docs/R2-2103136.zip" TargetMode="External"/><Relationship Id="rId29" Type="http://schemas.openxmlformats.org/officeDocument/2006/relationships/hyperlink" Target="https://www.3gpp.org/ftp/tsg_ran/WG2_RL2/TSGR2_113bis-e/Docs/R2-2102830.zip" TargetMode="External"/><Relationship Id="rId11" Type="http://schemas.openxmlformats.org/officeDocument/2006/relationships/endnotes" Target="endnotes.xml"/><Relationship Id="rId24" Type="http://schemas.openxmlformats.org/officeDocument/2006/relationships/hyperlink" Target="https://www.3gpp.org/ftp/tsg_ran/WG2_RL2/TSGR2_113bis-e/Docs/R2-2103511.zip" TargetMode="External"/><Relationship Id="rId32" Type="http://schemas.openxmlformats.org/officeDocument/2006/relationships/hyperlink" Target="https://www.3gpp.org/ftp/tsg_ran/WG2_RL2/TSGR2_113bis-e/Docs/R2-2103357.zip" TargetMode="External"/><Relationship Id="rId37" Type="http://schemas.openxmlformats.org/officeDocument/2006/relationships/hyperlink" Target="https://www.3gpp.org/ftp/tsg_ran/WG2_RL2/TSGR2_113bis-e/Docs/R2-2102961.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3bis-e/Docs/R2-2103051.zip" TargetMode="External"/><Relationship Id="rId23" Type="http://schemas.openxmlformats.org/officeDocument/2006/relationships/hyperlink" Target="https://www.3gpp.org/ftp/tsg_ran/WG2_RL2/TSGR2_113bis-e/Docs/R2-2103510.zip" TargetMode="External"/><Relationship Id="rId28" Type="http://schemas.openxmlformats.org/officeDocument/2006/relationships/hyperlink" Target="https://www.3gpp.org/ftp/tsg_ran/WG2_RL2/TSGR2_113bis-e/Docs/R2-2102745.zip" TargetMode="External"/><Relationship Id="rId36" Type="http://schemas.openxmlformats.org/officeDocument/2006/relationships/hyperlink" Target="mailto:Manook.soghomonian@vodafone.com" TargetMode="External"/><Relationship Id="rId49"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3bis-e/Docs/R2-2103243.zip" TargetMode="External"/><Relationship Id="rId31" Type="http://schemas.openxmlformats.org/officeDocument/2006/relationships/hyperlink" Target="https://www.3gpp.org/ftp/tsg_ran/WG2_RL2/TSGR2_113bis-e/Docs/R2-2103233.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957.zip" TargetMode="External"/><Relationship Id="rId22" Type="http://schemas.openxmlformats.org/officeDocument/2006/relationships/hyperlink" Target="https://www.3gpp.org/ftp/tsg_ran/WG2_RL2/TSGR2_113bis-e/Docs/R2-2103412.zip" TargetMode="External"/><Relationship Id="rId27" Type="http://schemas.openxmlformats.org/officeDocument/2006/relationships/hyperlink" Target="https://www.3gpp.org/ftp/tsg_ran/WG2_RL2/TSGR2_113bis-e/Docs/R2-2104017.zip" TargetMode="External"/><Relationship Id="rId30" Type="http://schemas.openxmlformats.org/officeDocument/2006/relationships/hyperlink" Target="https://www.3gpp.org/ftp/tsg_ran/WG2_RL2/TSGR2_113bis-e/Docs/R2-2103052.zip" TargetMode="External"/><Relationship Id="rId35" Type="http://schemas.microsoft.com/office/2016/09/relationships/commentsIds" Target="commentsIds.xm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3bis-e/Docs/R2-2102744.zip" TargetMode="External"/><Relationship Id="rId17" Type="http://schemas.openxmlformats.org/officeDocument/2006/relationships/hyperlink" Target="https://www.3gpp.org/ftp/tsg_ran/WG2_RL2/TSGR2_113bis-e/Docs/R2-2103183.zip" TargetMode="External"/><Relationship Id="rId25" Type="http://schemas.openxmlformats.org/officeDocument/2006/relationships/hyperlink" Target="https://www.3gpp.org/ftp/tsg_ran/WG2_RL2/TSGR2_113bis-e/Docs/R2-2103727.zip" TargetMode="External"/><Relationship Id="rId33" Type="http://schemas.openxmlformats.org/officeDocument/2006/relationships/comments" Target="comments.xml"/><Relationship Id="rId38" Type="http://schemas.openxmlformats.org/officeDocument/2006/relationships/hyperlink" Target="https://www.3gpp.org/ftp/tsg_ran/WG2_RL2/TSGR2_113bis-e/Docs/R2-2102961.zip" TargetMode="External"/><Relationship Id="rId46" Type="http://schemas.openxmlformats.org/officeDocument/2006/relationships/fontTable" Target="fontTable.xml"/><Relationship Id="rId20" Type="http://schemas.openxmlformats.org/officeDocument/2006/relationships/hyperlink" Target="https://www.3gpp.org/ftp/tsg_ran/WG2_RL2/TSGR2_113bis-e/Docs/R2-2103342.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A68A-2721-4ACC-994B-F5596CDA5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F4738-4E78-4102-9681-FD80E6B618AD}">
  <ds:schemaRefs>
    <ds:schemaRef ds:uri="http://schemas.microsoft.com/sharepoint/v3/contenttype/forms"/>
  </ds:schemaRefs>
</ds:datastoreItem>
</file>

<file path=customXml/itemProps3.xml><?xml version="1.0" encoding="utf-8"?>
<ds:datastoreItem xmlns:ds="http://schemas.openxmlformats.org/officeDocument/2006/customXml" ds:itemID="{46F9E179-AF8E-40C1-A6E0-B70D82AF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0548C80-29DC-4B46-B457-34754782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7061</Words>
  <Characters>40248</Characters>
  <Application>Microsoft Office Word</Application>
  <DocSecurity>0</DocSecurity>
  <Lines>335</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Soghomonian, Manook, Vodafone Group</cp:lastModifiedBy>
  <cp:revision>4</cp:revision>
  <dcterms:created xsi:type="dcterms:W3CDTF">2021-04-16T10:07:00Z</dcterms:created>
  <dcterms:modified xsi:type="dcterms:W3CDTF">2021-04-16T10:29:00Z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y fmtid="{D5CDD505-2E9C-101B-9397-08002B2CF9AE}" pid="11" name="ContentTypeId">
    <vt:lpwstr>0x01010091AAAE378598EF42867F3CA9E172EBE7</vt:lpwstr>
  </property>
  <property fmtid="{D5CDD505-2E9C-101B-9397-08002B2CF9AE}" pid="12" name="MSIP_Label_0359f705-2ba0-454b-9cfc-6ce5bcaac040_Enabled">
    <vt:lpwstr>true</vt:lpwstr>
  </property>
  <property fmtid="{D5CDD505-2E9C-101B-9397-08002B2CF9AE}" pid="13" name="MSIP_Label_0359f705-2ba0-454b-9cfc-6ce5bcaac040_SetDate">
    <vt:lpwstr>2021-04-16T10:07:34Z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6cb579a6-42ea-44ed-b02a-00003268430e</vt:lpwstr>
  </property>
  <property fmtid="{D5CDD505-2E9C-101B-9397-08002B2CF9AE}" pid="18" name="MSIP_Label_0359f705-2ba0-454b-9cfc-6ce5bcaac040_ContentBits">
    <vt:lpwstr>2</vt:lpwstr>
  </property>
</Properties>
</file>