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13bis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/>
          <w:b/>
          <w:sz w:val="24"/>
          <w:szCs w:val="22"/>
          <w:lang w:val="en-US" w:eastAsia="zh-CN"/>
        </w:rPr>
        <w:t>R2-2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</w:t>
      </w:r>
      <w:bookmarkStart w:id="48" w:name="_GoBack"/>
      <w:bookmarkEnd w:id="48"/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04547(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Revision of R</w:t>
      </w:r>
      <w:r>
        <w:rPr>
          <w:rFonts w:ascii="Times New Roman" w:hAnsi="Times New Roman"/>
          <w:b/>
          <w:sz w:val="18"/>
          <w:szCs w:val="18"/>
          <w:lang w:val="en-US" w:eastAsia="zh-CN"/>
        </w:rPr>
        <w:t>2-2104214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12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 20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</w:t>
            </w:r>
            <w:r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supportedBandwidthCombinationSet-R16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determine whether the UE supports a channel bandwidth of 90 MHz, the network shall also validate </w:t>
            </w:r>
            <w:r>
              <w:rPr>
                <w:i/>
                <w:iCs/>
                <w:lang w:val="en-US" w:eastAsia="zh-CN"/>
              </w:rPr>
              <w:t>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but in the current spec, only</w:t>
            </w:r>
            <w:r>
              <w:rPr>
                <w:i/>
                <w:iCs/>
                <w:lang w:val="en-US" w:eastAsia="zh-CN"/>
              </w:rPr>
              <w:t xml:space="preserve"> 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 mentioned for the 90MHz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jc w:val="both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an 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iCs/>
                <w:lang w:val="en-US" w:eastAsia="zh-CN"/>
              </w:rPr>
              <w:t>RAN2 has clarified that</w:t>
            </w:r>
            <w:r>
              <w:rPr>
                <w:iCs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BCS for the Intra-band Part shall be reported in the </w:t>
            </w:r>
            <w:r>
              <w:rPr>
                <w:i/>
                <w:iCs/>
                <w:lang w:eastAsia="ja-JP"/>
              </w:rPr>
              <w:t>supportedBandwidthCombinationSetIntraENDC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</w:t>
            </w:r>
            <w:r>
              <w:rPr>
                <w:lang w:val="en-US" w:eastAsia="zh-CN"/>
              </w:rPr>
              <w:t xml:space="preserve"> in the</w:t>
            </w:r>
            <w:r>
              <w:rPr>
                <w:rFonts w:hint="eastAsia"/>
                <w:lang w:val="en-US" w:eastAsia="zh-CN"/>
              </w:rPr>
              <w:t xml:space="preserve"> current field description of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eastAsia="ja-JP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 xml:space="preserve">, it said </w:t>
            </w:r>
            <w:r>
              <w:rPr>
                <w:i/>
                <w:iCs/>
                <w:lang w:val="en-US" w:eastAsia="zh-CN"/>
              </w:rPr>
              <w:t>“</w:t>
            </w:r>
            <w:r>
              <w:rPr>
                <w:lang w:eastAsia="en-GB"/>
              </w:rPr>
              <w:t>It is mandatory if the band combination has more than one NR carrier (at least one SCell in an NR cell group) or is an</w:t>
            </w:r>
            <w:r>
              <w:rPr>
                <w:b/>
                <w:bCs/>
                <w:lang w:eastAsia="en-GB"/>
              </w:rPr>
              <w:t xml:space="preserve"> intra-band </w:t>
            </w:r>
            <w:r>
              <w:rPr>
                <w:b/>
                <w:bCs/>
                <w:szCs w:val="22"/>
              </w:rPr>
              <w:t>(NG)</w:t>
            </w:r>
            <w:r>
              <w:rPr>
                <w:b/>
                <w:bCs/>
                <w:lang w:eastAsia="en-GB"/>
              </w:rPr>
              <w:t>EN-DC</w:t>
            </w:r>
            <w:r>
              <w:rPr>
                <w:b/>
                <w:bCs/>
                <w:szCs w:val="22"/>
              </w:rPr>
              <w:t>/NE-DC</w:t>
            </w:r>
            <w:r>
              <w:rPr>
                <w:b/>
                <w:bCs/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or both</w:t>
            </w:r>
            <w:r>
              <w:rPr>
                <w:i/>
                <w:iCs/>
                <w:lang w:val="en-US" w:eastAsia="zh-CN"/>
              </w:rPr>
              <w:t>”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 clear whether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i</w:t>
            </w:r>
            <w:r>
              <w:rPr>
                <w:b/>
                <w:bCs/>
                <w:lang w:eastAsia="en-GB"/>
              </w:rPr>
              <w:t>ntra-band (NG)EN-DC/NE-DC combination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also include the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case of </w:t>
            </w:r>
            <w:r>
              <w:rPr>
                <w:lang w:val="en-US" w:eastAsia="zh-CN"/>
              </w:rPr>
              <w:t>“intra-band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jc w:val="both"/>
              <w:rPr>
                <w:lang w:val="en-US" w:eastAsia="zh-CN"/>
              </w:rPr>
            </w:pPr>
          </w:p>
        </w:tc>
      </w:tr>
      <w:t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supportedBandwidthCombinationSetIntraENDC</w:t>
            </w:r>
            <w:r>
              <w:rPr>
                <w:rFonts w:hint="eastAsia"/>
                <w:lang w:val="en-US" w:eastAsia="zh-CN"/>
              </w:rPr>
              <w:t xml:space="preserve"> to the 90M bandwidth in the field description of </w:t>
            </w:r>
            <w:r>
              <w:rPr>
                <w:rFonts w:hint="eastAsia"/>
                <w:i/>
                <w:lang w:val="en-US" w:eastAsia="zh-CN"/>
              </w:rPr>
              <w:t>channelBWs-DL/UL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lang w:val="en-US" w:eastAsia="zh-CN"/>
              </w:rPr>
              <w:t>supportedBandwidthDL/UL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Preclude the case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intra-band (NG)EN-DC/NE-DC BC with only single NR carrier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 from the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  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</w:rPr>
              <w:t xml:space="preserve">If UE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network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network may misunderstand the bandwidth that UE support.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I</w:t>
            </w:r>
            <w:r>
              <w:rPr>
                <w:rFonts w:ascii="Times New Roman" w:hAnsi="Times New Roman" w:eastAsia="Malgun Gothic"/>
              </w:rPr>
              <w:t xml:space="preserve">f the network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UE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UE may report the supported bandwidth incorrectly and also leads to the network’s misunderstanding and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The network may configure the bandwidth that UE doesn’t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4.2.7.1/4.2.7.2/4.2.7.6/4.2.7.8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Times New Roman" w:hAnsi="Times New Roman"/>
                <w:bCs/>
                <w:sz w:val="24"/>
                <w:szCs w:val="22"/>
                <w:lang w:val="en-US" w:eastAsia="zh-CN"/>
              </w:rPr>
              <w:t>R2-2</w:t>
            </w:r>
            <w:r>
              <w:rPr>
                <w:rFonts w:hint="eastAsia" w:ascii="Times New Roman" w:hAnsi="Times New Roman"/>
                <w:bCs/>
                <w:sz w:val="24"/>
                <w:szCs w:val="22"/>
                <w:lang w:val="en-US" w:eastAsia="zh-CN"/>
              </w:rPr>
              <w:t>104214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52569468"/>
      <w:bookmarkStart w:id="3" w:name="_Toc60789322"/>
      <w:bookmarkStart w:id="4" w:name="_Toc37093374"/>
      <w:bookmarkStart w:id="5" w:name="_Toc12750893"/>
      <w:bookmarkStart w:id="6" w:name="_Toc46509437"/>
      <w:bookmarkStart w:id="7" w:name="_Toc29382257"/>
      <w:bookmarkStart w:id="8" w:name="_Toc46488660"/>
      <w:bookmarkStart w:id="9" w:name="_Toc52574167"/>
      <w:bookmarkStart w:id="10" w:name="_Toc37238651"/>
      <w:bookmarkStart w:id="11" w:name="_Toc37238765"/>
      <w:bookmarkStart w:id="12" w:name="_Toc52574081"/>
      <w:bookmarkStart w:id="13" w:name="_Toc12718083"/>
      <w:bookmarkStart w:id="14" w:name="_Toc46487048"/>
      <w:bookmarkStart w:id="15" w:name="_Toc12718085"/>
      <w:bookmarkStart w:id="16" w:name="_Toc535261536"/>
      <w:bookmarkStart w:id="17" w:name="_Toc12750885"/>
      <w:bookmarkStart w:id="18" w:name="_Toc29321583"/>
      <w:bookmarkStart w:id="19" w:name="_Toc36220184"/>
      <w:bookmarkStart w:id="20" w:name="_Toc29321325"/>
      <w:bookmarkStart w:id="21" w:name="_Toc36219508"/>
      <w:bookmarkStart w:id="22" w:name="_Toc46444317"/>
      <w:bookmarkStart w:id="23" w:name="_Toc46439450"/>
      <w:bookmarkStart w:id="24" w:name="_Toc29321541"/>
      <w:bookmarkStart w:id="25" w:name="_Toc46444852"/>
      <w:bookmarkStart w:id="26" w:name="_Toc46487613"/>
      <w:bookmarkStart w:id="27" w:name="_Toc20426186"/>
      <w:bookmarkStart w:id="28" w:name="_Toc46487078"/>
      <w:bookmarkStart w:id="29" w:name="_Toc12718435"/>
      <w:bookmarkStart w:id="30" w:name="_Toc20426144"/>
      <w:bookmarkStart w:id="31" w:name="_Toc510018698"/>
      <w:bookmarkStart w:id="32" w:name="_Toc535261633"/>
      <w:bookmarkStart w:id="33" w:name="_Toc20425929"/>
      <w:bookmarkStart w:id="34" w:name="_Toc5285381"/>
      <w:bookmarkStart w:id="35" w:name="_Toc510018651"/>
      <w:bookmarkStart w:id="36" w:name="_Toc46440015"/>
      <w:bookmarkStart w:id="37" w:name="_Hlk726506"/>
      <w:bookmarkStart w:id="38" w:name="_Toc36513604"/>
      <w:bookmarkStart w:id="39" w:name="_Toc46439480"/>
      <w:bookmarkStart w:id="40" w:name="_Toc46444287"/>
      <w:bookmarkStart w:id="41" w:name="_Toc12718472"/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2"/>
            </w:pPr>
            <w:r>
              <w:t>Definitions for parameters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Per</w:t>
            </w:r>
          </w:p>
        </w:tc>
        <w:tc>
          <w:tcPr>
            <w:tcW w:w="567" w:type="dxa"/>
          </w:tcPr>
          <w:p>
            <w:pPr>
              <w:pStyle w:val="52"/>
            </w:pPr>
            <w:r>
              <w:t>M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FDD-TDD</w:t>
            </w:r>
          </w:p>
          <w:p>
            <w:pPr>
              <w:pStyle w:val="52"/>
            </w:pPr>
            <w:r>
              <w:t>DIFF</w:t>
            </w:r>
          </w:p>
        </w:tc>
        <w:tc>
          <w:tcPr>
            <w:tcW w:w="728" w:type="dxa"/>
          </w:tcPr>
          <w:p>
            <w:pPr>
              <w:pStyle w:val="52"/>
            </w:pPr>
            <w:r>
              <w:t>FR1-FR2</w:t>
            </w:r>
          </w:p>
          <w:p>
            <w:pPr>
              <w:pStyle w:val="52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supportedBandwidthCombinationSet</w:t>
            </w:r>
          </w:p>
          <w:p>
            <w:pPr>
              <w:pStyle w:val="54"/>
              <w:rPr>
                <w:ins w:id="0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r>
              <w:rPr>
                <w:szCs w:val="22"/>
              </w:rPr>
              <w:t xml:space="preserve">For NR SA CA, NR-DC, inter-band (NG)EN-DC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 xml:space="preserve">, the field defines the bandwidth combinations for the NR part of the band combination. For intra-band (NG)EN-DC/NE-DC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the NR and LTE band combinations.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1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the band combination has more than one NR carrier (at least one SCell in an NR cell group)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2" w:author="Apple - Naveen Palle" w:date="2021-04-15T12:04:00Z"/>
                <w:lang w:val="en-US" w:eastAsia="zh-CN"/>
              </w:rPr>
            </w:pPr>
            <w:r>
              <w:rPr>
                <w:lang w:eastAsia="en-GB"/>
              </w:rPr>
              <w:t xml:space="preserve">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ins w:id="3" w:author="ZTE(Wenting)" w:date="2021-04-15T14:4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(Wenting)" w:date="2021-04-19T21:22:00Z">
              <w:r>
                <w:rPr>
                  <w:szCs w:val="22"/>
                  <w:u w:val="single"/>
                </w:rPr>
                <w:t xml:space="preserve">without </w:t>
              </w:r>
            </w:ins>
            <w:ins w:id="5" w:author="ZTE(Wenting)" w:date="2021-04-19T21:22:00Z">
              <w:r>
                <w:rPr>
                  <w:u w:val="single"/>
                </w:rPr>
                <w:t xml:space="preserve">additional </w:t>
              </w:r>
            </w:ins>
            <w:ins w:id="6" w:author="ZTE(Wenting)" w:date="2021-04-19T21:22:00Z">
              <w:r>
                <w:rPr>
                  <w:szCs w:val="22"/>
                  <w:u w:val="single"/>
                </w:rPr>
                <w:t>inter-band NR and LTE CA</w:t>
              </w:r>
            </w:ins>
            <w:ins w:id="7" w:author="ZTE(Wenting)" w:date="2021-04-19T21:22:00Z">
              <w:r>
                <w:rPr>
                  <w:u w:val="single"/>
                </w:rP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54"/>
              <w:numPr>
                <w:ilvl w:val="0"/>
                <w:numId w:val="4"/>
              </w:numPr>
            </w:pPr>
            <w:r>
              <w:rPr>
                <w:lang w:eastAsia="en-GB"/>
              </w:rPr>
              <w:t>or both.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rPr>
          <w:rFonts w:ascii="Arial" w:hAnsi="Arial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Second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FDD-TDD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FR1-FR2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channelBWs-DL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  <w:r>
              <w:br w:type="textWrapping"/>
            </w:r>
            <w:r>
              <w:t xml:space="preserve">Absence of the </w:t>
            </w:r>
            <w:r>
              <w:rPr>
                <w:i/>
                <w:iCs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>
              <w:rPr>
                <w:rFonts w:cs="Arial"/>
              </w:rPr>
              <w:t xml:space="preserve"> For IAB-MT, to determine whether the IAB-MT supports a channel bandwidth of 100 MHz, the network checks c</w:t>
            </w:r>
            <w:r>
              <w:rPr>
                <w:rFonts w:cs="Arial"/>
                <w:i/>
                <w:iCs/>
              </w:rPr>
              <w:t>hannelBW-DL-IAB-r16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</w:rPr>
              <w:t>channelBW-DL-IAB-r16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  <w:iCs/>
              </w:rPr>
              <w:t>channelBWs-DL-v1590</w:t>
            </w:r>
            <w:r>
              <w:t xml:space="preserve"> indicates 70MHz, the second leftmost bit indicates 45MHz, the third leftmost bit indicates 35MHz and all the remaining bits in </w:t>
            </w:r>
            <w:r>
              <w:rPr>
                <w:i/>
                <w:iCs/>
              </w:rPr>
              <w:t>channelBWs-DL-v1590</w:t>
            </w:r>
            <w:r>
              <w:t xml:space="preserve"> shall be set to 0.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supportedSubCarrierSpacingDL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del w:id="8" w:author="ZTE" w:date="2021-03-30T18:29:00Z">
              <w:r>
                <w:rPr>
                  <w:lang w:val="en-US"/>
                </w:rPr>
                <w:delText xml:space="preserve"> and</w:delText>
              </w:r>
            </w:del>
            <w:ins w:id="9" w:author="ZTE" w:date="2021-03-30T18:29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t xml:space="preserve"> the </w:t>
            </w:r>
            <w:r>
              <w:rPr>
                <w:i/>
              </w:rPr>
              <w:t>supportedBandwidthCombinationSet</w:t>
            </w:r>
            <w:ins w:id="10" w:author="ZTE" w:date="2021-03-30T18:29:00Z">
              <w:r>
                <w:rPr>
                  <w:rFonts w:hint="eastAsia"/>
                  <w:iCs/>
                  <w:lang w:val="en-US" w:eastAsia="zh-CN"/>
                </w:rPr>
                <w:t xml:space="preserve"> and the</w:t>
              </w:r>
            </w:ins>
            <w:ins w:id="11" w:author="ZTE" w:date="2021-03-30T18:29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2" w:author="ZTE" w:date="2021-03-30T18:30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channelBWs-UL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</w:p>
          <w:p>
            <w:pPr>
              <w:pStyle w:val="54"/>
            </w:pPr>
            <w:r>
              <w:t xml:space="preserve">Absence of the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>
              <w:rPr>
                <w:rFonts w:cs="Arial"/>
              </w:rPr>
              <w:t xml:space="preserve">For IAB-MT, to determine whether the IAB-MT supports a channel bandwidth of 100 MHz, the network checks </w:t>
            </w:r>
            <w:r>
              <w:rPr>
                <w:rFonts w:cs="Arial"/>
                <w:i/>
                <w:iCs/>
              </w:rPr>
              <w:t>channelBW-UL-IAB-r16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</w:rPr>
              <w:t>channelBW-UL-IAB-r16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  <w:iCs/>
              </w:rPr>
              <w:t>channelBWs-UL-v1590</w:t>
            </w:r>
            <w:r>
              <w:t xml:space="preserve"> indicates 70 MHz, the second leftmost bit indicates 45MHz, the third leftmost bit indicates 35MHz and all the remaining bits in </w:t>
            </w:r>
            <w:r>
              <w:rPr>
                <w:i/>
                <w:iCs/>
              </w:rPr>
              <w:t>channelBWs-UL-v1590</w:t>
            </w:r>
            <w:r>
              <w:t xml:space="preserve"> shall be set to 0.</w:t>
            </w:r>
          </w:p>
          <w:p>
            <w:pPr>
              <w:pStyle w:val="67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13" w:author="ZTE" w:date="2021-03-30T18:31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r>
              <w:t xml:space="preserve"> </w:t>
            </w:r>
            <w:del w:id="14" w:author="ZTE" w:date="2021-03-30T18:31:00Z">
              <w:r>
                <w:rPr/>
                <w:delText xml:space="preserve">and </w:delText>
              </w:r>
            </w:del>
            <w:r>
              <w:t xml:space="preserve">the </w:t>
            </w:r>
            <w:r>
              <w:rPr>
                <w:i/>
              </w:rPr>
              <w:t>supportedBandwidthCombinationSet</w:t>
            </w:r>
            <w:ins w:id="15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6" w:author="ZTE" w:date="2021-03-30T18:31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17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8" w:author="ZTE" w:date="2021-03-30T18:31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8"/>
    <w:bookmarkEnd w:id="9"/>
    <w:bookmarkEnd w:id="10"/>
    <w:bookmarkEnd w:id="11"/>
    <w:bookmarkEnd w:id="12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</w:pPr>
      <w:bookmarkStart w:id="42" w:name="_Toc46509442"/>
      <w:bookmarkStart w:id="43" w:name="_Toc12750898"/>
      <w:bookmarkStart w:id="44" w:name="_Toc60789327"/>
      <w:bookmarkStart w:id="45" w:name="_Toc29382262"/>
      <w:bookmarkStart w:id="46" w:name="_Toc52569473"/>
      <w:bookmarkStart w:id="47" w:name="_Toc37093379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42"/>
      <w:bookmarkEnd w:id="43"/>
      <w:bookmarkEnd w:id="44"/>
      <w:bookmarkEnd w:id="45"/>
      <w:bookmarkEnd w:id="46"/>
      <w:bookmarkEnd w:id="4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宋体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supportedBandwidthDL</w:t>
            </w:r>
          </w:p>
          <w:p>
            <w:pPr>
              <w:pStyle w:val="54"/>
              <w:rPr>
                <w:szCs w:val="18"/>
              </w:rPr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ins w:id="19" w:author="ZTE" w:date="2021-03-30T18:3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0" w:author="ZTE" w:date="2021-03-30T18:32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supportedBandwidthCombinationSet</w:t>
            </w:r>
            <w:ins w:id="21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2" w:author="ZTE" w:date="2021-03-30T18:32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3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ZTE" w:date="2021-03-30T18:32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Fourth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25" w:author="ZTE" w:date="2021-03-30T18:33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6" w:author="ZTE" w:date="2021-03-30T18:33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supportedBandwidthCombiantionSet</w:t>
            </w:r>
            <w:ins w:id="27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8" w:author="ZTE" w:date="2021-03-30T18:33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9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30" w:author="ZTE" w:date="2021-03-30T18:33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09D0B"/>
    <w:multiLevelType w:val="singleLevel"/>
    <w:tmpl w:val="98E09D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B001DB0"/>
    <w:multiLevelType w:val="multilevel"/>
    <w:tmpl w:val="0B001D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8ABD6"/>
    <w:multiLevelType w:val="singleLevel"/>
    <w:tmpl w:val="6B68AB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 - Naveen Palle">
    <w15:presenceInfo w15:providerId="None" w15:userId="Apple - Naveen Palle"/>
  </w15:person>
  <w15:person w15:author="ZTE(Wenting)">
    <w15:presenceInfo w15:providerId="None" w15:userId="ZTE(Wenti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3CCD"/>
    <w:rsid w:val="00065D26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1DF7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0F7C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23CAC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19AE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12986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6F24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8DB48AA"/>
    <w:rsid w:val="0CB407F6"/>
    <w:rsid w:val="0E1F1736"/>
    <w:rsid w:val="10B97B4D"/>
    <w:rsid w:val="1DFE7A0C"/>
    <w:rsid w:val="1E44537A"/>
    <w:rsid w:val="1E9B17BF"/>
    <w:rsid w:val="1FCB10B1"/>
    <w:rsid w:val="216C11EE"/>
    <w:rsid w:val="21715ED3"/>
    <w:rsid w:val="266B3DC6"/>
    <w:rsid w:val="26D43406"/>
    <w:rsid w:val="2DFA47F1"/>
    <w:rsid w:val="30AA7CF9"/>
    <w:rsid w:val="30D45263"/>
    <w:rsid w:val="3310084A"/>
    <w:rsid w:val="338B6E36"/>
    <w:rsid w:val="369219EF"/>
    <w:rsid w:val="37CC6A1F"/>
    <w:rsid w:val="38270F94"/>
    <w:rsid w:val="38535CB3"/>
    <w:rsid w:val="3AF76AC4"/>
    <w:rsid w:val="3D361247"/>
    <w:rsid w:val="3F6809ED"/>
    <w:rsid w:val="3F875A04"/>
    <w:rsid w:val="41FE2103"/>
    <w:rsid w:val="43D032BC"/>
    <w:rsid w:val="49BC6B47"/>
    <w:rsid w:val="4E22301A"/>
    <w:rsid w:val="4F746C07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73E3F93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7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357353-2E6D-438E-8003-86B7BACC8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1867</Words>
  <Characters>10648</Characters>
  <Lines>88</Lines>
  <Paragraphs>24</Paragraphs>
  <TotalTime>14</TotalTime>
  <ScaleCrop>false</ScaleCrop>
  <LinksUpToDate>false</LinksUpToDate>
  <CharactersWithSpaces>12491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2021-04-20T02:23:43Z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