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Intended outcome: Endorsable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BB09A9"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r>
              <w:rPr>
                <w:lang w:eastAsia="zh-CN"/>
              </w:rPr>
              <w:t>Yi.guo</w:t>
            </w:r>
          </w:p>
        </w:tc>
        <w:tc>
          <w:tcPr>
            <w:tcW w:w="4253" w:type="dxa"/>
            <w:shd w:val="clear" w:color="auto" w:fill="auto"/>
          </w:tcPr>
          <w:p w14:paraId="77557584" w14:textId="386BFE03" w:rsidR="00942F25" w:rsidRDefault="00BB09A9">
            <w:pPr>
              <w:jc w:val="both"/>
              <w:rPr>
                <w:lang w:eastAsia="zh-CN"/>
              </w:rPr>
            </w:pPr>
            <w:hyperlink r:id="rId11" w:history="1">
              <w:r w:rsidR="000C7E77" w:rsidRPr="0081456F">
                <w:rPr>
                  <w:rStyle w:val="Hyperlink"/>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r>
              <w:rPr>
                <w:rFonts w:hint="eastAsia"/>
                <w:lang w:eastAsia="zh-CN"/>
              </w:rPr>
              <w:t>E</w:t>
            </w:r>
            <w:r>
              <w:rPr>
                <w:lang w:eastAsia="zh-CN"/>
              </w:rPr>
              <w:t>lliah,Wang</w:t>
            </w:r>
          </w:p>
        </w:tc>
        <w:tc>
          <w:tcPr>
            <w:tcW w:w="4253" w:type="dxa"/>
            <w:shd w:val="clear" w:color="auto" w:fill="auto"/>
          </w:tcPr>
          <w:p w14:paraId="14D30538" w14:textId="3036F669" w:rsidR="00655E0C" w:rsidRDefault="00BB09A9" w:rsidP="00655E0C">
            <w:pPr>
              <w:jc w:val="both"/>
              <w:rPr>
                <w:rFonts w:eastAsia="Times New Roman"/>
              </w:rPr>
            </w:pPr>
            <w:hyperlink r:id="rId12" w:history="1">
              <w:r w:rsidR="00655E0C" w:rsidRPr="00BB5472">
                <w:rPr>
                  <w:rStyle w:val="Hyperlink"/>
                  <w:rFonts w:hint="eastAsia"/>
                  <w:lang w:eastAsia="zh-CN"/>
                </w:rPr>
                <w:t>y</w:t>
              </w:r>
              <w:r w:rsidR="00655E0C" w:rsidRPr="00BB5472">
                <w:rPr>
                  <w:rStyle w:val="Hyperlink"/>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w:t>
            </w:r>
            <w:r w:rsidR="000C7E77">
              <w:rPr>
                <w:lang w:eastAsia="ja-JP"/>
              </w:rPr>
              <w:t>e</w:t>
            </w:r>
            <w:r>
              <w:rPr>
                <w:lang w:eastAsia="ja-JP"/>
              </w:rPr>
              <w:t>s in RRC_IDLE state and U</w:t>
            </w:r>
            <w:r w:rsidR="000C7E77">
              <w:rPr>
                <w:lang w:eastAsia="ja-JP"/>
              </w:rPr>
              <w:t>e</w:t>
            </w:r>
            <w:r>
              <w:rPr>
                <w:lang w:eastAsia="ja-JP"/>
              </w:rPr>
              <w:t>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lastRenderedPageBreak/>
              <w:t>Signaling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(Huawei/HiSi),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NR positioning for U</w:t>
            </w:r>
            <w:r w:rsidR="000C7E77">
              <w:t>e</w:t>
            </w:r>
            <w:r>
              <w:t>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w:t>
            </w:r>
            <w:r w:rsidR="000C7E77">
              <w:t>e</w:t>
            </w:r>
            <w:r>
              <w:t>s in RRC_inactive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Support of gNB positioning measurements for U</w:t>
            </w:r>
            <w:r w:rsidR="000C7E77">
              <w:t>e</w:t>
            </w:r>
            <w:r>
              <w:t>s in RRC_inactive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It is up to RAN2 to decide whether to support the enhancements of NR positioning reporting of DL positioning measurements and/or positioning estimates for RRC_IDLE U</w:t>
      </w:r>
      <w:r w:rsidR="000C7E77">
        <w:rPr>
          <w:lang w:eastAsia="zh-CN"/>
        </w:rPr>
        <w:t>e</w:t>
      </w:r>
      <w:r>
        <w:rPr>
          <w:lang w:eastAsia="zh-CN"/>
        </w:rPr>
        <w:t>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Support of UE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Support of gNB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last connected state)? Is this only applicable for stationary or slow moving U</w:t>
            </w:r>
            <w:r w:rsidR="000C7E77">
              <w:rPr>
                <w:lang w:val="en-GB" w:eastAsia="zh-CN"/>
              </w:rPr>
              <w:t>e</w:t>
            </w:r>
            <w:r w:rsidR="00252C87">
              <w:rPr>
                <w:lang w:val="en-GB" w:eastAsia="zh-CN"/>
              </w:rPr>
              <w:t>s?</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eastAsiaTheme="minorEastAsia" w:hAnsi="Times New Roman"/>
          <w:b/>
          <w:lang w:eastAsia="zh-CN"/>
        </w:rPr>
        <w:t>NRPPa</w:t>
      </w:r>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eastAsiaTheme="minorEastAsia" w:hAnsi="Times New Roman"/>
          <w:b/>
          <w:lang w:eastAsia="zh-CN"/>
        </w:rPr>
        <w:t>Uu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  posSRS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MAC procedure/L1 signalling (e.g., activation/deactivation for semi-persistent/aperiodic posSRS)</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Transmission of posS</w:t>
      </w:r>
      <w:r w:rsidR="00E93A10" w:rsidRPr="00670FC3">
        <w:rPr>
          <w:rFonts w:ascii="Times New Roman" w:hAnsi="Times New Roman"/>
          <w:b/>
          <w:lang w:eastAsia="zh-CN"/>
        </w:rPr>
        <w:t>RS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lastRenderedPageBreak/>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t>InterDigital,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t>CeWiT</w:t>
            </w:r>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lastRenderedPageBreak/>
              <w:t>======================================NEXT CHANGE===================================</w:t>
            </w:r>
          </w:p>
          <w:p w14:paraId="751E1A8E" w14:textId="77777777" w:rsidR="00273956" w:rsidRPr="004935C6" w:rsidRDefault="00273956" w:rsidP="00273956">
            <w:pPr>
              <w:pStyle w:val="Heading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methods/measurement/signaling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The procedure and signaling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method/measurements/procedures/signaling.</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33" w:author="YinghaoGuo" w:date="2021-01-13T11:17:00Z"/>
                <w:rFonts w:ascii="Times New Roman" w:hAnsi="Times New Roman"/>
                <w:sz w:val="20"/>
                <w:szCs w:val="20"/>
                <w:lang w:eastAsia="zh-CN"/>
              </w:rPr>
            </w:pPr>
            <w:ins w:id="34" w:author="YinghaoGuo" w:date="2021-01-13T11:17:00Z">
              <w:r w:rsidRPr="00FF74E1">
                <w:rPr>
                  <w:rFonts w:ascii="Times New Roman" w:eastAsiaTheme="minorEastAsia" w:hAnsi="Times New Roman"/>
                  <w:sz w:val="20"/>
                  <w:szCs w:val="20"/>
                  <w:lang w:eastAsia="zh-CN"/>
                </w:rPr>
                <w:t>NRPPa</w:t>
              </w:r>
            </w:ins>
          </w:p>
          <w:p w14:paraId="1F4849A2" w14:textId="77777777" w:rsidR="00273956" w:rsidRPr="00FF74E1" w:rsidRDefault="00273956" w:rsidP="00273956">
            <w:pPr>
              <w:pStyle w:val="ListParagraph"/>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eastAsiaTheme="minorEastAsia" w:hAnsi="Times New Roman"/>
                  <w:sz w:val="20"/>
                  <w:szCs w:val="20"/>
                  <w:lang w:eastAsia="zh-CN"/>
                </w:rPr>
                <w:t>Uu Signaling and procedure</w:t>
              </w:r>
            </w:ins>
          </w:p>
          <w:p w14:paraId="53F3B159" w14:textId="77777777" w:rsidR="00273956" w:rsidRPr="00FF74E1" w:rsidRDefault="00273956" w:rsidP="00273956">
            <w:pPr>
              <w:pStyle w:val="ListParagraph"/>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RRC signaling for positioning (e.g.,  posSRS configuration)</w:t>
              </w:r>
            </w:ins>
          </w:p>
          <w:p w14:paraId="46E773E1" w14:textId="77777777" w:rsidR="00273956" w:rsidRPr="00FF74E1" w:rsidRDefault="00273956" w:rsidP="00273956">
            <w:pPr>
              <w:pStyle w:val="ListParagraph"/>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385562B2" w14:textId="77777777" w:rsidR="00273956" w:rsidRPr="00FF74E1" w:rsidRDefault="00273956" w:rsidP="00273956">
            <w:pPr>
              <w:pStyle w:val="ListParagraph"/>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For reducing NR positioning latency, more efficient signaling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analyze positioning architecture enhancements to enable such more efficient signaling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lastRenderedPageBreak/>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1453AE50" w14:textId="65FC66D9" w:rsidR="009C11FD" w:rsidRPr="00C84D3B"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NRPPa).</w:t>
            </w: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r>
              <w:rPr>
                <w:b/>
                <w:i/>
                <w:lang w:val="en-GB" w:eastAsia="zh-CN"/>
              </w:rPr>
              <w:t>RequestCapabilities/Provide</w:t>
            </w:r>
            <w:r w:rsidRPr="00AD4324">
              <w:rPr>
                <w:b/>
                <w:i/>
                <w:lang w:val="en-GB" w:eastAsia="zh-CN"/>
              </w:rPr>
              <w:t>Capbilities</w:t>
            </w:r>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r w:rsidRPr="00821E55">
              <w:rPr>
                <w:b/>
                <w:i/>
                <w:sz w:val="22"/>
                <w:szCs w:val="22"/>
                <w:lang w:eastAsia="zh-CN"/>
              </w:rPr>
              <w:t>RequestAssistanceData</w:t>
            </w:r>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r w:rsidRPr="00821E55">
              <w:rPr>
                <w:b/>
                <w:i/>
                <w:sz w:val="22"/>
                <w:szCs w:val="22"/>
                <w:lang w:eastAsia="zh-CN"/>
              </w:rPr>
              <w:t>RequestLocationInformation</w:t>
            </w:r>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r w:rsidRPr="00821E55">
              <w:rPr>
                <w:b/>
                <w:i/>
                <w:sz w:val="22"/>
                <w:szCs w:val="22"/>
                <w:lang w:eastAsia="zh-CN"/>
              </w:rPr>
              <w:t>RequestLocationInformation</w:t>
            </w:r>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lastRenderedPageBreak/>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There are several issues for SDT CP solution. Lack of CP solution, No Integrity protection, measurement report size for positioning may not fit in SDT. Further alternate to CP SDT framework; i.e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ANR measurement reporting is not supported when the UE uses the Control Plane CIoT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reestablish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hint="eastAsia"/>
                <w:sz w:val="20"/>
                <w:szCs w:val="20"/>
                <w:lang w:val="en-GB"/>
              </w:rPr>
              <w:t>C</w:t>
            </w:r>
            <w:r w:rsidRPr="007B3D50">
              <w:rPr>
                <w:rFonts w:ascii="Times New Roman" w:eastAsia="SimSun" w:hAnsi="Times New Roman"/>
                <w:sz w:val="20"/>
                <w:szCs w:val="20"/>
                <w:lang w:val="en-GB"/>
              </w:rPr>
              <w:t xml:space="preserve">P data can also be integrity protected. LTE doesn’t protect msg3 is to avoid refusion of random access, but other NAS message can be integrity protected, so it </w:t>
            </w:r>
            <w:r w:rsidRPr="007B3D50">
              <w:rPr>
                <w:rFonts w:ascii="Times New Roman" w:eastAsia="SimSun" w:hAnsi="Times New Roman"/>
                <w:sz w:val="20"/>
                <w:szCs w:val="20"/>
                <w:lang w:val="en-GB"/>
              </w:rPr>
              <w:lastRenderedPageBreak/>
              <w:t>is not correct to say CP doesn’t support integrity. Only initial message not. NR only need</w:t>
            </w:r>
            <w:r w:rsidRPr="007B3D50">
              <w:rPr>
                <w:rFonts w:ascii="Times New Roman" w:eastAsia="SimSun" w:hAnsi="Times New Roman" w:hint="eastAsia"/>
                <w:sz w:val="20"/>
                <w:szCs w:val="20"/>
                <w:lang w:val="en-GB"/>
              </w:rPr>
              <w:t>s</w:t>
            </w:r>
            <w:r w:rsidRPr="007B3D50">
              <w:rPr>
                <w:rFonts w:ascii="Times New Roman" w:eastAsia="SimSun" w:hAnsi="Times New Roman"/>
                <w:sz w:val="20"/>
                <w:szCs w:val="20"/>
                <w:lang w:val="en-GB"/>
              </w:rPr>
              <w:t xml:space="preserve"> to do minor CP enhancement </w:t>
            </w:r>
            <w:r w:rsidRPr="007B3D50">
              <w:rPr>
                <w:rFonts w:ascii="Times New Roman" w:eastAsia="SimSun" w:hAnsi="Times New Roman" w:hint="eastAsia"/>
                <w:sz w:val="20"/>
                <w:szCs w:val="20"/>
                <w:lang w:val="en-GB"/>
              </w:rPr>
              <w:t>t</w:t>
            </w:r>
            <w:r w:rsidRPr="007B3D50">
              <w:rPr>
                <w:rFonts w:ascii="Times New Roman" w:eastAsia="SimSun" w:hAnsi="Times New Roman"/>
                <w:sz w:val="20"/>
                <w:szCs w:val="20"/>
                <w:lang w:val="en-GB"/>
              </w:rPr>
              <w:t>o support integrity of positioning.</w:t>
            </w:r>
          </w:p>
          <w:p w14:paraId="55A3BE1A" w14:textId="71BC0D49" w:rsidR="007B3D50" w:rsidRDefault="007B3D50" w:rsidP="00D75D12">
            <w:pPr>
              <w:pStyle w:val="ListParagraph"/>
              <w:numPr>
                <w:ilvl w:val="0"/>
                <w:numId w:val="49"/>
              </w:numPr>
            </w:pPr>
            <w:r w:rsidRPr="00512CB4">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lastRenderedPageBreak/>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3335BFF8" w14:textId="57189F72" w:rsidR="00EC1179" w:rsidRDefault="00EC1179" w:rsidP="00EC1179">
            <w:r>
              <w:t>…this should not be restricted to "</w:t>
            </w:r>
            <w:r w:rsidRPr="005863F5">
              <w:rPr>
                <w:lang w:eastAsia="zh-CN"/>
              </w:rPr>
              <w:t>PRS measurement report</w:t>
            </w:r>
            <w:r>
              <w:rPr>
                <w:lang w:eastAsia="zh-CN"/>
              </w:rPr>
              <w:t>"; it is equally applicable to any positioning measurement report, incl. location estimate report.</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r w:rsidRPr="005478B0">
              <w:rPr>
                <w:b/>
                <w:i/>
                <w:szCs w:val="22"/>
                <w:lang w:val="en-GB" w:eastAsia="zh-CN"/>
              </w:rPr>
              <w:t>RequestCapabilities/ProvideCapbilities</w:t>
            </w:r>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i/>
                <w:lang w:eastAsia="zh-CN"/>
              </w:rPr>
              <w:t>RequestAssistanceData</w:t>
            </w:r>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1" w:author="YinghaoGuo" w:date="2021-01-11T19:06:00Z"/>
              </w:rPr>
            </w:pPr>
            <w:ins w:id="52" w:author="YinghaoGuo" w:date="2021-01-11T19:05:00Z">
              <w:r w:rsidRPr="002B780E">
                <w:t>The followi</w:t>
              </w:r>
              <w:r w:rsidRPr="008917AE">
                <w:t xml:space="preserve">ng procedures are </w:t>
              </w:r>
            </w:ins>
            <w:ins w:id="53" w:author="YinghaoGuo" w:date="2021-01-13T11:16:00Z">
              <w:r>
                <w:t xml:space="preserve">recommended for normative work </w:t>
              </w:r>
            </w:ins>
            <w:ins w:id="54" w:author="YinghaoGuo" w:date="2021-01-11T19:05:00Z">
              <w:r w:rsidRPr="008917AE">
                <w:t xml:space="preserve">for </w:t>
              </w:r>
            </w:ins>
            <w:ins w:id="55" w:author="YinghaoGuo" w:date="2021-01-11T19:07:00Z">
              <w:r>
                <w:t>DL</w:t>
              </w:r>
            </w:ins>
            <w:ins w:id="56"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7" w:author="YinghaoGuo" w:date="2021-01-27T16:54:00Z"/>
              </w:rPr>
            </w:pPr>
            <w:ins w:id="58" w:author="YinghaoGuo" w:date="2021-01-11T19:15:00Z">
              <w:r w:rsidRPr="00613B63">
                <w:t>Reporting of PRS measurement perfo</w:t>
              </w:r>
              <w:r>
                <w:t xml:space="preserve">rmed in </w:t>
              </w:r>
            </w:ins>
            <w:ins w:id="59" w:author="YinghaoGuo" w:date="2021-01-11T19:18:00Z">
              <w:r>
                <w:t>RRC</w:t>
              </w:r>
            </w:ins>
            <w:ins w:id="60" w:author="YinghaoGuo" w:date="2021-01-11T19:25:00Z">
              <w:r>
                <w:t>_</w:t>
              </w:r>
            </w:ins>
            <w:ins w:id="61" w:author="YinghaoGuo" w:date="2021-01-11T19:15:00Z">
              <w:r>
                <w:t xml:space="preserve">INACTIVE </w:t>
              </w:r>
              <w:r w:rsidRPr="00613B63">
                <w:t>when the UE is in RRC_INACTIVE</w:t>
              </w:r>
            </w:ins>
            <w:ins w:id="62" w:author="YinghaoGuo" w:date="2021-01-11T19:18:00Z">
              <w:r>
                <w:t>/RRC_CONNETED</w:t>
              </w:r>
            </w:ins>
            <w:ins w:id="63"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4" w:author="YinghaoGuo" w:date="2021-01-11T19:14:00Z"/>
              </w:rPr>
            </w:pPr>
            <w:ins w:id="65" w:author="YinghaoGuo" w:date="2021-01-27T16:54:00Z">
              <w:r>
                <w:t xml:space="preserve">The reporting of PRS measurement performed </w:t>
              </w:r>
              <w:r w:rsidR="003F1F92">
                <w:t>in RRC_INACTIVE when the UE is in RRC_INACTIVE is enabled by enhancing the small data transmission framew</w:t>
              </w:r>
            </w:ins>
            <w:ins w:id="66" w:author="YinghaoGuo" w:date="2021-01-27T16:55:00Z">
              <w:r w:rsidR="003F1F92">
                <w:t xml:space="preserve">ork in RRC_INACTIVE. </w:t>
              </w:r>
            </w:ins>
          </w:p>
          <w:p w14:paraId="65FBB7D5" w14:textId="77777777" w:rsidR="00D1645A" w:rsidRDefault="00D1645A" w:rsidP="00D1645A">
            <w:pPr>
              <w:rPr>
                <w:ins w:id="67" w:author="YinghaoGuo_v2" w:date="2021-01-12T11:23:00Z"/>
              </w:rPr>
            </w:pPr>
          </w:p>
          <w:p w14:paraId="04C85101" w14:textId="294F1B70" w:rsidR="00D1645A" w:rsidRPr="00196C3C" w:rsidRDefault="00D1645A" w:rsidP="00D1645A">
            <w:pPr>
              <w:pStyle w:val="NO"/>
              <w:spacing w:after="0"/>
              <w:rPr>
                <w:ins w:id="68" w:author="YinghaoGuo" w:date="2021-01-13T11:15:00Z"/>
              </w:rPr>
            </w:pPr>
            <w:ins w:id="69" w:author="YinghaoGuo" w:date="2021-01-13T11:15:00Z">
              <w:r w:rsidRPr="00196C3C">
                <w:t>NOTE: The following procedures</w:t>
              </w:r>
            </w:ins>
            <w:ins w:id="70" w:author="YinghaoGuo" w:date="2021-01-27T16:56:00Z">
              <w:r w:rsidR="007E2E52">
                <w:t xml:space="preserve"> are considered to</w:t>
              </w:r>
            </w:ins>
            <w:ins w:id="71" w:author="YinghaoGuo" w:date="2021-01-13T11:15:00Z">
              <w:r w:rsidRPr="00196C3C">
                <w:t xml:space="preserve"> have already been supported by UE and can be reused for </w:t>
              </w:r>
            </w:ins>
            <w:ins w:id="72" w:author="YinghaoGuo" w:date="2021-01-27T17:04:00Z">
              <w:r w:rsidR="00EF5EB0">
                <w:t>positioning</w:t>
              </w:r>
            </w:ins>
            <w:ins w:id="73"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4" w:author="YinghaoGuo" w:date="2021-01-13T11:15:00Z"/>
              </w:rPr>
            </w:pPr>
            <w:ins w:id="75" w:author="YinghaoGuo" w:date="2021-01-13T11:15:00Z">
              <w:r>
                <w:t>On-demand SI request in RRC_INACTIVE for assistance data delivery</w:t>
              </w:r>
            </w:ins>
            <w:ins w:id="76" w:author="YinghaoGuo" w:date="2021-01-27T17:05:00Z">
              <w:r w:rsidR="00870B8E">
                <w:t xml:space="preserve"> by broadcast</w:t>
              </w:r>
            </w:ins>
            <w:ins w:id="77" w:author="YinghaoGuo" w:date="2021-01-13T11:15:00Z">
              <w:r>
                <w:t xml:space="preserve"> in </w:t>
              </w:r>
            </w:ins>
            <w:ins w:id="78" w:author="YinghaoGuo" w:date="2021-01-13T11:18:00Z">
              <w:r>
                <w:t>RRC_</w:t>
              </w:r>
            </w:ins>
            <w:ins w:id="79"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0" w:author="YinghaoGuo" w:date="2021-01-13T11:15:00Z"/>
              </w:rPr>
            </w:pPr>
            <w:ins w:id="81" w:author="YinghaoGuo" w:date="2021-01-27T16:55:00Z">
              <w:r>
                <w:rPr>
                  <w:i/>
                </w:rPr>
                <w:t>ProvideAssistance</w:t>
              </w:r>
              <w:r w:rsidR="008E5726">
                <w:rPr>
                  <w:i/>
                </w:rPr>
                <w:t>Data</w:t>
              </w:r>
            </w:ins>
            <w:ins w:id="82"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ins w:id="83" w:author="YinghaoGuo" w:date="2021-01-13T11:15:00Z">
              <w:r>
                <w:rPr>
                  <w:i/>
                </w:rPr>
                <w:t>RequestLocationInformation</w:t>
              </w:r>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4" w:author="YinghaoGuo" w:date="2021-01-27T16:54:00Z"/>
              </w:rPr>
            </w:pPr>
            <w:ins w:id="85" w:author="YinghaoGuo" w:date="2021-01-11T19:15:00Z">
              <w:r w:rsidRPr="00613B63">
                <w:t>Reporting of PRS measurement perfo</w:t>
              </w:r>
              <w:r>
                <w:t xml:space="preserve">rmed in </w:t>
              </w:r>
            </w:ins>
            <w:ins w:id="86" w:author="YinghaoGuo" w:date="2021-01-11T19:18:00Z">
              <w:r>
                <w:t>RRC</w:t>
              </w:r>
            </w:ins>
            <w:ins w:id="87" w:author="YinghaoGuo" w:date="2021-01-11T19:25:00Z">
              <w:r>
                <w:t>_</w:t>
              </w:r>
            </w:ins>
            <w:ins w:id="88" w:author="YinghaoGuo" w:date="2021-01-11T19:15:00Z">
              <w:r>
                <w:t xml:space="preserve">INACTIVE </w:t>
              </w:r>
              <w:r w:rsidRPr="00613B63">
                <w:t>when the UE is in RRC_INACTIVE</w:t>
              </w:r>
            </w:ins>
            <w:ins w:id="89" w:author="YinghaoGuo" w:date="2021-01-11T19:18:00Z">
              <w:r w:rsidRPr="007B5E0E">
                <w:rPr>
                  <w:color w:val="FF0000"/>
                  <w:highlight w:val="yellow"/>
                </w:rPr>
                <w:t>/RRC_CONNETED</w:t>
              </w:r>
            </w:ins>
            <w:ins w:id="90"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1"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4B706621" w14:textId="18F6D387" w:rsidR="007C3B45" w:rsidRPr="007660DF" w:rsidRDefault="007C3B45" w:rsidP="003D25F3">
            <w:pPr>
              <w:overflowPunct/>
              <w:autoSpaceDE/>
              <w:autoSpaceDN/>
              <w:adjustRightInd/>
              <w:spacing w:after="0"/>
              <w:textAlignment w:val="auto"/>
              <w:rPr>
                <w:lang w:eastAsia="zh-CN"/>
              </w:rPr>
            </w:pPr>
            <w:r>
              <w:rPr>
                <w:lang w:eastAsia="zh-CN"/>
              </w:rPr>
              <w:t>Also agree with Intel, that RRC_CONNECTED should be removed.</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2" w:author="YinghaoGuo" w:date="2021-01-11T19:26:00Z"/>
              </w:rPr>
            </w:pPr>
            <w:ins w:id="93" w:author="YinghaoGuo" w:date="2021-01-11T19:26:00Z">
              <w:r w:rsidRPr="009F553C">
                <w:rPr>
                  <w:rFonts w:hint="eastAsia"/>
                </w:rPr>
                <w:t>T</w:t>
              </w:r>
              <w:r w:rsidRPr="009F553C">
                <w:t>he followi</w:t>
              </w:r>
              <w:r w:rsidRPr="008917AE">
                <w:t>ng</w:t>
              </w:r>
              <w:r w:rsidRPr="009F553C">
                <w:t xml:space="preserve"> procedures are </w:t>
              </w:r>
            </w:ins>
            <w:ins w:id="94" w:author="YinghaoGuo" w:date="2021-01-13T11:15:00Z">
              <w:r>
                <w:t xml:space="preserve">recommended for normative </w:t>
              </w:r>
            </w:ins>
            <w:ins w:id="95" w:author="YinghaoGuo" w:date="2021-01-13T11:18:00Z">
              <w:r>
                <w:t>work</w:t>
              </w:r>
              <w:r w:rsidRPr="009F553C">
                <w:t xml:space="preserve"> for</w:t>
              </w:r>
            </w:ins>
            <w:ins w:id="96"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7" w:author="YinghaoGuo" w:date="2021-01-11T19:26:00Z"/>
                <w:del w:id="98" w:author="YinghaoGuo_v2" w:date="2021-01-12T17:12:00Z"/>
              </w:rPr>
            </w:pPr>
            <w:ins w:id="99"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0" w:author="YinghaoGuo" w:date="2021-01-13T11:14:00Z"/>
              </w:rPr>
            </w:pPr>
          </w:p>
          <w:p w14:paraId="3A733948" w14:textId="38AA26FE" w:rsidR="00D1645A" w:rsidRPr="00196C3C" w:rsidRDefault="00D1645A" w:rsidP="00D1645A">
            <w:pPr>
              <w:pStyle w:val="NO"/>
              <w:spacing w:after="0"/>
              <w:rPr>
                <w:ins w:id="101" w:author="YinghaoGuo" w:date="2021-01-13T11:14:00Z"/>
              </w:rPr>
            </w:pPr>
            <w:ins w:id="102" w:author="YinghaoGuo" w:date="2021-01-13T11:14:00Z">
              <w:r w:rsidRPr="00196C3C">
                <w:t xml:space="preserve">NOTE: The following procedures </w:t>
              </w:r>
            </w:ins>
            <w:ins w:id="103" w:author="YinghaoGuo" w:date="2021-01-27T17:04:00Z">
              <w:r w:rsidR="00816E6C">
                <w:t xml:space="preserve">are considered to </w:t>
              </w:r>
            </w:ins>
            <w:ins w:id="104" w:author="YinghaoGuo" w:date="2021-01-13T11:14:00Z">
              <w:r w:rsidRPr="00196C3C">
                <w:t xml:space="preserve">have already been supported by UE and can be reused for </w:t>
              </w:r>
            </w:ins>
            <w:ins w:id="105" w:author="YinghaoGuo" w:date="2021-01-27T17:04:00Z">
              <w:r w:rsidR="00DB29E6">
                <w:t>positioning</w:t>
              </w:r>
            </w:ins>
            <w:ins w:id="106"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7" w:author="YinghaoGuo" w:date="2021-01-13T11:14:00Z"/>
              </w:rPr>
            </w:pPr>
            <w:ins w:id="108" w:author="YinghaoGuo" w:date="2021-01-13T11:14:00Z">
              <w:r>
                <w:t xml:space="preserve">On-demand SI request in RRC_IDLE for assistance data delivery </w:t>
              </w:r>
            </w:ins>
            <w:ins w:id="109" w:author="YinghaoGuo" w:date="2021-01-27T17:05:00Z">
              <w:r w:rsidR="00870B8E">
                <w:t xml:space="preserve">by broadcast </w:t>
              </w:r>
            </w:ins>
            <w:ins w:id="110"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1" w:author="YinghaoGuo" w:date="2021-01-13T11:14:00Z"/>
              </w:rPr>
            </w:pPr>
            <w:ins w:id="112" w:author="YinghaoGuo" w:date="2021-01-27T16:55:00Z">
              <w:r>
                <w:rPr>
                  <w:i/>
                </w:rPr>
                <w:t>ProvideAssistanceData</w:t>
              </w:r>
            </w:ins>
            <w:ins w:id="113" w:author="YinghaoGuo" w:date="2021-01-27T17:03:00Z">
              <w:r>
                <w:rPr>
                  <w:i/>
                </w:rPr>
                <w:t xml:space="preserve"> </w:t>
              </w:r>
              <w:r w:rsidR="00541019">
                <w:t>can be s</w:t>
              </w:r>
              <w:r>
                <w:t>ent</w:t>
              </w:r>
            </w:ins>
            <w:ins w:id="114"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ins w:id="115" w:author="YinghaoGuo" w:date="2021-01-13T11:14:00Z">
              <w:r>
                <w:rPr>
                  <w:i/>
                </w:rPr>
                <w:t>RequestLocationInformation</w:t>
              </w:r>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lastRenderedPageBreak/>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16" w:author="YinghaoGuo" w:date="2021-01-11T19:43:00Z"/>
              </w:rPr>
            </w:pPr>
            <w:ins w:id="117" w:author="YinghaoGuo" w:date="2021-01-11T19:42:00Z">
              <w:r>
                <w:rPr>
                  <w:rFonts w:hint="eastAsia"/>
                </w:rPr>
                <w:t>1</w:t>
              </w:r>
              <w:r>
                <w:t>0.1.</w:t>
              </w:r>
            </w:ins>
            <w:ins w:id="118" w:author="YinghaoGuo" w:date="2021-01-13T11:13:00Z">
              <w:r>
                <w:t>c</w:t>
              </w:r>
            </w:ins>
            <w:ins w:id="119" w:author="YinghaoGuo" w:date="2021-01-11T19:42:00Z">
              <w:r>
                <w:t xml:space="preserve"> RAT-Independent positioning</w:t>
              </w:r>
            </w:ins>
          </w:p>
          <w:p w14:paraId="562B2DC3" w14:textId="5447996B" w:rsidR="00156099" w:rsidRPr="00251147" w:rsidRDefault="00251147" w:rsidP="00251147">
            <w:ins w:id="120" w:author="YinghaoGuo" w:date="2021-01-11T20:08:00Z">
              <w:r>
                <w:rPr>
                  <w:rFonts w:hint="cs"/>
                </w:rPr>
                <w:t>R</w:t>
              </w:r>
              <w:r>
                <w:t xml:space="preserve">AT-Independent positioning in RRC_IDLE/INACTIVE is </w:t>
              </w:r>
            </w:ins>
            <w:ins w:id="121" w:author="YinghaoGuo" w:date="2021-01-13T11:14:00Z">
              <w:r>
                <w:t>recommended for normative work</w:t>
              </w:r>
            </w:ins>
            <w:ins w:id="122" w:author="YinghaoGuo" w:date="2021-01-11T20:08:00Z">
              <w:r>
                <w:t xml:space="preserve">. </w:t>
              </w:r>
            </w:ins>
            <w:ins w:id="123"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5EDA875B" w14:textId="22327BA6"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roposal5: RAN2 should discuss whether UE can report the RRM measurement performed in RRC_INACTIVE to the network in RRC message for UL E-CID. UL E-CID procedure has already been supported by NRPPa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eDCCA,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lastRenderedPageBreak/>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Proposal17: RAN2 should discuss whether the current stage3 spec already supports the NRPPa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he current stage3 spec already supports the NRPPa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lastRenderedPageBreak/>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LocationNotification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EventReport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PeriodicTriggeredInvoke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CancelDeferredLocation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MSCancelDeferredLocation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LocationPrivacySetting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lastRenderedPageBreak/>
        <w:t xml:space="preserve">Another question is that </w:t>
      </w:r>
      <w:r w:rsidR="006D3D2D">
        <w:rPr>
          <w:szCs w:val="22"/>
          <w:lang w:val="en-GB" w:eastAsia="zh-CN"/>
        </w:rPr>
        <w:t>what downlink LCS message to support in RRC_INACTIVE. For the downlink, there are generally two types of DL LCS signalling messages: (a) unsolicited DL LCS message, e.g., LocationNotification;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4"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141.5pt" o:ole="">
            <v:imagedata r:id="rId14" o:title="" cropbottom="3003f"/>
          </v:shape>
          <o:OLEObject Type="Embed" ProgID="Mscgen.Chart" ShapeID="_x0000_i1025" DrawAspect="Content" ObjectID="_1673311219" r:id="rId15"/>
        </w:object>
      </w:r>
      <w:bookmarkEnd w:id="124"/>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8B74B2">
            <w:pPr>
              <w:pStyle w:val="3GPPText"/>
              <w:rPr>
                <w:lang w:val="en-GB" w:eastAsia="zh-CN"/>
              </w:rPr>
            </w:pPr>
            <w:r>
              <w:rPr>
                <w:lang w:val="en-GB" w:eastAsia="zh-CN"/>
              </w:rPr>
              <w:t>Intel</w:t>
            </w: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0821D2BE" w:rsidR="00C2149A" w:rsidRPr="00C84D3B" w:rsidRDefault="00B04C23" w:rsidP="008B74B2">
            <w:pPr>
              <w:pStyle w:val="3GPPText"/>
              <w:rPr>
                <w:lang w:val="en-GB" w:eastAsia="zh-CN"/>
              </w:rPr>
            </w:pPr>
            <w:r>
              <w:rPr>
                <w:lang w:val="en-GB" w:eastAsia="zh-CN"/>
              </w:rPr>
              <w:t>Y</w:t>
            </w:r>
          </w:p>
        </w:tc>
        <w:tc>
          <w:tcPr>
            <w:tcW w:w="6139" w:type="dxa"/>
          </w:tcPr>
          <w:p w14:paraId="5201C8A2" w14:textId="6EC0FB32" w:rsidR="00C2149A" w:rsidRPr="00C84D3B" w:rsidRDefault="00B04C23" w:rsidP="008B74B2">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474131C7" w:rsidR="00C250B3" w:rsidRDefault="00C250B3" w:rsidP="00C250B3">
            <w:pPr>
              <w:pStyle w:val="3GPPText"/>
              <w:rPr>
                <w:lang w:val="en-GB" w:eastAsia="zh-CN"/>
              </w:rPr>
            </w:pPr>
            <w:r>
              <w:rPr>
                <w:rFonts w:hint="eastAsia"/>
                <w:lang w:val="en-GB" w:eastAsia="zh-CN"/>
              </w:rPr>
              <w:t>v</w:t>
            </w:r>
            <w:r>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6977043B" w:rsidR="00F40B08" w:rsidRDefault="00F40B08" w:rsidP="00F40B08">
            <w:pPr>
              <w:pStyle w:val="3GPPText"/>
              <w:rPr>
                <w:lang w:val="en-GB" w:eastAsia="zh-CN"/>
              </w:rPr>
            </w:pPr>
            <w:r>
              <w:rPr>
                <w:lang w:val="en-GB" w:eastAsia="zh-CN"/>
              </w:rPr>
              <w:t>(It's not clear whether the ACK is considered solicited or unsolicited in this context)</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sidRPr="006F25E5">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228C58EB" w14:textId="51BD8F57" w:rsidR="0008679F" w:rsidRPr="00E37EB1" w:rsidRDefault="0008679F" w:rsidP="0008679F">
            <w:pPr>
              <w:pStyle w:val="3GPPText"/>
              <w:rPr>
                <w:lang w:val="en-GB" w:eastAsia="zh-CN"/>
              </w:rPr>
            </w:pPr>
            <w:r>
              <w:rPr>
                <w:lang w:val="en-GB" w:eastAsia="zh-CN"/>
              </w:rPr>
              <w:t>Note also, even for a "plain" LPP message, an LPP ACK may be needed.</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NRPPa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Proposal21: RAN2 doesn’t need to discuss the transport of non-UE-associated NRPPa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05B65" w14:textId="77777777" w:rsidR="00BB09A9" w:rsidRDefault="00BB09A9">
      <w:pPr>
        <w:spacing w:after="0"/>
      </w:pPr>
      <w:r>
        <w:separator/>
      </w:r>
    </w:p>
  </w:endnote>
  <w:endnote w:type="continuationSeparator" w:id="0">
    <w:p w14:paraId="636A0CB8" w14:textId="77777777" w:rsidR="00BB09A9" w:rsidRDefault="00BB0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1D34">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1D34">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E1D3D" w14:textId="77777777" w:rsidR="00BB09A9" w:rsidRDefault="00BB09A9">
      <w:pPr>
        <w:spacing w:after="0"/>
      </w:pPr>
      <w:r>
        <w:separator/>
      </w:r>
    </w:p>
  </w:footnote>
  <w:footnote w:type="continuationSeparator" w:id="0">
    <w:p w14:paraId="4E540A4F" w14:textId="77777777" w:rsidR="00BB09A9" w:rsidRDefault="00BB0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04C6"/>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5E0C"/>
    <w:rsid w:val="00660671"/>
    <w:rsid w:val="00661FE8"/>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745"/>
    <w:rsid w:val="007B389C"/>
    <w:rsid w:val="007B3D50"/>
    <w:rsid w:val="007B4AFA"/>
    <w:rsid w:val="007B5E0E"/>
    <w:rsid w:val="007B7073"/>
    <w:rsid w:val="007B7155"/>
    <w:rsid w:val="007B7E5B"/>
    <w:rsid w:val="007C0106"/>
    <w:rsid w:val="007C1694"/>
    <w:rsid w:val="007C2756"/>
    <w:rsid w:val="007C3195"/>
    <w:rsid w:val="007C36A8"/>
    <w:rsid w:val="007C3B45"/>
    <w:rsid w:val="007C4AE1"/>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styleId="UnresolvedMention">
    <w:name w:val="Unresolved Mention"/>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Fredrik.gunnarsson@ericsson.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289199-8967-4432-A674-1246141DD8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5640</Words>
  <Characters>32153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Qualcomm1</cp:lastModifiedBy>
  <cp:revision>42</cp:revision>
  <dcterms:created xsi:type="dcterms:W3CDTF">2021-01-27T19:55:00Z</dcterms:created>
  <dcterms:modified xsi:type="dcterms:W3CDTF">2021-01-28T11:54:00Z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