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[AT113-e][303][NBIOT/eMTC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p>
    <w:p w14:paraId="1C391CEC" w14:textId="77777777" w:rsidR="007749A5" w:rsidRDefault="00572629">
      <w:pPr>
        <w:pStyle w:val="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[AT113-e][303][NBIOT/eMTC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af3"/>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af3"/>
            <w:highlight w:val="yellow"/>
          </w:rPr>
          <w:t>R2-2101085</w:t>
        </w:r>
      </w:hyperlink>
      <w:r w:rsidRPr="00372701">
        <w:rPr>
          <w:highlight w:val="yellow"/>
        </w:rPr>
        <w:t xml:space="preserve"> and/or </w:t>
      </w:r>
      <w:hyperlink r:id="rId15" w:tooltip="https://www.3gpp.org/ftp/tsg_ran/WG2_RL2/TSGR2_113-e/Docs/R2-2101551.zip" w:history="1">
        <w:r w:rsidRPr="00372701">
          <w:rPr>
            <w:rStyle w:val="af3"/>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af3"/>
          </w:rPr>
          <w:t>R2-2101085</w:t>
        </w:r>
      </w:hyperlink>
      <w:r w:rsidRPr="00BC7DC9">
        <w:t xml:space="preserve"> and </w:t>
      </w:r>
      <w:hyperlink r:id="rId17" w:tooltip="https://www.3gpp.org/ftp/tsg_ran/WG2_RL2/TSGR2_113-e/Docs/R2-2101551.zip" w:history="1">
        <w:r w:rsidRPr="007403FB">
          <w:rPr>
            <w:rStyle w:val="af3"/>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77777777" w:rsidR="00372701" w:rsidRDefault="00372701" w:rsidP="00372701">
      <w:pPr>
        <w:pStyle w:val="EmailDiscussion2"/>
      </w:pPr>
      <w:r w:rsidRPr="00BC7DC9">
        <w:tab/>
      </w:r>
      <w:r w:rsidRPr="00372701">
        <w:rPr>
          <w:highlight w:val="yellow"/>
        </w:rPr>
        <w:t>Week 1: Jan 28 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1"/>
        <w:rPr>
          <w:rFonts w:cs="Arial"/>
        </w:rPr>
      </w:pPr>
      <w:r>
        <w:rPr>
          <w:rFonts w:cs="Arial"/>
        </w:rPr>
        <w:t>Discussion</w:t>
      </w:r>
    </w:p>
    <w:p w14:paraId="4ADCB027" w14:textId="51BEE889" w:rsidR="00372701" w:rsidRDefault="00372701" w:rsidP="00372701">
      <w:pPr>
        <w:pStyle w:val="2"/>
      </w:pPr>
      <w:bookmarkStart w:id="0" w:name="OLE_LINK225"/>
      <w:bookmarkStart w:id="1" w:name="OLE_LINK219"/>
      <w:bookmarkStart w:id="2" w:name="OLE_LINK220"/>
      <w:bookmarkStart w:id="3" w:name="OLE_LINK170"/>
      <w:bookmarkStart w:id="4" w:name="OLE_LINK226"/>
      <w:bookmarkStart w:id="5"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af3"/>
          </w:rPr>
          <w:t>R2-2101033</w:t>
        </w:r>
      </w:hyperlink>
      <w:r>
        <w:t xml:space="preserve">, </w:t>
      </w:r>
      <w:r w:rsidRPr="00372701">
        <w:t>(N)RSRP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(N)RSRP reference be updated</w:t>
      </w:r>
      <w:r>
        <w:t>, the following summary was made</w:t>
      </w:r>
      <w:r>
        <w:rPr>
          <w:rFonts w:hint="eastAsia"/>
        </w:rPr>
        <w:t>:</w:t>
      </w:r>
    </w:p>
    <w:tbl>
      <w:tblPr>
        <w:tblStyle w:val="af0"/>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af0"/>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lastRenderedPageBreak/>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lastRenderedPageBreak/>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af6"/>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af6"/>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af6"/>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(N)RSRP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(N)RSRP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42A08BFA"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7A87B10F" w:rsidR="00372701" w:rsidRDefault="00372701">
            <w:pPr>
              <w:overflowPunct/>
              <w:spacing w:before="60" w:after="60"/>
              <w:jc w:val="left"/>
              <w:rPr>
                <w:lang w:eastAsia="en-US"/>
              </w:rPr>
            </w:pPr>
          </w:p>
        </w:tc>
      </w:tr>
      <w:tr w:rsidR="00372701" w14:paraId="1AA9AF07"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00DF4DB9"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8644B4D" w14:textId="2426D5A8" w:rsidR="00372701" w:rsidRDefault="00372701">
            <w:pPr>
              <w:overflowPunct/>
              <w:spacing w:before="60" w:after="60"/>
              <w:jc w:val="left"/>
              <w:rPr>
                <w:lang w:eastAsia="en-US"/>
              </w:rPr>
            </w:pPr>
          </w:p>
        </w:tc>
      </w:tr>
      <w:tr w:rsidR="00372701" w14:paraId="1FBD0BA9"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11B574D2"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DB6FAB6" w14:textId="77777777" w:rsidR="00372701" w:rsidRDefault="00372701">
            <w:pPr>
              <w:overflowPunct/>
              <w:spacing w:before="60" w:after="60"/>
              <w:rPr>
                <w:lang w:eastAsia="en-US"/>
              </w:rPr>
            </w:pPr>
          </w:p>
        </w:tc>
      </w:tr>
      <w:tr w:rsidR="00372701"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4EF9077A" w14:textId="77777777" w:rsidR="00372701" w:rsidRDefault="00372701">
            <w:pPr>
              <w:overflowPunct/>
              <w:spacing w:before="60" w:after="60"/>
              <w:rPr>
                <w:lang w:eastAsia="en-US"/>
              </w:rPr>
            </w:pPr>
          </w:p>
        </w:tc>
      </w:tr>
      <w:tr w:rsidR="00372701"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372701" w:rsidRDefault="00372701">
            <w:pPr>
              <w:overflowPunct/>
              <w:spacing w:before="60" w:after="60"/>
              <w:rPr>
                <w:lang w:eastAsia="en-US"/>
              </w:rPr>
            </w:pPr>
          </w:p>
        </w:tc>
      </w:tr>
      <w:tr w:rsidR="00372701"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372701" w:rsidRDefault="00372701">
            <w:pPr>
              <w:overflowPunct/>
              <w:spacing w:before="60" w:after="60"/>
              <w:rPr>
                <w:lang w:eastAsia="en-US"/>
              </w:rPr>
            </w:pPr>
          </w:p>
        </w:tc>
      </w:tr>
      <w:tr w:rsidR="00372701"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372701" w:rsidRDefault="00372701">
            <w:pPr>
              <w:overflowPunct/>
              <w:spacing w:before="60" w:after="60"/>
              <w:rPr>
                <w:lang w:eastAsia="en-US"/>
              </w:rPr>
            </w:pPr>
          </w:p>
        </w:tc>
      </w:tr>
    </w:tbl>
    <w:p w14:paraId="1D848360" w14:textId="77777777" w:rsidR="00372701" w:rsidRDefault="00372701"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(N)RSRP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(N)RSRP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6DB100BE" w:rsidR="00AF3C4C" w:rsidRDefault="00AF3C4C" w:rsidP="003C460B">
            <w:pPr>
              <w:overflowPunct/>
              <w:spacing w:before="60" w:after="60"/>
              <w:textAlignment w:val="auto"/>
            </w:pPr>
          </w:p>
        </w:tc>
        <w:tc>
          <w:tcPr>
            <w:tcW w:w="1498" w:type="dxa"/>
          </w:tcPr>
          <w:p w14:paraId="0C43430C" w14:textId="33E184D0" w:rsidR="00AF3C4C" w:rsidRDefault="00AF3C4C" w:rsidP="003C460B">
            <w:pPr>
              <w:overflowPunct/>
              <w:spacing w:before="60" w:after="60"/>
              <w:textAlignment w:val="auto"/>
            </w:pPr>
          </w:p>
        </w:tc>
        <w:tc>
          <w:tcPr>
            <w:tcW w:w="6264" w:type="dxa"/>
            <w:shd w:val="clear" w:color="auto" w:fill="auto"/>
            <w:vAlign w:val="center"/>
          </w:tcPr>
          <w:p w14:paraId="221DC074" w14:textId="49E36689" w:rsidR="00AF3C4C" w:rsidRPr="00AF3C4C" w:rsidRDefault="00AF3C4C" w:rsidP="00AF3C4C">
            <w:pPr>
              <w:overflowPunct/>
              <w:snapToGrid w:val="0"/>
              <w:spacing w:before="60"/>
              <w:jc w:val="left"/>
              <w:textAlignment w:val="auto"/>
              <w:rPr>
                <w:sz w:val="18"/>
                <w:szCs w:val="18"/>
                <w:lang w:val="en-US"/>
              </w:rPr>
            </w:pPr>
          </w:p>
        </w:tc>
      </w:tr>
      <w:tr w:rsidR="00AF3C4C" w14:paraId="47A56884" w14:textId="77777777" w:rsidTr="00AF3C4C">
        <w:trPr>
          <w:trHeight w:val="167"/>
          <w:jc w:val="center"/>
        </w:trPr>
        <w:tc>
          <w:tcPr>
            <w:tcW w:w="1931" w:type="dxa"/>
            <w:shd w:val="clear" w:color="auto" w:fill="FFFFFF"/>
            <w:noWrap/>
            <w:vAlign w:val="center"/>
          </w:tcPr>
          <w:p w14:paraId="6C2C417E" w14:textId="6496467B" w:rsidR="00AF3C4C" w:rsidRDefault="00AF3C4C" w:rsidP="003C460B">
            <w:pPr>
              <w:overflowPunct/>
              <w:spacing w:before="60" w:after="60"/>
              <w:textAlignment w:val="auto"/>
            </w:pPr>
          </w:p>
        </w:tc>
        <w:tc>
          <w:tcPr>
            <w:tcW w:w="1498" w:type="dxa"/>
          </w:tcPr>
          <w:p w14:paraId="78D95F21" w14:textId="6BB6F307" w:rsidR="00AF3C4C" w:rsidRDefault="00AF3C4C" w:rsidP="003C460B">
            <w:pPr>
              <w:overflowPunct/>
              <w:spacing w:before="60" w:after="60"/>
              <w:textAlignment w:val="auto"/>
            </w:pPr>
          </w:p>
        </w:tc>
        <w:tc>
          <w:tcPr>
            <w:tcW w:w="6264" w:type="dxa"/>
            <w:shd w:val="clear" w:color="auto" w:fill="auto"/>
            <w:vAlign w:val="center"/>
          </w:tcPr>
          <w:p w14:paraId="21D6C738" w14:textId="3A76696B" w:rsidR="00AF3C4C" w:rsidRDefault="00AF3C4C" w:rsidP="00AF3C4C">
            <w:pPr>
              <w:overflowPunct/>
              <w:spacing w:before="60" w:after="60"/>
              <w:jc w:val="left"/>
              <w:textAlignment w:val="auto"/>
            </w:pPr>
          </w:p>
        </w:tc>
      </w:tr>
      <w:tr w:rsidR="00AF3C4C" w14:paraId="2052F959" w14:textId="77777777" w:rsidTr="00AF3C4C">
        <w:trPr>
          <w:trHeight w:val="167"/>
          <w:jc w:val="center"/>
        </w:trPr>
        <w:tc>
          <w:tcPr>
            <w:tcW w:w="1931" w:type="dxa"/>
            <w:shd w:val="clear" w:color="auto" w:fill="FFFFFF"/>
            <w:noWrap/>
            <w:vAlign w:val="center"/>
          </w:tcPr>
          <w:p w14:paraId="2FA75A22" w14:textId="4387D9EF" w:rsidR="00AF3C4C" w:rsidRDefault="00AF3C4C" w:rsidP="003C460B">
            <w:pPr>
              <w:overflowPunct/>
              <w:spacing w:before="60" w:after="60"/>
              <w:textAlignment w:val="auto"/>
            </w:pPr>
          </w:p>
        </w:tc>
        <w:tc>
          <w:tcPr>
            <w:tcW w:w="1498" w:type="dxa"/>
          </w:tcPr>
          <w:p w14:paraId="42399D72" w14:textId="741ACF19" w:rsidR="00AF3C4C" w:rsidRDefault="00AF3C4C" w:rsidP="003C460B">
            <w:pPr>
              <w:overflowPunct/>
              <w:spacing w:before="60" w:after="60"/>
              <w:textAlignment w:val="auto"/>
            </w:pPr>
          </w:p>
        </w:tc>
        <w:tc>
          <w:tcPr>
            <w:tcW w:w="6264" w:type="dxa"/>
            <w:shd w:val="clear" w:color="auto" w:fill="auto"/>
            <w:vAlign w:val="center"/>
          </w:tcPr>
          <w:p w14:paraId="0D055322" w14:textId="77777777" w:rsidR="00AF3C4C" w:rsidRDefault="00AF3C4C" w:rsidP="003C460B">
            <w:pPr>
              <w:overflowPunct/>
              <w:spacing w:before="60" w:after="60"/>
              <w:textAlignment w:val="auto"/>
            </w:pPr>
          </w:p>
        </w:tc>
      </w:tr>
      <w:tr w:rsidR="00AF3C4C" w14:paraId="568E1CE3" w14:textId="77777777" w:rsidTr="00AF3C4C">
        <w:trPr>
          <w:trHeight w:val="167"/>
          <w:jc w:val="center"/>
        </w:trPr>
        <w:tc>
          <w:tcPr>
            <w:tcW w:w="1931" w:type="dxa"/>
            <w:shd w:val="clear" w:color="auto" w:fill="FFFFFF"/>
            <w:noWrap/>
          </w:tcPr>
          <w:p w14:paraId="2A349570" w14:textId="6B89FE77" w:rsidR="00AF3C4C" w:rsidRDefault="00AF3C4C" w:rsidP="003C460B">
            <w:pPr>
              <w:overflowPunct/>
              <w:spacing w:before="60" w:after="60"/>
              <w:textAlignment w:val="auto"/>
            </w:pPr>
          </w:p>
        </w:tc>
        <w:tc>
          <w:tcPr>
            <w:tcW w:w="1498" w:type="dxa"/>
          </w:tcPr>
          <w:p w14:paraId="3E55B5D1" w14:textId="4DC0765F" w:rsidR="00AF3C4C" w:rsidRDefault="00AF3C4C" w:rsidP="003C460B">
            <w:pPr>
              <w:overflowPunct/>
              <w:spacing w:before="60" w:after="60"/>
              <w:textAlignment w:val="auto"/>
            </w:pPr>
          </w:p>
        </w:tc>
        <w:tc>
          <w:tcPr>
            <w:tcW w:w="6264" w:type="dxa"/>
            <w:shd w:val="clear" w:color="auto" w:fill="auto"/>
          </w:tcPr>
          <w:p w14:paraId="25700C21" w14:textId="77777777" w:rsidR="00AF3C4C" w:rsidRDefault="00AF3C4C" w:rsidP="003C460B">
            <w:pPr>
              <w:overflowPunct/>
              <w:spacing w:before="60" w:after="60"/>
              <w:textAlignment w:val="auto"/>
            </w:pPr>
          </w:p>
        </w:tc>
      </w:tr>
      <w:tr w:rsidR="00AF3C4C" w14:paraId="2AF72251" w14:textId="77777777" w:rsidTr="00AF3C4C">
        <w:trPr>
          <w:trHeight w:val="167"/>
          <w:jc w:val="center"/>
        </w:trPr>
        <w:tc>
          <w:tcPr>
            <w:tcW w:w="1931" w:type="dxa"/>
            <w:shd w:val="clear" w:color="auto" w:fill="FFFFFF"/>
            <w:noWrap/>
          </w:tcPr>
          <w:p w14:paraId="24F71492" w14:textId="12347C9B" w:rsidR="00AF3C4C" w:rsidRDefault="00AF3C4C" w:rsidP="003C460B">
            <w:pPr>
              <w:overflowPunct/>
              <w:spacing w:before="60" w:after="60"/>
              <w:textAlignment w:val="auto"/>
            </w:pPr>
          </w:p>
        </w:tc>
        <w:tc>
          <w:tcPr>
            <w:tcW w:w="1498" w:type="dxa"/>
          </w:tcPr>
          <w:p w14:paraId="35DCF24B" w14:textId="56D3B0DA" w:rsidR="00AF3C4C" w:rsidRDefault="00AF3C4C" w:rsidP="003C460B">
            <w:pPr>
              <w:overflowPunct/>
              <w:spacing w:before="60" w:after="60"/>
              <w:textAlignment w:val="auto"/>
            </w:pPr>
          </w:p>
        </w:tc>
        <w:tc>
          <w:tcPr>
            <w:tcW w:w="6264" w:type="dxa"/>
            <w:shd w:val="clear" w:color="auto" w:fill="auto"/>
          </w:tcPr>
          <w:p w14:paraId="3BA7AF26" w14:textId="27F400E9" w:rsidR="00AF3C4C" w:rsidRDefault="00AF3C4C" w:rsidP="00AF3C4C">
            <w:pPr>
              <w:overflowPunct/>
              <w:spacing w:before="60" w:after="60"/>
              <w:textAlignment w:val="auto"/>
            </w:pPr>
          </w:p>
        </w:tc>
      </w:tr>
      <w:tr w:rsidR="00AF3C4C" w14:paraId="0551EF7D" w14:textId="77777777" w:rsidTr="00AF3C4C">
        <w:trPr>
          <w:trHeight w:val="167"/>
          <w:jc w:val="center"/>
        </w:trPr>
        <w:tc>
          <w:tcPr>
            <w:tcW w:w="1931" w:type="dxa"/>
            <w:shd w:val="clear" w:color="auto" w:fill="FFFFFF"/>
            <w:noWrap/>
            <w:vAlign w:val="center"/>
          </w:tcPr>
          <w:p w14:paraId="65EC4B46" w14:textId="77777777" w:rsidR="00AF3C4C" w:rsidRDefault="00AF3C4C" w:rsidP="003C460B">
            <w:pPr>
              <w:overflowPunct/>
              <w:spacing w:before="60" w:after="60"/>
              <w:textAlignment w:val="auto"/>
            </w:pPr>
          </w:p>
        </w:tc>
        <w:tc>
          <w:tcPr>
            <w:tcW w:w="1498" w:type="dxa"/>
          </w:tcPr>
          <w:p w14:paraId="3510B211" w14:textId="77777777" w:rsidR="00AF3C4C" w:rsidRDefault="00AF3C4C" w:rsidP="003C460B">
            <w:pPr>
              <w:overflowPunct/>
              <w:spacing w:before="60" w:after="60"/>
              <w:textAlignment w:val="auto"/>
            </w:pPr>
          </w:p>
        </w:tc>
        <w:tc>
          <w:tcPr>
            <w:tcW w:w="6264" w:type="dxa"/>
            <w:shd w:val="clear" w:color="auto" w:fill="auto"/>
            <w:vAlign w:val="center"/>
          </w:tcPr>
          <w:p w14:paraId="5C8C16C2" w14:textId="77777777" w:rsidR="00AF3C4C" w:rsidRDefault="00AF3C4C" w:rsidP="003C460B">
            <w:pPr>
              <w:overflowPunct/>
              <w:spacing w:before="60" w:after="60"/>
              <w:textAlignment w:val="auto"/>
            </w:pPr>
          </w:p>
        </w:tc>
      </w:tr>
      <w:tr w:rsidR="00AF3C4C" w14:paraId="41753E4A" w14:textId="77777777" w:rsidTr="00AF3C4C">
        <w:trPr>
          <w:trHeight w:val="167"/>
          <w:jc w:val="center"/>
        </w:trPr>
        <w:tc>
          <w:tcPr>
            <w:tcW w:w="1931" w:type="dxa"/>
            <w:shd w:val="clear" w:color="auto" w:fill="FFFFFF"/>
            <w:noWrap/>
          </w:tcPr>
          <w:p w14:paraId="335D4E2D" w14:textId="77777777" w:rsidR="00AF3C4C" w:rsidRDefault="00AF3C4C" w:rsidP="003C460B">
            <w:pPr>
              <w:overflowPunct/>
              <w:spacing w:before="60" w:after="60"/>
              <w:textAlignment w:val="auto"/>
            </w:pPr>
          </w:p>
        </w:tc>
        <w:tc>
          <w:tcPr>
            <w:tcW w:w="1498" w:type="dxa"/>
          </w:tcPr>
          <w:p w14:paraId="1D8CDDEE" w14:textId="77777777" w:rsidR="00AF3C4C" w:rsidRDefault="00AF3C4C" w:rsidP="003C460B">
            <w:pPr>
              <w:overflowPunct/>
              <w:spacing w:before="60" w:after="60"/>
              <w:textAlignment w:val="auto"/>
            </w:pPr>
          </w:p>
        </w:tc>
        <w:tc>
          <w:tcPr>
            <w:tcW w:w="6264" w:type="dxa"/>
            <w:shd w:val="clear" w:color="auto" w:fill="auto"/>
          </w:tcPr>
          <w:p w14:paraId="402AB52C" w14:textId="77777777" w:rsidR="00AF3C4C" w:rsidRDefault="00AF3C4C" w:rsidP="003C460B">
            <w:pPr>
              <w:overflowPunct/>
              <w:spacing w:before="60" w:after="60"/>
              <w:textAlignment w:val="auto"/>
            </w:pPr>
          </w:p>
        </w:tc>
      </w:tr>
    </w:tbl>
    <w:p w14:paraId="3B0657CF" w14:textId="77777777" w:rsidR="00AF3C4C" w:rsidRDefault="00AF3C4C"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af3"/>
          </w:rPr>
          <w:t>R2-2101033</w:t>
        </w:r>
      </w:hyperlink>
      <w:r>
        <w:t xml:space="preserve"> and the above proposals 1 and 2, two CRs were submitted.</w:t>
      </w:r>
    </w:p>
    <w:p w14:paraId="162D3E9B" w14:textId="1E28ACB3" w:rsidR="00B87CBF" w:rsidRPr="00B87CBF" w:rsidRDefault="00B87CBF" w:rsidP="007E5655">
      <w:pPr>
        <w:overflowPunct/>
        <w:textAlignment w:val="auto"/>
        <w:rPr>
          <w:b/>
          <w:u w:val="single"/>
        </w:rPr>
      </w:pPr>
      <w:r w:rsidRPr="00B87CBF">
        <w:rPr>
          <w:rFonts w:hint="eastAsia"/>
          <w:b/>
          <w:u w:val="single"/>
        </w:rPr>
        <w:t>M</w:t>
      </w:r>
      <w:r w:rsidRPr="00B87CBF">
        <w:rPr>
          <w:b/>
          <w:u w:val="single"/>
        </w:rPr>
        <w:t>AC CR: R2-2101034</w:t>
      </w:r>
    </w:p>
    <w:p w14:paraId="5FA40D45" w14:textId="12BA496D"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R2-2101034</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77777777" w:rsidR="00B87CBF" w:rsidRDefault="00B87CBF" w:rsidP="003C460B">
            <w:pPr>
              <w:overflowPunct/>
              <w:spacing w:before="60" w:after="60"/>
              <w:jc w:val="left"/>
              <w:rPr>
                <w:lang w:eastAsia="en-US"/>
              </w:rPr>
            </w:pPr>
          </w:p>
        </w:tc>
      </w:tr>
      <w:tr w:rsidR="00B87CBF" w14:paraId="5C6C8AF4"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65EC305" w14:textId="77777777" w:rsidR="00B87CBF" w:rsidRDefault="00B87CBF" w:rsidP="003C460B">
            <w:pPr>
              <w:overflowPunct/>
              <w:spacing w:before="60" w:after="60"/>
              <w:jc w:val="left"/>
              <w:rPr>
                <w:lang w:eastAsia="en-US"/>
              </w:rPr>
            </w:pPr>
          </w:p>
        </w:tc>
      </w:tr>
      <w:tr w:rsidR="00B87CBF"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77777777" w:rsidR="00B87CBF" w:rsidRDefault="00B87CBF" w:rsidP="003C460B">
            <w:pPr>
              <w:overflowPunct/>
              <w:spacing w:before="60" w:after="60"/>
              <w:rPr>
                <w:lang w:eastAsia="en-US"/>
              </w:rPr>
            </w:pPr>
          </w:p>
        </w:tc>
      </w:tr>
      <w:tr w:rsidR="00B87CBF"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77777777" w:rsidR="00B87CBF" w:rsidRDefault="00B87CBF" w:rsidP="003C460B">
            <w:pPr>
              <w:overflowPunct/>
              <w:spacing w:before="60" w:after="60"/>
              <w:rPr>
                <w:lang w:eastAsia="en-US"/>
              </w:rPr>
            </w:pPr>
          </w:p>
        </w:tc>
      </w:tr>
      <w:tr w:rsidR="00B87CBF" w14:paraId="688954E3"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A401C44" w14:textId="77777777" w:rsidR="00B87CBF" w:rsidRDefault="00B87CBF" w:rsidP="003C460B">
            <w:pPr>
              <w:overflowPunct/>
              <w:spacing w:before="60" w:after="60"/>
              <w:rPr>
                <w:lang w:eastAsia="en-US"/>
              </w:rPr>
            </w:pPr>
          </w:p>
        </w:tc>
      </w:tr>
      <w:tr w:rsidR="00B87CBF" w14:paraId="43C3C696"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778A6FCA"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14EF84BB" w14:textId="77777777" w:rsidR="00B87CBF" w:rsidRDefault="00B87CBF" w:rsidP="003C460B">
            <w:pPr>
              <w:overflowPunct/>
              <w:spacing w:before="60" w:after="60"/>
              <w:rPr>
                <w:lang w:eastAsia="en-US"/>
              </w:rPr>
            </w:pPr>
          </w:p>
        </w:tc>
      </w:tr>
      <w:tr w:rsidR="00B87CBF"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B87CBF" w:rsidRDefault="00B87CBF" w:rsidP="003C460B">
            <w:pPr>
              <w:overflowPunct/>
              <w:spacing w:before="60" w:after="60"/>
              <w:rPr>
                <w:lang w:eastAsia="en-US"/>
              </w:rPr>
            </w:pPr>
          </w:p>
        </w:tc>
      </w:tr>
    </w:tbl>
    <w:p w14:paraId="32892F67" w14:textId="77777777" w:rsidR="00B87CBF" w:rsidRDefault="00B87CBF" w:rsidP="007E5655">
      <w:pPr>
        <w:overflowPunct/>
        <w:textAlignment w:val="auto"/>
      </w:pPr>
    </w:p>
    <w:p w14:paraId="6C4A6A19" w14:textId="5C409694" w:rsidR="00B87CBF" w:rsidRPr="00B87CBF" w:rsidRDefault="00B87CBF" w:rsidP="007E5655">
      <w:pPr>
        <w:overflowPunct/>
        <w:textAlignment w:val="auto"/>
        <w:rPr>
          <w:b/>
          <w:u w:val="single"/>
        </w:rPr>
      </w:pPr>
      <w:r w:rsidRPr="00B87CBF">
        <w:rPr>
          <w:b/>
          <w:u w:val="single"/>
        </w:rPr>
        <w:t>RRC CR: R2-2101035</w:t>
      </w:r>
    </w:p>
    <w:p w14:paraId="224F7271" w14:textId="02481E6F" w:rsidR="00B87CBF" w:rsidRDefault="00B87CBF" w:rsidP="00B87CBF">
      <w:pPr>
        <w:overflowPunct/>
        <w:rPr>
          <w:b/>
        </w:rPr>
      </w:pPr>
      <w:r>
        <w:rPr>
          <w:b/>
        </w:rPr>
        <w:t>Question 4. Based on reply to Questions 1 and 2, companies are invited to provide initial comments on MAC CR</w:t>
      </w:r>
      <w:r w:rsidRPr="00B87CBF">
        <w:rPr>
          <w:b/>
        </w:rPr>
        <w:t xml:space="preserve"> R2-2101035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77777777" w:rsidR="00B87CBF" w:rsidRDefault="00B87CBF" w:rsidP="003C460B">
            <w:pPr>
              <w:overflowPunct/>
              <w:spacing w:before="60" w:after="60"/>
              <w:jc w:val="left"/>
              <w:rPr>
                <w:lang w:eastAsia="en-US"/>
              </w:rPr>
            </w:pPr>
          </w:p>
        </w:tc>
      </w:tr>
      <w:tr w:rsidR="00B87CBF" w14:paraId="32D1331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0310B3DF" w14:textId="77777777" w:rsidR="00B87CBF" w:rsidRDefault="00B87CBF" w:rsidP="003C460B">
            <w:pPr>
              <w:overflowPunct/>
              <w:spacing w:before="60" w:after="60"/>
              <w:jc w:val="left"/>
              <w:rPr>
                <w:lang w:eastAsia="en-US"/>
              </w:rPr>
            </w:pPr>
          </w:p>
        </w:tc>
      </w:tr>
      <w:tr w:rsidR="00B87CBF"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77777777" w:rsidR="00B87CBF" w:rsidRDefault="00B87CBF" w:rsidP="003C460B">
            <w:pPr>
              <w:overflowPunct/>
              <w:spacing w:before="60" w:after="60"/>
              <w:rPr>
                <w:lang w:eastAsia="en-US"/>
              </w:rPr>
            </w:pPr>
          </w:p>
        </w:tc>
      </w:tr>
      <w:tr w:rsidR="00B87CBF"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7777777" w:rsidR="00B87CBF" w:rsidRDefault="00B87CBF" w:rsidP="003C460B">
            <w:pPr>
              <w:overflowPunct/>
              <w:spacing w:before="60" w:after="60"/>
              <w:rPr>
                <w:lang w:eastAsia="en-US"/>
              </w:rPr>
            </w:pPr>
          </w:p>
        </w:tc>
      </w:tr>
      <w:tr w:rsidR="00B87CBF"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77777777" w:rsidR="00B87CBF" w:rsidRDefault="00B87CBF" w:rsidP="003C460B">
            <w:pPr>
              <w:overflowPunct/>
              <w:spacing w:before="60" w:after="60"/>
              <w:rPr>
                <w:lang w:eastAsia="en-US"/>
              </w:rPr>
            </w:pPr>
          </w:p>
        </w:tc>
      </w:tr>
      <w:tr w:rsidR="00B87CBF" w14:paraId="39790BDD"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3749EF04"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A632B18" w14:textId="77777777" w:rsidR="00B87CBF" w:rsidRDefault="00B87CBF" w:rsidP="003C460B">
            <w:pPr>
              <w:overflowPunct/>
              <w:spacing w:before="60" w:after="60"/>
              <w:rPr>
                <w:lang w:eastAsia="en-US"/>
              </w:rPr>
            </w:pPr>
          </w:p>
        </w:tc>
      </w:tr>
      <w:tr w:rsidR="00B87CBF"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B87CBF" w:rsidRDefault="00B87CBF" w:rsidP="003C460B">
            <w:pPr>
              <w:overflowPunct/>
              <w:spacing w:before="60" w:after="60"/>
              <w:rPr>
                <w:lang w:eastAsia="en-US"/>
              </w:rPr>
            </w:pPr>
          </w:p>
        </w:tc>
      </w:tr>
    </w:tbl>
    <w:p w14:paraId="2BDF1D59" w14:textId="77777777" w:rsidR="00B87CBF" w:rsidRDefault="00B87CBF" w:rsidP="00B87CBF">
      <w:pPr>
        <w:overflowPunct/>
        <w:textAlignment w:val="auto"/>
      </w:pPr>
    </w:p>
    <w:p w14:paraId="11044009" w14:textId="2471C069" w:rsidR="00B87CBF" w:rsidRDefault="00B87CBF" w:rsidP="003C460B">
      <w:pPr>
        <w:pStyle w:val="2"/>
      </w:pPr>
      <w:r w:rsidRPr="00B87CBF">
        <w:t>R2-2101085</w:t>
      </w:r>
      <w:r w:rsidR="003C460B">
        <w:t xml:space="preserve"> </w:t>
      </w:r>
      <w:r w:rsidR="003C460B" w:rsidRPr="003C460B">
        <w:t>on Drb-ContinueROHC for UP-PUR</w:t>
      </w:r>
    </w:p>
    <w:p w14:paraId="6B19561C" w14:textId="202BE336" w:rsidR="00B87CBF" w:rsidRDefault="003C460B" w:rsidP="003C460B">
      <w:pPr>
        <w:overflowPunct/>
        <w:textAlignment w:val="auto"/>
      </w:pPr>
      <w:r>
        <w:t xml:space="preserve">In </w:t>
      </w:r>
      <w:hyperlink r:id="rId20" w:tooltip="https://www.3gpp.org/ftp/tsg_ran/WG2_RL2/TSGR2_113-e/Docs/R2-2101085.zip" w:history="1">
        <w:r w:rsidRPr="003C460B">
          <w:rPr>
            <w:rStyle w:val="af3"/>
          </w:rPr>
          <w:t>R2-2101085</w:t>
        </w:r>
      </w:hyperlink>
      <w:r>
        <w:t>, it was proposed to clarify that the field drb-ContinueROHC is optionally present if the UE supports UP-EDT or UP transmission using PUR, for the following reason:</w:t>
      </w:r>
    </w:p>
    <w:tbl>
      <w:tblPr>
        <w:tblStyle w:val="af0"/>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For UP-PUR transmission, it is supposed that the UE would continue the header compression protocol context for the DRBs configured with the header compression protocol, if drb-ContinueROHC has been provided in immediately preceding RRC connection release message. However, the condition tag “UP-EDT” for drb-ContinueROHC in the RRCConnectionRelease message restricts that this field can be only optionally present in the case of UP-EDT. As a result, the network cannot provide drb-ContinueROHC to a PUR-capable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af6"/>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2589CEAF" w14:textId="77777777" w:rsidTr="003C460B">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3C460B">
        <w:trPr>
          <w:trHeight w:val="167"/>
          <w:jc w:val="center"/>
        </w:trPr>
        <w:tc>
          <w:tcPr>
            <w:tcW w:w="1931" w:type="dxa"/>
            <w:shd w:val="clear" w:color="auto" w:fill="FFFFFF"/>
            <w:noWrap/>
            <w:vAlign w:val="center"/>
          </w:tcPr>
          <w:p w14:paraId="32CADD6D" w14:textId="77777777" w:rsidR="003C460B" w:rsidRDefault="003C460B" w:rsidP="003C460B">
            <w:pPr>
              <w:overflowPunct/>
              <w:spacing w:before="60" w:after="60"/>
              <w:textAlignment w:val="auto"/>
            </w:pPr>
          </w:p>
        </w:tc>
        <w:tc>
          <w:tcPr>
            <w:tcW w:w="1498" w:type="dxa"/>
          </w:tcPr>
          <w:p w14:paraId="2B9D6DE0" w14:textId="77777777" w:rsidR="003C460B" w:rsidRDefault="003C460B" w:rsidP="003C460B">
            <w:pPr>
              <w:overflowPunct/>
              <w:spacing w:before="60" w:after="60"/>
              <w:textAlignment w:val="auto"/>
            </w:pPr>
          </w:p>
        </w:tc>
        <w:tc>
          <w:tcPr>
            <w:tcW w:w="6264" w:type="dxa"/>
            <w:shd w:val="clear" w:color="auto" w:fill="auto"/>
            <w:vAlign w:val="center"/>
          </w:tcPr>
          <w:p w14:paraId="518CE498" w14:textId="77777777" w:rsidR="003C460B" w:rsidRPr="00AF3C4C" w:rsidRDefault="003C460B" w:rsidP="003C460B">
            <w:pPr>
              <w:overflowPunct/>
              <w:snapToGrid w:val="0"/>
              <w:spacing w:before="60"/>
              <w:jc w:val="left"/>
              <w:textAlignment w:val="auto"/>
              <w:rPr>
                <w:sz w:val="18"/>
                <w:szCs w:val="18"/>
                <w:lang w:val="en-US"/>
              </w:rPr>
            </w:pPr>
          </w:p>
        </w:tc>
      </w:tr>
      <w:tr w:rsidR="003C460B" w14:paraId="67D0F567" w14:textId="77777777" w:rsidTr="003C460B">
        <w:trPr>
          <w:trHeight w:val="167"/>
          <w:jc w:val="center"/>
        </w:trPr>
        <w:tc>
          <w:tcPr>
            <w:tcW w:w="1931" w:type="dxa"/>
            <w:shd w:val="clear" w:color="auto" w:fill="FFFFFF"/>
            <w:noWrap/>
            <w:vAlign w:val="center"/>
          </w:tcPr>
          <w:p w14:paraId="699FE932" w14:textId="77777777" w:rsidR="003C460B" w:rsidRDefault="003C460B" w:rsidP="003C460B">
            <w:pPr>
              <w:overflowPunct/>
              <w:spacing w:before="60" w:after="60"/>
              <w:textAlignment w:val="auto"/>
            </w:pPr>
          </w:p>
        </w:tc>
        <w:tc>
          <w:tcPr>
            <w:tcW w:w="1498" w:type="dxa"/>
          </w:tcPr>
          <w:p w14:paraId="36C2131C" w14:textId="77777777" w:rsidR="003C460B" w:rsidRDefault="003C460B" w:rsidP="003C460B">
            <w:pPr>
              <w:overflowPunct/>
              <w:spacing w:before="60" w:after="60"/>
              <w:textAlignment w:val="auto"/>
            </w:pPr>
          </w:p>
        </w:tc>
        <w:tc>
          <w:tcPr>
            <w:tcW w:w="6264" w:type="dxa"/>
            <w:shd w:val="clear" w:color="auto" w:fill="auto"/>
            <w:vAlign w:val="center"/>
          </w:tcPr>
          <w:p w14:paraId="4E63DAE2" w14:textId="77777777" w:rsidR="003C460B" w:rsidRDefault="003C460B" w:rsidP="003C460B">
            <w:pPr>
              <w:overflowPunct/>
              <w:spacing w:before="60" w:after="60"/>
              <w:jc w:val="left"/>
              <w:textAlignment w:val="auto"/>
            </w:pPr>
          </w:p>
        </w:tc>
      </w:tr>
      <w:tr w:rsidR="003C460B" w14:paraId="34C3FAE9" w14:textId="77777777" w:rsidTr="003C460B">
        <w:trPr>
          <w:trHeight w:val="167"/>
          <w:jc w:val="center"/>
        </w:trPr>
        <w:tc>
          <w:tcPr>
            <w:tcW w:w="1931" w:type="dxa"/>
            <w:shd w:val="clear" w:color="auto" w:fill="FFFFFF"/>
            <w:noWrap/>
            <w:vAlign w:val="center"/>
          </w:tcPr>
          <w:p w14:paraId="5663606F" w14:textId="77777777" w:rsidR="003C460B" w:rsidRDefault="003C460B" w:rsidP="003C460B">
            <w:pPr>
              <w:overflowPunct/>
              <w:spacing w:before="60" w:after="60"/>
              <w:textAlignment w:val="auto"/>
            </w:pPr>
          </w:p>
        </w:tc>
        <w:tc>
          <w:tcPr>
            <w:tcW w:w="1498" w:type="dxa"/>
          </w:tcPr>
          <w:p w14:paraId="3D77715E" w14:textId="77777777" w:rsidR="003C460B" w:rsidRDefault="003C460B" w:rsidP="003C460B">
            <w:pPr>
              <w:overflowPunct/>
              <w:spacing w:before="60" w:after="60"/>
              <w:textAlignment w:val="auto"/>
            </w:pPr>
          </w:p>
        </w:tc>
        <w:tc>
          <w:tcPr>
            <w:tcW w:w="6264" w:type="dxa"/>
            <w:shd w:val="clear" w:color="auto" w:fill="auto"/>
            <w:vAlign w:val="center"/>
          </w:tcPr>
          <w:p w14:paraId="2A450455" w14:textId="77777777" w:rsidR="003C460B" w:rsidRDefault="003C460B" w:rsidP="003C460B">
            <w:pPr>
              <w:overflowPunct/>
              <w:spacing w:before="60" w:after="60"/>
              <w:textAlignment w:val="auto"/>
            </w:pPr>
          </w:p>
        </w:tc>
      </w:tr>
      <w:tr w:rsidR="003C460B" w14:paraId="111F9410" w14:textId="77777777" w:rsidTr="003C460B">
        <w:trPr>
          <w:trHeight w:val="167"/>
          <w:jc w:val="center"/>
        </w:trPr>
        <w:tc>
          <w:tcPr>
            <w:tcW w:w="1931" w:type="dxa"/>
            <w:shd w:val="clear" w:color="auto" w:fill="FFFFFF"/>
            <w:noWrap/>
          </w:tcPr>
          <w:p w14:paraId="5D7D81CD" w14:textId="77777777" w:rsidR="003C460B" w:rsidRDefault="003C460B" w:rsidP="003C460B">
            <w:pPr>
              <w:overflowPunct/>
              <w:spacing w:before="60" w:after="60"/>
              <w:textAlignment w:val="auto"/>
            </w:pPr>
          </w:p>
        </w:tc>
        <w:tc>
          <w:tcPr>
            <w:tcW w:w="1498" w:type="dxa"/>
          </w:tcPr>
          <w:p w14:paraId="32E9886A" w14:textId="77777777" w:rsidR="003C460B" w:rsidRDefault="003C460B" w:rsidP="003C460B">
            <w:pPr>
              <w:overflowPunct/>
              <w:spacing w:before="60" w:after="60"/>
              <w:textAlignment w:val="auto"/>
            </w:pPr>
          </w:p>
        </w:tc>
        <w:tc>
          <w:tcPr>
            <w:tcW w:w="6264" w:type="dxa"/>
            <w:shd w:val="clear" w:color="auto" w:fill="auto"/>
          </w:tcPr>
          <w:p w14:paraId="44231669" w14:textId="77777777" w:rsidR="003C460B" w:rsidRDefault="003C460B" w:rsidP="003C460B">
            <w:pPr>
              <w:overflowPunct/>
              <w:spacing w:before="60" w:after="60"/>
              <w:textAlignment w:val="auto"/>
            </w:pPr>
          </w:p>
        </w:tc>
      </w:tr>
      <w:tr w:rsidR="003C460B" w14:paraId="73C75ACC" w14:textId="77777777" w:rsidTr="003C460B">
        <w:trPr>
          <w:trHeight w:val="167"/>
          <w:jc w:val="center"/>
        </w:trPr>
        <w:tc>
          <w:tcPr>
            <w:tcW w:w="1931" w:type="dxa"/>
            <w:shd w:val="clear" w:color="auto" w:fill="FFFFFF"/>
            <w:noWrap/>
          </w:tcPr>
          <w:p w14:paraId="037FDC18" w14:textId="77777777" w:rsidR="003C460B" w:rsidRDefault="003C460B" w:rsidP="003C460B">
            <w:pPr>
              <w:overflowPunct/>
              <w:spacing w:before="60" w:after="60"/>
              <w:textAlignment w:val="auto"/>
            </w:pPr>
          </w:p>
        </w:tc>
        <w:tc>
          <w:tcPr>
            <w:tcW w:w="1498" w:type="dxa"/>
          </w:tcPr>
          <w:p w14:paraId="5B2B339F" w14:textId="77777777" w:rsidR="003C460B" w:rsidRDefault="003C460B" w:rsidP="003C460B">
            <w:pPr>
              <w:overflowPunct/>
              <w:spacing w:before="60" w:after="60"/>
              <w:textAlignment w:val="auto"/>
            </w:pPr>
          </w:p>
        </w:tc>
        <w:tc>
          <w:tcPr>
            <w:tcW w:w="6264" w:type="dxa"/>
            <w:shd w:val="clear" w:color="auto" w:fill="auto"/>
          </w:tcPr>
          <w:p w14:paraId="23684FBA" w14:textId="77777777" w:rsidR="003C460B" w:rsidRDefault="003C460B" w:rsidP="003C460B">
            <w:pPr>
              <w:overflowPunct/>
              <w:spacing w:before="60" w:after="60"/>
              <w:textAlignment w:val="auto"/>
            </w:pPr>
          </w:p>
        </w:tc>
      </w:tr>
      <w:tr w:rsidR="003C460B" w14:paraId="5502C599" w14:textId="77777777" w:rsidTr="003C460B">
        <w:trPr>
          <w:trHeight w:val="167"/>
          <w:jc w:val="center"/>
        </w:trPr>
        <w:tc>
          <w:tcPr>
            <w:tcW w:w="1931" w:type="dxa"/>
            <w:shd w:val="clear" w:color="auto" w:fill="FFFFFF"/>
            <w:noWrap/>
            <w:vAlign w:val="center"/>
          </w:tcPr>
          <w:p w14:paraId="41F34835" w14:textId="77777777" w:rsidR="003C460B" w:rsidRDefault="003C460B" w:rsidP="003C460B">
            <w:pPr>
              <w:overflowPunct/>
              <w:spacing w:before="60" w:after="60"/>
              <w:textAlignment w:val="auto"/>
            </w:pPr>
          </w:p>
        </w:tc>
        <w:tc>
          <w:tcPr>
            <w:tcW w:w="1498" w:type="dxa"/>
          </w:tcPr>
          <w:p w14:paraId="2D25FC16" w14:textId="77777777" w:rsidR="003C460B" w:rsidRDefault="003C460B" w:rsidP="003C460B">
            <w:pPr>
              <w:overflowPunct/>
              <w:spacing w:before="60" w:after="60"/>
              <w:textAlignment w:val="auto"/>
            </w:pPr>
          </w:p>
        </w:tc>
        <w:tc>
          <w:tcPr>
            <w:tcW w:w="6264" w:type="dxa"/>
            <w:shd w:val="clear" w:color="auto" w:fill="auto"/>
            <w:vAlign w:val="center"/>
          </w:tcPr>
          <w:p w14:paraId="2544A1E0" w14:textId="77777777" w:rsidR="003C460B" w:rsidRDefault="003C460B" w:rsidP="003C460B">
            <w:pPr>
              <w:overflowPunct/>
              <w:spacing w:before="60" w:after="60"/>
              <w:textAlignment w:val="auto"/>
            </w:pPr>
          </w:p>
        </w:tc>
      </w:tr>
      <w:tr w:rsidR="003C460B" w14:paraId="073D5821" w14:textId="77777777" w:rsidTr="003C460B">
        <w:trPr>
          <w:trHeight w:val="167"/>
          <w:jc w:val="center"/>
        </w:trPr>
        <w:tc>
          <w:tcPr>
            <w:tcW w:w="1931" w:type="dxa"/>
            <w:shd w:val="clear" w:color="auto" w:fill="FFFFFF"/>
            <w:noWrap/>
          </w:tcPr>
          <w:p w14:paraId="66635366" w14:textId="77777777" w:rsidR="003C460B" w:rsidRDefault="003C460B" w:rsidP="003C460B">
            <w:pPr>
              <w:overflowPunct/>
              <w:spacing w:before="60" w:after="60"/>
              <w:textAlignment w:val="auto"/>
            </w:pPr>
          </w:p>
        </w:tc>
        <w:tc>
          <w:tcPr>
            <w:tcW w:w="1498" w:type="dxa"/>
          </w:tcPr>
          <w:p w14:paraId="0B836193" w14:textId="77777777" w:rsidR="003C460B" w:rsidRDefault="003C460B" w:rsidP="003C460B">
            <w:pPr>
              <w:overflowPunct/>
              <w:spacing w:before="60" w:after="60"/>
              <w:textAlignment w:val="auto"/>
            </w:pPr>
          </w:p>
        </w:tc>
        <w:tc>
          <w:tcPr>
            <w:tcW w:w="6264" w:type="dxa"/>
            <w:shd w:val="clear" w:color="auto" w:fill="auto"/>
          </w:tcPr>
          <w:p w14:paraId="4A42FEFF" w14:textId="77777777" w:rsidR="003C460B" w:rsidRDefault="003C460B" w:rsidP="003C460B">
            <w:pPr>
              <w:overflowPunct/>
              <w:spacing w:before="60" w:after="60"/>
              <w:textAlignment w:val="auto"/>
            </w:pPr>
          </w:p>
        </w:tc>
      </w:tr>
    </w:tbl>
    <w:p w14:paraId="576A9525" w14:textId="77777777" w:rsidR="003C460B" w:rsidRDefault="003C460B" w:rsidP="003C460B">
      <w:pPr>
        <w:overflowPunct/>
        <w:rPr>
          <w:b/>
          <w:u w:val="single"/>
        </w:rPr>
      </w:pPr>
    </w:p>
    <w:p w14:paraId="575B292A" w14:textId="504EA158" w:rsidR="003C460B" w:rsidRDefault="003C460B" w:rsidP="003C460B">
      <w:pPr>
        <w:pStyle w:val="2"/>
      </w:pPr>
      <w:r w:rsidRPr="00372701">
        <w:t>R2-2101</w:t>
      </w:r>
      <w:r>
        <w:t xml:space="preserve">551 on </w:t>
      </w:r>
      <w:r w:rsidRPr="003C460B">
        <w:t>pur-TimeAlignmentTimer</w:t>
      </w:r>
    </w:p>
    <w:p w14:paraId="4BD35459" w14:textId="0E29056D" w:rsidR="003C460B" w:rsidRDefault="003C460B" w:rsidP="003C460B">
      <w:pPr>
        <w:overflowPunct/>
        <w:textAlignment w:val="auto"/>
      </w:pPr>
      <w:r>
        <w:t xml:space="preserve">In </w:t>
      </w:r>
      <w:hyperlink r:id="rId21" w:tooltip="https://www.3gpp.org/ftp/tsg_ran/WG2_RL2/TSGR2_113-e/Docs/R2-2101551.zip" w:history="1">
        <w:r w:rsidR="00957F31" w:rsidRPr="007403FB">
          <w:rPr>
            <w:rStyle w:val="af3"/>
          </w:rPr>
          <w:t>R2-2101551</w:t>
        </w:r>
      </w:hyperlink>
      <w:r>
        <w:t>, it was proposed to clarify that</w:t>
      </w:r>
      <w:r w:rsidR="00957F31">
        <w:t xml:space="preserve"> if </w:t>
      </w:r>
      <w:r w:rsidR="00957F31" w:rsidRPr="00957F31">
        <w:t>pur-TimeAlignmentTimer</w:t>
      </w:r>
      <w:r w:rsidR="00957F31">
        <w:t xml:space="preserve"> </w:t>
      </w:r>
      <w:r w:rsidR="00957F31" w:rsidRPr="00957F31">
        <w:t>is not present the value of infinity shall be used</w:t>
      </w:r>
      <w:r>
        <w:t>:</w:t>
      </w:r>
    </w:p>
    <w:tbl>
      <w:tblPr>
        <w:tblStyle w:val="af0"/>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6" w:name="_Hlk58622040"/>
            <w:r w:rsidRPr="00B672FA">
              <w:rPr>
                <w:i/>
                <w:iCs/>
                <w:lang w:eastAsia="zh-CN"/>
              </w:rPr>
              <w:t>pur-TimeAlignmentTimer</w:t>
            </w:r>
            <w:r w:rsidRPr="00B672FA">
              <w:rPr>
                <w:lang w:eastAsia="zh-CN"/>
              </w:rPr>
              <w:t xml:space="preserve"> </w:t>
            </w:r>
            <w:r>
              <w:rPr>
                <w:lang w:eastAsia="zh-CN"/>
              </w:rPr>
              <w:t>i</w:t>
            </w:r>
            <w:bookmarkEnd w:id="6"/>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7"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It should be possible to disable each or all of the optional TA validation criteria (i.e., TA timer, (N)RSRP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(re)starting times for TA timer need to be aligned between UE and eNB.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7"/>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t>For both NB-IoT and eMTC, the value range of pur-TimeAlignmentTimer-r16 is INTEGER (1..8),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r w:rsidRPr="00B672FA">
              <w:rPr>
                <w:i/>
                <w:iCs/>
              </w:rPr>
              <w:t>pur-TimeAlignmentTimer</w:t>
            </w:r>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Pr>
          <w:b/>
        </w:rPr>
        <w:t>R2-2101551</w:t>
      </w:r>
      <w:r>
        <w:rPr>
          <w:b/>
        </w:rPr>
        <w:t>?</w:t>
      </w:r>
    </w:p>
    <w:p w14:paraId="4C440B96" w14:textId="77777777" w:rsidR="0083634E" w:rsidRPr="0083634E" w:rsidRDefault="0083634E" w:rsidP="0083634E">
      <w:pPr>
        <w:pStyle w:val="af6"/>
        <w:numPr>
          <w:ilvl w:val="0"/>
          <w:numId w:val="33"/>
        </w:numPr>
        <w:overflowPunct/>
        <w:rPr>
          <w:b/>
        </w:rPr>
      </w:pPr>
      <w:r>
        <w:rPr>
          <w:rFonts w:eastAsiaTheme="minorEastAsia"/>
          <w:b/>
        </w:rPr>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7777777" w:rsidR="003C460B" w:rsidRDefault="003C460B" w:rsidP="003C460B">
            <w:pPr>
              <w:overflowPunct/>
              <w:spacing w:before="60" w:after="60"/>
              <w:textAlignment w:val="auto"/>
            </w:pPr>
          </w:p>
        </w:tc>
        <w:tc>
          <w:tcPr>
            <w:tcW w:w="1498" w:type="dxa"/>
          </w:tcPr>
          <w:p w14:paraId="20BAE5C7" w14:textId="77777777" w:rsidR="003C460B" w:rsidRDefault="003C460B" w:rsidP="003C460B">
            <w:pPr>
              <w:overflowPunct/>
              <w:spacing w:before="60" w:after="60"/>
              <w:textAlignment w:val="auto"/>
            </w:pPr>
          </w:p>
        </w:tc>
        <w:tc>
          <w:tcPr>
            <w:tcW w:w="6264" w:type="dxa"/>
            <w:shd w:val="clear" w:color="auto" w:fill="auto"/>
            <w:vAlign w:val="center"/>
          </w:tcPr>
          <w:p w14:paraId="3D0DD2A4" w14:textId="77777777" w:rsidR="003C460B" w:rsidRPr="00AF3C4C" w:rsidRDefault="003C460B" w:rsidP="003C460B">
            <w:pPr>
              <w:overflowPunct/>
              <w:snapToGrid w:val="0"/>
              <w:spacing w:before="60"/>
              <w:jc w:val="left"/>
              <w:textAlignment w:val="auto"/>
              <w:rPr>
                <w:sz w:val="18"/>
                <w:szCs w:val="18"/>
                <w:lang w:val="en-US"/>
              </w:rPr>
            </w:pPr>
          </w:p>
        </w:tc>
      </w:tr>
      <w:tr w:rsidR="003C460B" w14:paraId="68C60E94" w14:textId="77777777" w:rsidTr="003C460B">
        <w:trPr>
          <w:trHeight w:val="167"/>
          <w:jc w:val="center"/>
        </w:trPr>
        <w:tc>
          <w:tcPr>
            <w:tcW w:w="1931" w:type="dxa"/>
            <w:shd w:val="clear" w:color="auto" w:fill="FFFFFF"/>
            <w:noWrap/>
            <w:vAlign w:val="center"/>
          </w:tcPr>
          <w:p w14:paraId="59D55DE0" w14:textId="77777777" w:rsidR="003C460B" w:rsidRDefault="003C460B" w:rsidP="003C460B">
            <w:pPr>
              <w:overflowPunct/>
              <w:spacing w:before="60" w:after="60"/>
              <w:textAlignment w:val="auto"/>
            </w:pPr>
          </w:p>
        </w:tc>
        <w:tc>
          <w:tcPr>
            <w:tcW w:w="1498" w:type="dxa"/>
          </w:tcPr>
          <w:p w14:paraId="697F40E0" w14:textId="77777777" w:rsidR="003C460B" w:rsidRDefault="003C460B" w:rsidP="003C460B">
            <w:pPr>
              <w:overflowPunct/>
              <w:spacing w:before="60" w:after="60"/>
              <w:textAlignment w:val="auto"/>
            </w:pPr>
          </w:p>
        </w:tc>
        <w:tc>
          <w:tcPr>
            <w:tcW w:w="6264" w:type="dxa"/>
            <w:shd w:val="clear" w:color="auto" w:fill="auto"/>
            <w:vAlign w:val="center"/>
          </w:tcPr>
          <w:p w14:paraId="51E8BDCC" w14:textId="77777777" w:rsidR="003C460B" w:rsidRDefault="003C460B" w:rsidP="003C460B">
            <w:pPr>
              <w:overflowPunct/>
              <w:spacing w:before="60" w:after="60"/>
              <w:jc w:val="left"/>
              <w:textAlignment w:val="auto"/>
            </w:pPr>
          </w:p>
        </w:tc>
      </w:tr>
      <w:tr w:rsidR="003C460B" w14:paraId="08F1ABB9" w14:textId="77777777" w:rsidTr="003C460B">
        <w:trPr>
          <w:trHeight w:val="167"/>
          <w:jc w:val="center"/>
        </w:trPr>
        <w:tc>
          <w:tcPr>
            <w:tcW w:w="1931" w:type="dxa"/>
            <w:shd w:val="clear" w:color="auto" w:fill="FFFFFF"/>
            <w:noWrap/>
            <w:vAlign w:val="center"/>
          </w:tcPr>
          <w:p w14:paraId="112A2AF2" w14:textId="77777777" w:rsidR="003C460B" w:rsidRDefault="003C460B" w:rsidP="003C460B">
            <w:pPr>
              <w:overflowPunct/>
              <w:spacing w:before="60" w:after="60"/>
              <w:textAlignment w:val="auto"/>
            </w:pPr>
          </w:p>
        </w:tc>
        <w:tc>
          <w:tcPr>
            <w:tcW w:w="1498" w:type="dxa"/>
          </w:tcPr>
          <w:p w14:paraId="19BE3DF7" w14:textId="77777777" w:rsidR="003C460B" w:rsidRDefault="003C460B" w:rsidP="003C460B">
            <w:pPr>
              <w:overflowPunct/>
              <w:spacing w:before="60" w:after="60"/>
              <w:textAlignment w:val="auto"/>
            </w:pPr>
          </w:p>
        </w:tc>
        <w:tc>
          <w:tcPr>
            <w:tcW w:w="6264" w:type="dxa"/>
            <w:shd w:val="clear" w:color="auto" w:fill="auto"/>
            <w:vAlign w:val="center"/>
          </w:tcPr>
          <w:p w14:paraId="325BDB1D" w14:textId="77777777" w:rsidR="003C460B" w:rsidRDefault="003C460B" w:rsidP="003C460B">
            <w:pPr>
              <w:overflowPunct/>
              <w:spacing w:before="60" w:after="60"/>
              <w:textAlignment w:val="auto"/>
            </w:pPr>
          </w:p>
        </w:tc>
      </w:tr>
      <w:tr w:rsidR="003C460B" w14:paraId="12EDAC70" w14:textId="77777777" w:rsidTr="003C460B">
        <w:trPr>
          <w:trHeight w:val="167"/>
          <w:jc w:val="center"/>
        </w:trPr>
        <w:tc>
          <w:tcPr>
            <w:tcW w:w="1931" w:type="dxa"/>
            <w:shd w:val="clear" w:color="auto" w:fill="FFFFFF"/>
            <w:noWrap/>
          </w:tcPr>
          <w:p w14:paraId="3A5596EC" w14:textId="77777777" w:rsidR="003C460B" w:rsidRDefault="003C460B" w:rsidP="003C460B">
            <w:pPr>
              <w:overflowPunct/>
              <w:spacing w:before="60" w:after="60"/>
              <w:textAlignment w:val="auto"/>
            </w:pPr>
          </w:p>
        </w:tc>
        <w:tc>
          <w:tcPr>
            <w:tcW w:w="1498" w:type="dxa"/>
          </w:tcPr>
          <w:p w14:paraId="008BB6DA" w14:textId="77777777" w:rsidR="003C460B" w:rsidRDefault="003C460B" w:rsidP="003C460B">
            <w:pPr>
              <w:overflowPunct/>
              <w:spacing w:before="60" w:after="60"/>
              <w:textAlignment w:val="auto"/>
            </w:pPr>
          </w:p>
        </w:tc>
        <w:tc>
          <w:tcPr>
            <w:tcW w:w="6264" w:type="dxa"/>
            <w:shd w:val="clear" w:color="auto" w:fill="auto"/>
          </w:tcPr>
          <w:p w14:paraId="0AF277E1" w14:textId="77777777" w:rsidR="003C460B" w:rsidRDefault="003C460B" w:rsidP="003C460B">
            <w:pPr>
              <w:overflowPunct/>
              <w:spacing w:before="60" w:after="60"/>
              <w:textAlignment w:val="auto"/>
            </w:pPr>
          </w:p>
        </w:tc>
      </w:tr>
      <w:tr w:rsidR="003C460B" w14:paraId="1CFF9D6B" w14:textId="77777777" w:rsidTr="003C460B">
        <w:trPr>
          <w:trHeight w:val="167"/>
          <w:jc w:val="center"/>
        </w:trPr>
        <w:tc>
          <w:tcPr>
            <w:tcW w:w="1931" w:type="dxa"/>
            <w:shd w:val="clear" w:color="auto" w:fill="FFFFFF"/>
            <w:noWrap/>
          </w:tcPr>
          <w:p w14:paraId="42FCFE6B" w14:textId="77777777" w:rsidR="003C460B" w:rsidRDefault="003C460B" w:rsidP="003C460B">
            <w:pPr>
              <w:overflowPunct/>
              <w:spacing w:before="60" w:after="60"/>
              <w:textAlignment w:val="auto"/>
            </w:pPr>
          </w:p>
        </w:tc>
        <w:tc>
          <w:tcPr>
            <w:tcW w:w="1498" w:type="dxa"/>
          </w:tcPr>
          <w:p w14:paraId="7EB93A21" w14:textId="77777777" w:rsidR="003C460B" w:rsidRDefault="003C460B" w:rsidP="003C460B">
            <w:pPr>
              <w:overflowPunct/>
              <w:spacing w:before="60" w:after="60"/>
              <w:textAlignment w:val="auto"/>
            </w:pPr>
          </w:p>
        </w:tc>
        <w:tc>
          <w:tcPr>
            <w:tcW w:w="6264" w:type="dxa"/>
            <w:shd w:val="clear" w:color="auto" w:fill="auto"/>
          </w:tcPr>
          <w:p w14:paraId="22F7F1AF" w14:textId="77777777" w:rsidR="003C460B" w:rsidRDefault="003C460B" w:rsidP="003C460B">
            <w:pPr>
              <w:overflowPunct/>
              <w:spacing w:before="60" w:after="60"/>
              <w:textAlignment w:val="auto"/>
            </w:pPr>
          </w:p>
        </w:tc>
      </w:tr>
      <w:tr w:rsidR="003C460B" w14:paraId="4FAF447A" w14:textId="77777777" w:rsidTr="003C460B">
        <w:trPr>
          <w:trHeight w:val="167"/>
          <w:jc w:val="center"/>
        </w:trPr>
        <w:tc>
          <w:tcPr>
            <w:tcW w:w="1931" w:type="dxa"/>
            <w:shd w:val="clear" w:color="auto" w:fill="FFFFFF"/>
            <w:noWrap/>
            <w:vAlign w:val="center"/>
          </w:tcPr>
          <w:p w14:paraId="1546D95B" w14:textId="77777777" w:rsidR="003C460B" w:rsidRDefault="003C460B" w:rsidP="003C460B">
            <w:pPr>
              <w:overflowPunct/>
              <w:spacing w:before="60" w:after="60"/>
              <w:textAlignment w:val="auto"/>
            </w:pPr>
          </w:p>
        </w:tc>
        <w:tc>
          <w:tcPr>
            <w:tcW w:w="1498" w:type="dxa"/>
          </w:tcPr>
          <w:p w14:paraId="5A0D3679" w14:textId="77777777" w:rsidR="003C460B" w:rsidRDefault="003C460B" w:rsidP="003C460B">
            <w:pPr>
              <w:overflowPunct/>
              <w:spacing w:before="60" w:after="60"/>
              <w:textAlignment w:val="auto"/>
            </w:pPr>
          </w:p>
        </w:tc>
        <w:tc>
          <w:tcPr>
            <w:tcW w:w="6264" w:type="dxa"/>
            <w:shd w:val="clear" w:color="auto" w:fill="auto"/>
            <w:vAlign w:val="center"/>
          </w:tcPr>
          <w:p w14:paraId="47EFA58F" w14:textId="77777777" w:rsidR="003C460B" w:rsidRDefault="003C460B" w:rsidP="003C460B">
            <w:pPr>
              <w:overflowPunct/>
              <w:spacing w:before="60" w:after="60"/>
              <w:textAlignment w:val="auto"/>
            </w:pPr>
          </w:p>
        </w:tc>
      </w:tr>
      <w:tr w:rsidR="003C460B" w14:paraId="267E2F2D" w14:textId="77777777" w:rsidTr="003C460B">
        <w:trPr>
          <w:trHeight w:val="167"/>
          <w:jc w:val="center"/>
        </w:trPr>
        <w:tc>
          <w:tcPr>
            <w:tcW w:w="1931" w:type="dxa"/>
            <w:shd w:val="clear" w:color="auto" w:fill="FFFFFF"/>
            <w:noWrap/>
          </w:tcPr>
          <w:p w14:paraId="11E2DAE2" w14:textId="77777777" w:rsidR="003C460B" w:rsidRDefault="003C460B" w:rsidP="003C460B">
            <w:pPr>
              <w:overflowPunct/>
              <w:spacing w:before="60" w:after="60"/>
              <w:textAlignment w:val="auto"/>
            </w:pPr>
          </w:p>
        </w:tc>
        <w:tc>
          <w:tcPr>
            <w:tcW w:w="1498" w:type="dxa"/>
          </w:tcPr>
          <w:p w14:paraId="46F3CC6B" w14:textId="77777777" w:rsidR="003C460B" w:rsidRDefault="003C460B" w:rsidP="003C460B">
            <w:pPr>
              <w:overflowPunct/>
              <w:spacing w:before="60" w:after="60"/>
              <w:textAlignment w:val="auto"/>
            </w:pPr>
          </w:p>
        </w:tc>
        <w:tc>
          <w:tcPr>
            <w:tcW w:w="6264" w:type="dxa"/>
            <w:shd w:val="clear" w:color="auto" w:fill="auto"/>
          </w:tcPr>
          <w:p w14:paraId="11F6072E" w14:textId="77777777" w:rsidR="003C460B" w:rsidRDefault="003C460B" w:rsidP="003C460B">
            <w:pPr>
              <w:overflowPunct/>
              <w:spacing w:before="60" w:after="60"/>
              <w:textAlignment w:val="auto"/>
            </w:pPr>
          </w:p>
        </w:tc>
      </w:tr>
    </w:tbl>
    <w:p w14:paraId="51E4A56B" w14:textId="77777777" w:rsidR="003C460B" w:rsidRDefault="003C460B" w:rsidP="003C460B">
      <w:pPr>
        <w:overflowPunct/>
        <w:rPr>
          <w:b/>
          <w:u w:val="single"/>
        </w:rPr>
      </w:pPr>
    </w:p>
    <w:p w14:paraId="4E49A0EB" w14:textId="77777777" w:rsidR="003C460B" w:rsidRDefault="003C460B" w:rsidP="007E5655">
      <w:pPr>
        <w:overflowPunct/>
        <w:textAlignment w:val="auto"/>
      </w:pPr>
      <w:bookmarkStart w:id="8" w:name="_GoBack"/>
      <w:bookmarkEnd w:id="8"/>
    </w:p>
    <w:p w14:paraId="01A516DE" w14:textId="15C6DFF3" w:rsidR="007E5655" w:rsidRDefault="007E5655" w:rsidP="007E5655">
      <w:pPr>
        <w:pStyle w:val="1"/>
        <w:rPr>
          <w:rFonts w:cs="Arial"/>
        </w:rPr>
      </w:pPr>
      <w:r>
        <w:rPr>
          <w:rFonts w:cs="Arial"/>
        </w:rPr>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0"/>
    <w:bookmarkEnd w:id="1"/>
    <w:bookmarkEnd w:id="2"/>
    <w:bookmarkEnd w:id="3"/>
    <w:bookmarkEnd w:id="4"/>
    <w:bookmarkEnd w:id="5"/>
    <w:p w14:paraId="25E740B8" w14:textId="77777777" w:rsidR="007749A5" w:rsidRDefault="00572629">
      <w:pPr>
        <w:pStyle w:val="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1"/>
        <w:rPr>
          <w:rFonts w:cs="Arial"/>
        </w:rPr>
      </w:pPr>
      <w:r w:rsidRPr="00866D24">
        <w:rPr>
          <w:rFonts w:cs="Arial"/>
        </w:rPr>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Clarification on the (N)RSRP reference for TA validation for PUR</w:t>
      </w:r>
      <w:r>
        <w:t>”, Huawei, HiSilicon, RAN2#113e,</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t>R2-2</w:t>
      </w:r>
      <w:r w:rsidR="003A3A71">
        <w:t>101035</w:t>
      </w:r>
      <w:r>
        <w:t>, “</w:t>
      </w:r>
      <w:r w:rsidRPr="004924D0">
        <w:t>Clarification on the (N)RSRP reference for TA validation for PUR</w:t>
      </w:r>
      <w:r>
        <w:t>”, Huawei, HiSilicon, RAN2#113e,</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t>R2-2101085,</w:t>
      </w:r>
      <w:r>
        <w:tab/>
        <w:t>“Correction on Drb-ContinueROHC for UP-PUR”,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uawei, HiSilicon</w:t>
            </w:r>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8248D9" w14:paraId="33365C77" w14:textId="77777777" w:rsidTr="00866D24">
        <w:trPr>
          <w:trHeight w:val="167"/>
          <w:jc w:val="center"/>
        </w:trPr>
        <w:tc>
          <w:tcPr>
            <w:tcW w:w="1931" w:type="dxa"/>
            <w:shd w:val="clear" w:color="auto" w:fill="FFFFFF"/>
            <w:noWrap/>
            <w:vAlign w:val="center"/>
          </w:tcPr>
          <w:p w14:paraId="68E9142B" w14:textId="5AB216E7" w:rsidR="008248D9" w:rsidRDefault="008248D9" w:rsidP="008248D9">
            <w:pPr>
              <w:overflowPunct/>
              <w:spacing w:before="60" w:after="60"/>
              <w:textAlignment w:val="auto"/>
            </w:pPr>
          </w:p>
        </w:tc>
        <w:tc>
          <w:tcPr>
            <w:tcW w:w="2207" w:type="dxa"/>
            <w:vAlign w:val="center"/>
          </w:tcPr>
          <w:p w14:paraId="50B7965A" w14:textId="2E9D116C" w:rsidR="008248D9" w:rsidRDefault="008248D9" w:rsidP="008248D9">
            <w:pPr>
              <w:overflowPunct/>
              <w:spacing w:before="60" w:after="60"/>
              <w:textAlignment w:val="auto"/>
            </w:pPr>
          </w:p>
        </w:tc>
        <w:tc>
          <w:tcPr>
            <w:tcW w:w="5555" w:type="dxa"/>
            <w:shd w:val="clear" w:color="auto" w:fill="auto"/>
            <w:vAlign w:val="center"/>
          </w:tcPr>
          <w:p w14:paraId="2E0FE7A4" w14:textId="36A9E403" w:rsidR="008248D9" w:rsidRDefault="008248D9" w:rsidP="008248D9">
            <w:pPr>
              <w:overflowPunct/>
              <w:spacing w:before="60" w:after="60"/>
              <w:textAlignment w:val="auto"/>
            </w:pPr>
          </w:p>
        </w:tc>
      </w:tr>
      <w:tr w:rsidR="008248D9" w14:paraId="7E12F920" w14:textId="77777777" w:rsidTr="00866D24">
        <w:trPr>
          <w:trHeight w:val="167"/>
          <w:jc w:val="center"/>
        </w:trPr>
        <w:tc>
          <w:tcPr>
            <w:tcW w:w="1931" w:type="dxa"/>
            <w:shd w:val="clear" w:color="auto" w:fill="FFFFFF"/>
            <w:noWrap/>
            <w:vAlign w:val="center"/>
          </w:tcPr>
          <w:p w14:paraId="47860B8F" w14:textId="6F8DCDB1" w:rsidR="008248D9" w:rsidRDefault="008248D9" w:rsidP="008248D9">
            <w:pPr>
              <w:overflowPunct/>
              <w:spacing w:before="60" w:after="60"/>
              <w:textAlignment w:val="auto"/>
            </w:pPr>
          </w:p>
        </w:tc>
        <w:tc>
          <w:tcPr>
            <w:tcW w:w="2207" w:type="dxa"/>
            <w:vAlign w:val="center"/>
          </w:tcPr>
          <w:p w14:paraId="7C764DFA" w14:textId="226DF647" w:rsidR="008248D9" w:rsidRDefault="008248D9" w:rsidP="008248D9">
            <w:pPr>
              <w:overflowPunct/>
              <w:spacing w:before="60" w:after="60"/>
              <w:textAlignment w:val="auto"/>
            </w:pPr>
          </w:p>
        </w:tc>
        <w:tc>
          <w:tcPr>
            <w:tcW w:w="5555" w:type="dxa"/>
            <w:shd w:val="clear" w:color="auto" w:fill="auto"/>
            <w:vAlign w:val="center"/>
          </w:tcPr>
          <w:p w14:paraId="619A78A3" w14:textId="7D257E5F" w:rsidR="008248D9" w:rsidRDefault="008248D9" w:rsidP="008248D9">
            <w:pPr>
              <w:overflowPunct/>
              <w:spacing w:before="60" w:after="60"/>
              <w:textAlignment w:val="auto"/>
            </w:pPr>
          </w:p>
        </w:tc>
      </w:tr>
      <w:tr w:rsidR="008248D9" w14:paraId="3D6CA352" w14:textId="77777777" w:rsidTr="00866D24">
        <w:trPr>
          <w:trHeight w:val="167"/>
          <w:jc w:val="center"/>
        </w:trPr>
        <w:tc>
          <w:tcPr>
            <w:tcW w:w="1931" w:type="dxa"/>
            <w:shd w:val="clear" w:color="auto" w:fill="FFFFFF"/>
            <w:noWrap/>
            <w:vAlign w:val="center"/>
          </w:tcPr>
          <w:p w14:paraId="38EC40C1" w14:textId="109CD00E" w:rsidR="008248D9" w:rsidRDefault="008248D9" w:rsidP="008248D9">
            <w:pPr>
              <w:overflowPunct/>
              <w:spacing w:before="60" w:after="60"/>
              <w:textAlignment w:val="auto"/>
            </w:pPr>
          </w:p>
        </w:tc>
        <w:tc>
          <w:tcPr>
            <w:tcW w:w="2207" w:type="dxa"/>
            <w:vAlign w:val="center"/>
          </w:tcPr>
          <w:p w14:paraId="5A7CF6F7" w14:textId="1011A969" w:rsidR="008248D9" w:rsidRDefault="008248D9" w:rsidP="008248D9">
            <w:pPr>
              <w:overflowPunct/>
              <w:spacing w:before="60" w:after="60"/>
              <w:textAlignment w:val="auto"/>
            </w:pPr>
          </w:p>
        </w:tc>
        <w:tc>
          <w:tcPr>
            <w:tcW w:w="5555" w:type="dxa"/>
            <w:shd w:val="clear" w:color="auto" w:fill="auto"/>
            <w:vAlign w:val="center"/>
          </w:tcPr>
          <w:p w14:paraId="071B4D2E" w14:textId="2E18FF94" w:rsidR="008248D9" w:rsidRDefault="008248D9" w:rsidP="008248D9">
            <w:pPr>
              <w:overflowPunct/>
              <w:spacing w:before="60" w:after="60"/>
              <w:textAlignment w:val="auto"/>
            </w:pPr>
          </w:p>
        </w:tc>
      </w:tr>
      <w:tr w:rsidR="008248D9" w14:paraId="766CBE2E" w14:textId="77777777" w:rsidTr="00866D24">
        <w:trPr>
          <w:trHeight w:val="167"/>
          <w:jc w:val="center"/>
        </w:trPr>
        <w:tc>
          <w:tcPr>
            <w:tcW w:w="1931" w:type="dxa"/>
            <w:shd w:val="clear" w:color="auto" w:fill="FFFFFF"/>
            <w:noWrap/>
            <w:vAlign w:val="center"/>
          </w:tcPr>
          <w:p w14:paraId="0BC250D1" w14:textId="097D9CF0" w:rsidR="008248D9" w:rsidRDefault="008248D9" w:rsidP="008248D9">
            <w:pPr>
              <w:overflowPunct/>
              <w:spacing w:before="60" w:after="60"/>
              <w:textAlignment w:val="auto"/>
            </w:pPr>
          </w:p>
        </w:tc>
        <w:tc>
          <w:tcPr>
            <w:tcW w:w="2207" w:type="dxa"/>
            <w:vAlign w:val="center"/>
          </w:tcPr>
          <w:p w14:paraId="38A3151A" w14:textId="0C252EB5" w:rsidR="008248D9" w:rsidRDefault="008248D9" w:rsidP="008248D9">
            <w:pPr>
              <w:overflowPunct/>
              <w:spacing w:before="60" w:after="60"/>
              <w:textAlignment w:val="auto"/>
            </w:pPr>
          </w:p>
        </w:tc>
        <w:tc>
          <w:tcPr>
            <w:tcW w:w="5555" w:type="dxa"/>
            <w:shd w:val="clear" w:color="auto" w:fill="auto"/>
            <w:vAlign w:val="center"/>
          </w:tcPr>
          <w:p w14:paraId="636D629B" w14:textId="13BB1BC6" w:rsidR="008248D9" w:rsidRDefault="008248D9" w:rsidP="008248D9">
            <w:pPr>
              <w:overflowPunct/>
              <w:spacing w:before="60" w:after="60"/>
              <w:textAlignment w:val="auto"/>
            </w:pPr>
          </w:p>
        </w:tc>
      </w:tr>
      <w:tr w:rsidR="008248D9" w14:paraId="7B53CEAF" w14:textId="77777777" w:rsidTr="00866D24">
        <w:trPr>
          <w:trHeight w:val="167"/>
          <w:jc w:val="center"/>
        </w:trPr>
        <w:tc>
          <w:tcPr>
            <w:tcW w:w="1931" w:type="dxa"/>
            <w:shd w:val="clear" w:color="auto" w:fill="FFFFFF"/>
            <w:noWrap/>
            <w:vAlign w:val="center"/>
          </w:tcPr>
          <w:p w14:paraId="44C8DDCD" w14:textId="70AB8DED" w:rsidR="008248D9" w:rsidRDefault="008248D9" w:rsidP="008248D9">
            <w:pPr>
              <w:overflowPunct/>
              <w:spacing w:before="60" w:after="60"/>
              <w:textAlignment w:val="auto"/>
            </w:pPr>
          </w:p>
        </w:tc>
        <w:tc>
          <w:tcPr>
            <w:tcW w:w="2207" w:type="dxa"/>
            <w:vAlign w:val="center"/>
          </w:tcPr>
          <w:p w14:paraId="68F1DB4F" w14:textId="313245C6" w:rsidR="008248D9" w:rsidRDefault="008248D9" w:rsidP="008248D9">
            <w:pPr>
              <w:overflowPunct/>
              <w:spacing w:before="60" w:after="60"/>
              <w:textAlignment w:val="auto"/>
            </w:pPr>
          </w:p>
        </w:tc>
        <w:tc>
          <w:tcPr>
            <w:tcW w:w="5555" w:type="dxa"/>
            <w:shd w:val="clear" w:color="auto" w:fill="auto"/>
            <w:vAlign w:val="center"/>
          </w:tcPr>
          <w:p w14:paraId="21775DBD" w14:textId="7A693564" w:rsidR="008248D9" w:rsidRDefault="008248D9" w:rsidP="008248D9">
            <w:pPr>
              <w:overflowPunct/>
              <w:spacing w:before="60" w:after="60"/>
              <w:textAlignment w:val="auto"/>
            </w:pPr>
          </w:p>
        </w:tc>
      </w:tr>
      <w:tr w:rsidR="008248D9" w14:paraId="1E32730F" w14:textId="77777777" w:rsidTr="00866D24">
        <w:trPr>
          <w:trHeight w:val="167"/>
          <w:jc w:val="center"/>
        </w:trPr>
        <w:tc>
          <w:tcPr>
            <w:tcW w:w="1931" w:type="dxa"/>
            <w:shd w:val="clear" w:color="auto" w:fill="FFFFFF"/>
            <w:noWrap/>
            <w:vAlign w:val="center"/>
          </w:tcPr>
          <w:p w14:paraId="592D0429" w14:textId="12831D87" w:rsidR="008248D9" w:rsidRDefault="008248D9" w:rsidP="008248D9">
            <w:pPr>
              <w:overflowPunct/>
              <w:spacing w:before="60" w:after="60"/>
              <w:textAlignment w:val="auto"/>
            </w:pPr>
          </w:p>
        </w:tc>
        <w:tc>
          <w:tcPr>
            <w:tcW w:w="2207" w:type="dxa"/>
            <w:vAlign w:val="center"/>
          </w:tcPr>
          <w:p w14:paraId="2F058B03" w14:textId="7C638F73" w:rsidR="008248D9" w:rsidRDefault="008248D9" w:rsidP="008248D9">
            <w:pPr>
              <w:overflowPunct/>
              <w:spacing w:before="60" w:after="60"/>
              <w:textAlignment w:val="auto"/>
            </w:pPr>
          </w:p>
        </w:tc>
        <w:tc>
          <w:tcPr>
            <w:tcW w:w="5555" w:type="dxa"/>
            <w:shd w:val="clear" w:color="auto" w:fill="auto"/>
            <w:vAlign w:val="center"/>
          </w:tcPr>
          <w:p w14:paraId="02B2BE12" w14:textId="0070A481" w:rsidR="008248D9" w:rsidRDefault="008248D9" w:rsidP="008248D9">
            <w:pPr>
              <w:overflowPunct/>
              <w:spacing w:before="60" w:after="60"/>
              <w:textAlignment w:val="auto"/>
            </w:pPr>
          </w:p>
        </w:tc>
      </w:tr>
      <w:tr w:rsidR="008248D9" w14:paraId="20F42B29" w14:textId="77777777" w:rsidTr="00866D24">
        <w:trPr>
          <w:trHeight w:val="167"/>
          <w:jc w:val="center"/>
        </w:trPr>
        <w:tc>
          <w:tcPr>
            <w:tcW w:w="1931" w:type="dxa"/>
            <w:shd w:val="clear" w:color="auto" w:fill="FFFFFF"/>
            <w:noWrap/>
            <w:vAlign w:val="center"/>
          </w:tcPr>
          <w:p w14:paraId="1074DAF9" w14:textId="0238F26D" w:rsidR="008248D9" w:rsidRDefault="008248D9" w:rsidP="008248D9">
            <w:pPr>
              <w:overflowPunct/>
              <w:spacing w:before="60" w:after="60"/>
              <w:textAlignment w:val="auto"/>
            </w:pPr>
          </w:p>
        </w:tc>
        <w:tc>
          <w:tcPr>
            <w:tcW w:w="2207" w:type="dxa"/>
            <w:vAlign w:val="center"/>
          </w:tcPr>
          <w:p w14:paraId="6E0148BD" w14:textId="506D0A82" w:rsidR="008248D9" w:rsidRDefault="008248D9" w:rsidP="008248D9">
            <w:pPr>
              <w:overflowPunct/>
              <w:spacing w:before="60" w:after="60"/>
              <w:textAlignment w:val="auto"/>
            </w:pPr>
          </w:p>
        </w:tc>
        <w:tc>
          <w:tcPr>
            <w:tcW w:w="5555" w:type="dxa"/>
            <w:shd w:val="clear" w:color="auto" w:fill="auto"/>
            <w:vAlign w:val="center"/>
          </w:tcPr>
          <w:p w14:paraId="42506309" w14:textId="4B106E87" w:rsidR="008248D9" w:rsidRDefault="008248D9" w:rsidP="008248D9">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46B8" w14:textId="77777777" w:rsidR="00E64693" w:rsidRDefault="00E64693">
      <w:pPr>
        <w:spacing w:after="0" w:line="240" w:lineRule="auto"/>
      </w:pPr>
      <w:r>
        <w:separator/>
      </w:r>
    </w:p>
  </w:endnote>
  <w:endnote w:type="continuationSeparator" w:id="0">
    <w:p w14:paraId="2B975308" w14:textId="77777777" w:rsidR="00E64693" w:rsidRDefault="00E6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F724" w14:textId="4CF4D9D9" w:rsidR="003C460B" w:rsidRDefault="003C460B">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83634E">
      <w:rPr>
        <w:rStyle w:val="af1"/>
        <w:noProof/>
      </w:rPr>
      <w:t>5</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83634E">
      <w:rPr>
        <w:rStyle w:val="af1"/>
        <w:noProof/>
      </w:rPr>
      <w:t>6</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A2F0" w14:textId="77777777" w:rsidR="00E64693" w:rsidRDefault="00E64693">
      <w:pPr>
        <w:spacing w:after="0" w:line="240" w:lineRule="auto"/>
      </w:pPr>
      <w:r>
        <w:separator/>
      </w:r>
    </w:p>
  </w:footnote>
  <w:footnote w:type="continuationSeparator" w:id="0">
    <w:p w14:paraId="6FE4543B" w14:textId="77777777" w:rsidR="00E64693" w:rsidRDefault="00E6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B70" w14:textId="77777777" w:rsidR="003C460B" w:rsidRDefault="003C460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29"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6"/>
  </w:num>
  <w:num w:numId="4">
    <w:abstractNumId w:val="22"/>
  </w:num>
  <w:num w:numId="5">
    <w:abstractNumId w:val="13"/>
  </w:num>
  <w:num w:numId="6">
    <w:abstractNumId w:val="19"/>
  </w:num>
  <w:num w:numId="7">
    <w:abstractNumId w:val="23"/>
  </w:num>
  <w:num w:numId="8">
    <w:abstractNumId w:val="18"/>
  </w:num>
  <w:num w:numId="9">
    <w:abstractNumId w:val="24"/>
  </w:num>
  <w:num w:numId="10">
    <w:abstractNumId w:val="25"/>
  </w:num>
  <w:num w:numId="11">
    <w:abstractNumId w:val="28"/>
  </w:num>
  <w:num w:numId="12">
    <w:abstractNumId w:val="5"/>
  </w:num>
  <w:num w:numId="13">
    <w:abstractNumId w:val="0"/>
  </w:num>
  <w:num w:numId="14">
    <w:abstractNumId w:val="17"/>
  </w:num>
  <w:num w:numId="15">
    <w:abstractNumId w:val="9"/>
  </w:num>
  <w:num w:numId="16">
    <w:abstractNumId w:val="21"/>
  </w:num>
  <w:num w:numId="17">
    <w:abstractNumId w:val="16"/>
  </w:num>
  <w:num w:numId="18">
    <w:abstractNumId w:val="7"/>
  </w:num>
  <w:num w:numId="19">
    <w:abstractNumId w:val="29"/>
  </w:num>
  <w:num w:numId="20">
    <w:abstractNumId w:val="30"/>
  </w:num>
  <w:num w:numId="21">
    <w:abstractNumId w:val="1"/>
  </w:num>
  <w:num w:numId="22">
    <w:abstractNumId w:val="4"/>
  </w:num>
  <w:num w:numId="23">
    <w:abstractNumId w:val="8"/>
  </w:num>
  <w:num w:numId="24">
    <w:abstractNumId w:val="12"/>
  </w:num>
  <w:num w:numId="25">
    <w:abstractNumId w:val="15"/>
  </w:num>
  <w:num w:numId="26">
    <w:abstractNumId w:val="6"/>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num>
  <w:num w:numId="31">
    <w:abstractNumId w:val="11"/>
  </w:num>
  <w:num w:numId="32">
    <w:abstractNumId w:val="23"/>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8C1"/>
    <w:rsid w:val="001A58C2"/>
    <w:rsid w:val="001A6173"/>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F3A"/>
    <w:rsid w:val="00202F58"/>
    <w:rsid w:val="00203E40"/>
    <w:rsid w:val="00203F96"/>
    <w:rsid w:val="00205A78"/>
    <w:rsid w:val="002069B2"/>
    <w:rsid w:val="00206C52"/>
    <w:rsid w:val="00206C59"/>
    <w:rsid w:val="00207FA3"/>
    <w:rsid w:val="00207FC3"/>
    <w:rsid w:val="00210E2B"/>
    <w:rsid w:val="00214DA8"/>
    <w:rsid w:val="00214F57"/>
    <w:rsid w:val="00215423"/>
    <w:rsid w:val="0021547D"/>
    <w:rsid w:val="002158FA"/>
    <w:rsid w:val="0021680A"/>
    <w:rsid w:val="00217111"/>
    <w:rsid w:val="002171FA"/>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7447"/>
    <w:rsid w:val="0043774B"/>
    <w:rsid w:val="00440A47"/>
    <w:rsid w:val="004412B9"/>
    <w:rsid w:val="00441A92"/>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53F3"/>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6B"/>
    <w:rsid w:val="00903B40"/>
    <w:rsid w:val="009048AC"/>
    <w:rsid w:val="00904A4E"/>
    <w:rsid w:val="009053AA"/>
    <w:rsid w:val="00906939"/>
    <w:rsid w:val="00906F42"/>
    <w:rsid w:val="0090724C"/>
    <w:rsid w:val="00907283"/>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C2C"/>
    <w:rsid w:val="00AC49FB"/>
    <w:rsid w:val="00AC5A10"/>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1234"/>
    <w:rsid w:val="00BE2333"/>
    <w:rsid w:val="00BE2404"/>
    <w:rsid w:val="00BE2FA6"/>
    <w:rsid w:val="00BE333F"/>
    <w:rsid w:val="00BE44F0"/>
    <w:rsid w:val="00BE64D1"/>
    <w:rsid w:val="00BE6B86"/>
    <w:rsid w:val="00BE7406"/>
    <w:rsid w:val="00BE7603"/>
    <w:rsid w:val="00BE767A"/>
    <w:rsid w:val="00BF0654"/>
    <w:rsid w:val="00BF1314"/>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2AE9"/>
    <w:rsid w:val="00EE3399"/>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70B"/>
    <w:rsid w:val="00FA3B80"/>
    <w:rsid w:val="00FA43F6"/>
    <w:rsid w:val="00FA4C11"/>
    <w:rsid w:val="00FA4E44"/>
    <w:rsid w:val="00FA522B"/>
    <w:rsid w:val="00FA674C"/>
    <w:rsid w:val="00FB00B4"/>
    <w:rsid w:val="00FB0FCB"/>
    <w:rsid w:val="00FB2BE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1">
    <w:name w:val="heading 4"/>
    <w:basedOn w:val="3"/>
    <w:next w:val="a0"/>
    <w:link w:val="4Char"/>
    <w:qFormat/>
    <w:pPr>
      <w:numPr>
        <w:ilvl w:val="0"/>
        <w:numId w:val="0"/>
      </w:numPr>
      <w:outlineLvl w:val="3"/>
    </w:pPr>
    <w:rPr>
      <w:sz w:val="24"/>
      <w:szCs w:val="24"/>
    </w:rPr>
  </w:style>
  <w:style w:type="paragraph" w:styleId="5">
    <w:name w:val="heading 5"/>
    <w:basedOn w:val="41"/>
    <w:next w:val="a0"/>
    <w:qFormat/>
    <w:pPr>
      <w:numPr>
        <w:ilvl w:val="4"/>
        <w:numId w:val="1"/>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pPr>
      <w:ind w:left="1985" w:hanging="1985"/>
    </w:pPr>
  </w:style>
  <w:style w:type="paragraph" w:styleId="51">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pPr>
      <w:numPr>
        <w:numId w:val="3"/>
      </w:numPr>
    </w:pPr>
  </w:style>
  <w:style w:type="paragraph" w:styleId="20">
    <w:name w:val="List Bullet 2"/>
    <w:basedOn w:val="a"/>
    <w:pPr>
      <w:numPr>
        <w:numId w:val="4"/>
      </w:numPr>
    </w:pPr>
  </w:style>
  <w:style w:type="paragraph" w:styleId="a">
    <w:name w:val="List Bullet"/>
    <w:basedOn w:val="a6"/>
    <w:pPr>
      <w:numPr>
        <w:numId w:val="5"/>
      </w:numPr>
    </w:pPr>
  </w:style>
  <w:style w:type="paragraph" w:styleId="a6">
    <w:name w:val="Body Text"/>
    <w:basedOn w:val="a0"/>
    <w:link w:val="Cha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3"/>
    <w:pPr>
      <w:ind w:left="1702"/>
    </w:pPr>
  </w:style>
  <w:style w:type="paragraph" w:styleId="43">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semiHidden/>
  </w:style>
  <w:style w:type="character" w:styleId="af2">
    <w:name w:val="FollowedHyperlink"/>
    <w:semiHidden/>
    <w:rPr>
      <w:color w:val="FF0000"/>
      <w:u w:val="single"/>
    </w:rPr>
  </w:style>
  <w:style w:type="character" w:styleId="af3">
    <w:name w:val="Hyperlink"/>
    <w:uiPriority w:val="99"/>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Reference">
    <w:name w:val="Reference"/>
    <w:aliases w:val="ref"/>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B1">
    <w:name w:val="B1"/>
    <w:basedOn w:val="a4"/>
    <w:link w:val="B1Char"/>
    <w:qFormat/>
    <w:pPr>
      <w:spacing w:after="180"/>
      <w:jc w:val="left"/>
    </w:pPr>
    <w:rPr>
      <w:lang w:eastAsia="en-US"/>
    </w:rPr>
  </w:style>
  <w:style w:type="paragraph" w:customStyle="1" w:styleId="B2">
    <w:name w:val="B2"/>
    <w:basedOn w:val="21"/>
    <w:link w:val="B2Char"/>
    <w:pPr>
      <w:spacing w:after="180"/>
      <w:jc w:val="left"/>
    </w:pPr>
    <w:rPr>
      <w:lang w:eastAsia="en-US"/>
    </w:rPr>
  </w:style>
  <w:style w:type="paragraph" w:customStyle="1" w:styleId="B3">
    <w:name w:val="B3"/>
    <w:basedOn w:val="31"/>
    <w:link w:val="B3Char"/>
    <w:pPr>
      <w:spacing w:after="180"/>
      <w:jc w:val="left"/>
    </w:pPr>
    <w:rPr>
      <w:lang w:eastAsia="en-US"/>
    </w:rPr>
  </w:style>
  <w:style w:type="paragraph" w:customStyle="1" w:styleId="B4">
    <w:name w:val="B4"/>
    <w:basedOn w:val="43"/>
    <w:link w:val="B4Char"/>
    <w:pPr>
      <w:spacing w:after="180"/>
      <w:jc w:val="left"/>
    </w:pPr>
    <w:rPr>
      <w:lang w:eastAsia="en-US"/>
    </w:rPr>
  </w:style>
  <w:style w:type="paragraph" w:customStyle="1" w:styleId="Proposal">
    <w:name w:val="Proposal"/>
    <w:basedOn w:val="a0"/>
    <w:qFormat/>
    <w:pPr>
      <w:numPr>
        <w:numId w:val="8"/>
      </w:numPr>
      <w:tabs>
        <w:tab w:val="clear" w:pos="1304"/>
        <w:tab w:val="left" w:pos="1701"/>
      </w:tabs>
      <w:ind w:left="1701" w:hanging="1701"/>
    </w:pPr>
    <w:rPr>
      <w:b/>
      <w:bCs/>
    </w:rPr>
  </w:style>
  <w:style w:type="character" w:customStyle="1" w:styleId="Char">
    <w:name w:val="正文文本 Char"/>
    <w:link w:val="a6"/>
    <w:rPr>
      <w:rFonts w:ascii="Arial"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0"/>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a0"/>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题注 Char"/>
    <w:link w:val="a7"/>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a0"/>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af6">
    <w:name w:val="List Paragraph"/>
    <w:basedOn w:val="a0"/>
    <w:link w:val="Char2"/>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rPr>
      <w:rFonts w:ascii="Arial" w:hAnsi="Arial"/>
      <w:sz w:val="18"/>
      <w:lang w:val="en-GB" w:eastAsia="en-US"/>
    </w:rPr>
  </w:style>
  <w:style w:type="character" w:customStyle="1" w:styleId="shorttext">
    <w:name w:val="short_text"/>
    <w:basedOn w:val="a1"/>
    <w:qFormat/>
  </w:style>
  <w:style w:type="character" w:customStyle="1" w:styleId="THChar">
    <w:name w:val="TH Char"/>
    <w:link w:val="TH"/>
    <w:qFormat/>
    <w:rPr>
      <w:rFonts w:ascii="Arial" w:hAnsi="Arial"/>
      <w:b/>
      <w:lang w:val="en-GB" w:eastAsia="en-US"/>
    </w:rPr>
  </w:style>
  <w:style w:type="paragraph" w:customStyle="1" w:styleId="NO">
    <w:name w:val="NO"/>
    <w:basedOn w:val="a0"/>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宋体"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a1"/>
    <w:qFormat/>
  </w:style>
  <w:style w:type="character" w:customStyle="1" w:styleId="B4Char">
    <w:name w:val="B4 Char"/>
    <w:link w:val="B4"/>
    <w:qFormat/>
    <w:rPr>
      <w:rFonts w:ascii="Arial" w:hAnsi="Arial"/>
      <w:lang w:val="en-GB" w:eastAsia="en-US"/>
    </w:rPr>
  </w:style>
  <w:style w:type="paragraph" w:customStyle="1" w:styleId="4">
    <w:name w:val="标题4"/>
    <w:basedOn w:val="a0"/>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Char1">
    <w:name w:val="批注文字 Char"/>
    <w:link w:val="a9"/>
    <w:semiHidden/>
    <w:rPr>
      <w:rFonts w:ascii="Arial" w:hAnsi="Arial"/>
      <w:lang w:val="en-GB" w:eastAsia="zh-CN"/>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paragraph" w:customStyle="1" w:styleId="IB1">
    <w:name w:val="IB1"/>
    <w:basedOn w:val="a0"/>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Char2">
    <w:name w:val="列出段落 Char"/>
    <w:link w:val="af6"/>
    <w:uiPriority w:val="34"/>
    <w:qFormat/>
    <w:locked/>
    <w:rPr>
      <w:rFonts w:ascii="Arial" w:eastAsia="Times New Roman" w:hAnsi="Arial"/>
      <w:lang w:val="en-GB"/>
    </w:rPr>
  </w:style>
  <w:style w:type="character" w:customStyle="1" w:styleId="12">
    <w:name w:val="未处理的提及1"/>
    <w:basedOn w:val="a1"/>
    <w:uiPriority w:val="99"/>
    <w:semiHidden/>
    <w:unhideWhenUsed/>
    <w:rPr>
      <w:color w:val="605E5C"/>
      <w:shd w:val="clear" w:color="auto" w:fill="E1DFDD"/>
    </w:rPr>
  </w:style>
  <w:style w:type="paragraph" w:customStyle="1" w:styleId="References">
    <w:name w:val="References"/>
    <w:basedOn w:val="a0"/>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4Char">
    <w:name w:val="标题 4 Char"/>
    <w:basedOn w:val="a1"/>
    <w:link w:val="41"/>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3" Type="http://schemas.openxmlformats.org/officeDocument/2006/relationships/customXml" Target="../customXml/item2.xml"/><Relationship Id="rId21" Type="http://schemas.openxmlformats.org/officeDocument/2006/relationships/hyperlink" Target="https://www.3gpp.org/ftp/tsg_ran/WG2_RL2/TSGR2_113-e/Docs/R2-21015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hyperlink" Target="https://www.3gpp.org/ftp/tsg_ran/WG2_RL2/TSGR2_113-e/Docs/R2-210108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2B8F-25C9-450F-8244-A0F8DD355373}">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472c4bc1-aeab-41af-9152-3b75a41189b8"/>
    <ds:schemaRef ds:uri="http://purl.org/dc/dcmitype/"/>
    <ds:schemaRef ds:uri="http://schemas.openxmlformats.org/package/2006/metadata/core-properties"/>
    <ds:schemaRef ds:uri="9eb7ea80-5e55-4ea5-b0b4-290192a6e99d"/>
    <ds:schemaRef ds:uri="http://schemas.microsoft.com/office/2006/metadata/properties"/>
  </ds:schemaRefs>
</ds:datastoreItem>
</file>

<file path=customXml/itemProps2.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3EF701-6213-4904-B337-9CE2F1C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0</TotalTime>
  <Pages>6</Pages>
  <Words>1076</Words>
  <Characters>7339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Summary of email discussion [93bis#07][NB-IOT] RACH open issues</vt:lpstr>
    </vt:vector>
  </TitlesOfParts>
  <Company>CATT</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bks</cp:lastModifiedBy>
  <cp:revision>2</cp:revision>
  <cp:lastPrinted>2019-08-02T23:53:00Z</cp:lastPrinted>
  <dcterms:created xsi:type="dcterms:W3CDTF">2021-01-25T16:26:00Z</dcterms:created>
  <dcterms:modified xsi:type="dcterms:W3CDTF">2021-01-25T16:26:00Z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(3)AiElIk74LbrPkDCOoyutxqVDvIEULN1STnxPD3QXmexFrxZ2Fxm2j2slLXQqokyomXJdfeLp
hUAGTC4sUVZQWdq18Y26LRRXoKcGZn/1dbKs5Oejc75xM1TnR1WmAwKMQKEAg8lzRDGbvx6G
ViiXbzJhMASyQB0Zi8WD6dUQAKEx4o1Xbdu2CWvgiHlhxqLXME4DRhzH1RAohc+cz9tME6Rw
pVxy2QR/5V+wpx5fRD</vt:lpwstr>
  </property>
  <property fmtid="{D5CDD505-2E9C-101B-9397-08002B2CF9AE}" pid="4" name="_2015_ms_pID_725343_00">
    <vt:lpwstr>_2015_ms_pID_725343</vt:lpwstr>
  </property>
  <property fmtid="{D5CDD505-2E9C-101B-9397-08002B2CF9AE}" pid="5" name="_2015_ms_pID_7253431">
    <vt:lpwstr>aMTQDAe7c7NuQhG4eGyvJeL3JCLb0213E2VvdDyGqUJwoBJRoAqnOc
QL4IVIcPznc5H9dhLZdUBD4AKdN+Kc5TwspBJbfmcEBEZ7BrXuQWyRebnzG0Ge+SHRFzjj4B
xZd4FKpQgWYACzNsX68eA8S1M9URJNTOjL4Ezn3PxgkQhVXLYC8sFtgzA9SQBmP9R1Xzd0x2
+2fxAbKEiMDgza/VL2hT2Rj9/WxPbobkknOP</vt:lpwstr>
  </property>
  <property fmtid="{D5CDD505-2E9C-101B-9397-08002B2CF9AE}" pid="6" name="_2015_ms_pID_7253431_00">
    <vt:lpwstr>_2015_ms_pID_7253431</vt:lpwstr>
  </property>
  <property fmtid="{D5CDD505-2E9C-101B-9397-08002B2CF9AE}" pid="7" name="_2015_ms_pID_7253432">
    <vt:lpwstr>HX3uWmki1Tu2bHV0IeFyPyrB4jW9QWaBhIBT
wwA9+sioVA4lFu//pFNob+45TWJLYrXXcfegOkPiWTnoDrznORk=</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1611591821</vt:lpwstr>
  </property>
</Properties>
</file>