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54C0203A" w:rsidR="00E90E49" w:rsidRPr="00CE0424" w:rsidRDefault="00E90E49" w:rsidP="00CE0424">
      <w:pPr>
        <w:pStyle w:val="Heading1"/>
      </w:pPr>
      <w:r w:rsidRPr="00CE0424">
        <w:t>Introduction</w:t>
      </w:r>
    </w:p>
    <w:p w14:paraId="0EEDE408" w14:textId="075F9AED" w:rsidR="00477768" w:rsidRPr="0041217C" w:rsidRDefault="006B4E9D" w:rsidP="00CE0424">
      <w:pPr>
        <w:pStyle w:val="BodyText"/>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BodyText"/>
      </w:pPr>
    </w:p>
    <w:p w14:paraId="3CCB6131" w14:textId="1B232D15" w:rsidR="00333F7E" w:rsidRPr="0041217C" w:rsidRDefault="00782B4A" w:rsidP="00CE0424">
      <w:pPr>
        <w:pStyle w:val="BodyText"/>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243446"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243446"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243446"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243446"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243446"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243446"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243446"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243446"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243446"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243446"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243446"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243446" w:rsidP="00A042E1">
            <w:pPr>
              <w:snapToGrid w:val="0"/>
              <w:spacing w:before="120" w:after="120"/>
              <w:rPr>
                <w:rFonts w:ascii="Arial" w:hAnsi="Arial" w:cs="Arial"/>
                <w:lang w:val="en-GB" w:eastAsia="ja-JP"/>
              </w:rPr>
            </w:pPr>
            <w:hyperlink r:id="rId23" w:history="1">
              <w:r w:rsidR="008B13CC" w:rsidRPr="00DE05E9">
                <w:rPr>
                  <w:rStyle w:val="Hyperlink"/>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243446" w:rsidP="00D22DE2">
            <w:pPr>
              <w:snapToGrid w:val="0"/>
              <w:spacing w:before="120" w:after="120"/>
              <w:rPr>
                <w:rFonts w:ascii="Arial" w:hAnsi="Arial" w:cs="Arial"/>
                <w:lang w:val="en-GB" w:eastAsia="ja-JP"/>
              </w:rPr>
            </w:pPr>
            <w:hyperlink r:id="rId24" w:history="1">
              <w:r w:rsidR="00EA3529" w:rsidRPr="00A322DB">
                <w:rPr>
                  <w:rStyle w:val="Hyperlink"/>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D22DE2">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776A1512" w:rsidR="00243446" w:rsidRDefault="00243446" w:rsidP="00D22DE2">
            <w:pPr>
              <w:snapToGrid w:val="0"/>
              <w:spacing w:before="120" w:after="120"/>
              <w:rPr>
                <w:rFonts w:ascii="Arial" w:hAnsi="Arial" w:cs="Arial"/>
                <w:lang w:eastAsia="ja-JP"/>
              </w:rPr>
            </w:pPr>
            <w:r>
              <w:rPr>
                <w:rFonts w:ascii="Arial" w:hAnsi="Arial" w:cs="Arial"/>
                <w:lang w:eastAsia="ja-JP"/>
              </w:rPr>
              <w:t>david.lecompte@huawei.com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Pr="0041217C" w:rsidRDefault="00AE2BE0" w:rsidP="00AE2BE0">
      <w:pPr>
        <w:pStyle w:val="BodyText"/>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BodyText"/>
      </w:pPr>
    </w:p>
    <w:p w14:paraId="25ABBD37" w14:textId="282DFD67" w:rsidR="00AC276C" w:rsidRDefault="00C96EA6" w:rsidP="00773EF0">
      <w:pPr>
        <w:pStyle w:val="Heading2"/>
      </w:pPr>
      <w:r>
        <w:t xml:space="preserve">About RAN4 EMR requirements </w:t>
      </w:r>
    </w:p>
    <w:p w14:paraId="433F53F5" w14:textId="3712D71E" w:rsidR="00773EF0" w:rsidRDefault="00782B4A" w:rsidP="00AC276C">
      <w:pPr>
        <w:pStyle w:val="Heading3"/>
      </w:pPr>
      <w:r>
        <w:t>About new T331 timer value</w:t>
      </w:r>
    </w:p>
    <w:p w14:paraId="07D5364D" w14:textId="77777777" w:rsidR="00E03A94" w:rsidRPr="0041217C" w:rsidRDefault="00243446" w:rsidP="00E03A94">
      <w:pPr>
        <w:spacing w:before="60"/>
        <w:ind w:left="1259" w:hanging="1259"/>
        <w:rPr>
          <w:rFonts w:ascii="Arial" w:eastAsia="MS Mincho" w:hAnsi="Arial" w:cs="Times New Roman"/>
          <w:noProof/>
          <w:lang w:eastAsia="en-GB"/>
        </w:rPr>
      </w:pPr>
      <w:hyperlink r:id="rId25"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243446" w:rsidP="00782B4A">
      <w:pPr>
        <w:spacing w:before="60"/>
        <w:ind w:left="1259" w:hanging="1259"/>
        <w:rPr>
          <w:rFonts w:ascii="Arial" w:eastAsia="MS Mincho" w:hAnsi="Arial" w:cs="Times New Roman"/>
          <w:noProof/>
          <w:lang w:eastAsia="en-GB"/>
        </w:rPr>
      </w:pPr>
      <w:hyperlink r:id="rId26"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243446"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243446"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BodyText"/>
        <w:spacing w:before="120"/>
        <w:rPr>
          <w:szCs w:val="20"/>
        </w:rPr>
      </w:pPr>
      <w:r w:rsidRPr="0041217C">
        <w:rPr>
          <w:szCs w:val="20"/>
        </w:rPr>
        <w:t>The discussion is based on following information provided in RAN4’s LS (R2-2100059/R4-2017390):</w:t>
      </w:r>
    </w:p>
    <w:tbl>
      <w:tblPr>
        <w:tblStyle w:val="TableGrid"/>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when Srxlev &gt; S</w:t>
            </w:r>
            <w:r w:rsidRPr="0041217C">
              <w:rPr>
                <w:rFonts w:ascii="Times New Roman" w:hAnsi="Times New Roman" w:cs="Times New Roman"/>
                <w:bCs/>
                <w:sz w:val="20"/>
                <w:szCs w:val="20"/>
                <w:vertAlign w:val="subscript"/>
                <w:lang w:val="en-GB"/>
              </w:rPr>
              <w:t>nonIntraSearchP</w:t>
            </w:r>
            <w:r w:rsidRPr="0041217C">
              <w:rPr>
                <w:rFonts w:ascii="Times New Roman" w:hAnsi="Times New Roman" w:cs="Times New Roman"/>
                <w:bCs/>
                <w:sz w:val="20"/>
                <w:szCs w:val="20"/>
                <w:lang w:val="en-GB"/>
              </w:rPr>
              <w:t xml:space="preserve"> and Squal &gt; S</w:t>
            </w:r>
            <w:r w:rsidRPr="0041217C">
              <w:rPr>
                <w:rFonts w:ascii="Times New Roman" w:hAnsi="Times New Roman" w:cs="Times New Roman"/>
                <w:bCs/>
                <w:sz w:val="20"/>
                <w:szCs w:val="20"/>
                <w:vertAlign w:val="subscript"/>
                <w:lang w:val="en-GB"/>
              </w:rPr>
              <w:t>nonIntraSearchQ</w:t>
            </w:r>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BodyText"/>
        <w:spacing w:before="120"/>
        <w:rPr>
          <w:szCs w:val="20"/>
        </w:rPr>
      </w:pPr>
      <w:r w:rsidRPr="00547625">
        <w:rPr>
          <w:szCs w:val="20"/>
        </w:rPr>
        <w:t>As indicated in the first bullet, when Srxlev &gt; S</w:t>
      </w:r>
      <w:r w:rsidRPr="00547625">
        <w:rPr>
          <w:sz w:val="16"/>
          <w:szCs w:val="20"/>
        </w:rPr>
        <w:t>nonintraSearchP</w:t>
      </w:r>
      <w:r w:rsidRPr="00547625">
        <w:rPr>
          <w:szCs w:val="20"/>
        </w:rPr>
        <w:t xml:space="preserve"> and Squal &gt; S</w:t>
      </w:r>
      <w:r w:rsidRPr="00547625">
        <w:rPr>
          <w:sz w:val="16"/>
          <w:szCs w:val="20"/>
        </w:rPr>
        <w:t>nonintraSearchQ</w:t>
      </w:r>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BodyText"/>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BodyText"/>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BodyText"/>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“Srxlev &gt; S</w:t>
      </w:r>
      <w:r w:rsidR="005E7D8D" w:rsidRPr="00547625">
        <w:rPr>
          <w:sz w:val="16"/>
          <w:szCs w:val="20"/>
        </w:rPr>
        <w:t>nonintraSearchP</w:t>
      </w:r>
      <w:r w:rsidR="005E7D8D" w:rsidRPr="00547625">
        <w:rPr>
          <w:szCs w:val="20"/>
        </w:rPr>
        <w:t xml:space="preserve"> and Squal &gt; S</w:t>
      </w:r>
      <w:r w:rsidR="005E7D8D" w:rsidRPr="00547625">
        <w:rPr>
          <w:sz w:val="16"/>
          <w:szCs w:val="20"/>
        </w:rPr>
        <w:t>nonintraSearchQ</w:t>
      </w:r>
      <w:r w:rsidR="005E7D8D" w:rsidRPr="00547625">
        <w:rPr>
          <w:szCs w:val="20"/>
        </w:rPr>
        <w:t xml:space="preserve">” will be satisfied. </w:t>
      </w:r>
    </w:p>
    <w:p w14:paraId="29C5D8CF" w14:textId="1833B038" w:rsidR="00887D14" w:rsidRPr="0041217C" w:rsidRDefault="00443E55" w:rsidP="00443E55">
      <w:pPr>
        <w:pStyle w:val="BodyText"/>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t xml:space="preserve">DCCA </w:t>
      </w:r>
      <w:r w:rsidRPr="0041217C">
        <w:rPr>
          <w:szCs w:val="20"/>
        </w:rPr>
        <w:t xml:space="preserve">frequencies </w:t>
      </w:r>
      <w:r w:rsidR="006C0B4C" w:rsidRPr="0041217C">
        <w:rPr>
          <w:szCs w:val="20"/>
        </w:rPr>
        <w:t xml:space="preserve">will be more than LTE euCA case. Asking network to reduce the number of EMR frequencies is an unreasonable request. </w:t>
      </w:r>
    </w:p>
    <w:p w14:paraId="4A8283E1" w14:textId="6A9786BA" w:rsidR="00782B4A" w:rsidRPr="0041217C" w:rsidRDefault="006C0B4C" w:rsidP="00DC7D99">
      <w:pPr>
        <w:pStyle w:val="BodyText"/>
        <w:spacing w:before="120"/>
        <w:rPr>
          <w:szCs w:val="20"/>
        </w:rPr>
      </w:pPr>
      <w:r w:rsidRPr="0041217C">
        <w:rPr>
          <w:szCs w:val="20"/>
        </w:rPr>
        <w:t>In addition, some company also questioned why RAN4 defined EMR requirements associated with S</w:t>
      </w:r>
      <w:r w:rsidRPr="0041217C">
        <w:rPr>
          <w:szCs w:val="20"/>
          <w:vertAlign w:val="subscript"/>
        </w:rPr>
        <w:t>nonintraSearchP</w:t>
      </w:r>
      <w:r w:rsidRPr="0041217C">
        <w:rPr>
          <w:szCs w:val="20"/>
        </w:rPr>
        <w:t xml:space="preserve"> and S</w:t>
      </w:r>
      <w:r w:rsidRPr="0041217C">
        <w:rPr>
          <w:szCs w:val="20"/>
          <w:vertAlign w:val="subscript"/>
        </w:rPr>
        <w:t>nonintraSearchQ</w:t>
      </w:r>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BodyText"/>
        <w:spacing w:before="120"/>
        <w:rPr>
          <w:szCs w:val="20"/>
        </w:rPr>
      </w:pPr>
    </w:p>
    <w:p w14:paraId="31CB10C0" w14:textId="79AD2B2A" w:rsidR="00DA2828" w:rsidRPr="0041217C" w:rsidRDefault="00DA2828" w:rsidP="00DA2828">
      <w:pPr>
        <w:pStyle w:val="BodyText"/>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TableGrid"/>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BodyText"/>
              <w:jc w:val="center"/>
              <w:rPr>
                <w:sz w:val="20"/>
                <w:szCs w:val="20"/>
              </w:rPr>
            </w:pPr>
            <w:r>
              <w:rPr>
                <w:sz w:val="20"/>
                <w:szCs w:val="20"/>
              </w:rPr>
              <w:t>Agree?</w:t>
            </w:r>
          </w:p>
          <w:p w14:paraId="1990F128" w14:textId="77777777" w:rsidR="00DA2828" w:rsidRPr="006934EF" w:rsidRDefault="00DA2828" w:rsidP="00BA1A76">
            <w:pPr>
              <w:pStyle w:val="BodyText"/>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BodyText"/>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“S</w:t>
            </w:r>
            <w:r w:rsidR="00887D14" w:rsidRPr="0041217C">
              <w:rPr>
                <w:rFonts w:ascii="Arial" w:hAnsi="Arial" w:cs="Arial"/>
                <w:sz w:val="20"/>
                <w:szCs w:val="20"/>
                <w:vertAlign w:val="subscript"/>
                <w:lang w:val="en-GB"/>
              </w:rPr>
              <w:t>nonintraSearchP</w:t>
            </w:r>
            <w:r w:rsidR="00887D14" w:rsidRPr="0041217C">
              <w:rPr>
                <w:rFonts w:ascii="Arial" w:hAnsi="Arial" w:cs="Arial"/>
                <w:sz w:val="20"/>
                <w:szCs w:val="20"/>
                <w:lang w:val="en-GB"/>
              </w:rPr>
              <w:t xml:space="preserve"> and S</w:t>
            </w:r>
            <w:r w:rsidR="00887D14" w:rsidRPr="0041217C">
              <w:rPr>
                <w:rFonts w:ascii="Arial" w:hAnsi="Arial" w:cs="Arial"/>
                <w:sz w:val="20"/>
                <w:szCs w:val="20"/>
                <w:vertAlign w:val="subscript"/>
                <w:lang w:val="en-GB"/>
              </w:rPr>
              <w:t>nonintraSearchQ</w:t>
            </w:r>
            <w:r w:rsidR="00887D14" w:rsidRPr="0041217C">
              <w:rPr>
                <w:rFonts w:ascii="Arial" w:hAnsi="Arial" w:cs="Arial"/>
                <w:sz w:val="20"/>
                <w:szCs w:val="20"/>
                <w:lang w:val="en-GB"/>
              </w:rPr>
              <w:t xml:space="preserve">”. </w:t>
            </w:r>
            <w:r w:rsidRPr="0041217C">
              <w:rPr>
                <w:rFonts w:ascii="Arial" w:hAnsi="Arial" w:cs="Arial"/>
                <w:sz w:val="20"/>
                <w:szCs w:val="20"/>
                <w:lang w:val="en-GB"/>
              </w:rPr>
              <w:t>Not “S</w:t>
            </w:r>
            <w:r w:rsidRPr="0041217C">
              <w:rPr>
                <w:rFonts w:ascii="Arial" w:hAnsi="Arial" w:cs="Arial"/>
                <w:sz w:val="20"/>
                <w:szCs w:val="20"/>
                <w:vertAlign w:val="subscript"/>
                <w:lang w:val="en-GB"/>
              </w:rPr>
              <w:t>intraSearchP</w:t>
            </w:r>
            <w:r w:rsidRPr="0041217C">
              <w:rPr>
                <w:rFonts w:ascii="Arial" w:hAnsi="Arial" w:cs="Arial"/>
                <w:sz w:val="20"/>
                <w:szCs w:val="20"/>
                <w:lang w:val="en-GB"/>
              </w:rPr>
              <w:t xml:space="preserve"> and S</w:t>
            </w:r>
            <w:r w:rsidRPr="0041217C">
              <w:rPr>
                <w:rFonts w:ascii="Arial" w:hAnsi="Arial" w:cs="Arial"/>
                <w:sz w:val="20"/>
                <w:szCs w:val="20"/>
                <w:vertAlign w:val="subscript"/>
                <w:lang w:val="en-GB"/>
              </w:rPr>
              <w:t>intraSearchQ</w:t>
            </w:r>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network usually configures quite low thresholds for S</w:t>
            </w:r>
            <w:r w:rsidR="008F63B8" w:rsidRPr="0041217C">
              <w:rPr>
                <w:rFonts w:ascii="Arial" w:hAnsi="Arial" w:cs="Arial"/>
                <w:sz w:val="20"/>
                <w:szCs w:val="20"/>
                <w:vertAlign w:val="subscript"/>
                <w:lang w:val="en-GB"/>
              </w:rPr>
              <w:t>nonintraSearchP</w:t>
            </w:r>
            <w:r w:rsidR="008F63B8" w:rsidRPr="0041217C">
              <w:rPr>
                <w:rFonts w:ascii="Arial" w:hAnsi="Arial" w:cs="Arial"/>
                <w:sz w:val="20"/>
                <w:szCs w:val="20"/>
                <w:lang w:val="en-GB"/>
              </w:rPr>
              <w:t xml:space="preserve"> and S</w:t>
            </w:r>
            <w:r w:rsidR="008F63B8" w:rsidRPr="0041217C">
              <w:rPr>
                <w:rFonts w:ascii="Arial" w:hAnsi="Arial" w:cs="Arial"/>
                <w:sz w:val="20"/>
                <w:szCs w:val="20"/>
                <w:vertAlign w:val="subscript"/>
                <w:lang w:val="en-GB"/>
              </w:rPr>
              <w:t>nonintraSearchQ</w:t>
            </w:r>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“Srxlev &gt; S</w:t>
            </w:r>
            <w:r w:rsidR="00D24D9F" w:rsidRPr="0041217C">
              <w:rPr>
                <w:rFonts w:ascii="Arial" w:hAnsi="Arial" w:cs="Arial"/>
                <w:sz w:val="20"/>
                <w:szCs w:val="20"/>
                <w:vertAlign w:val="subscript"/>
                <w:lang w:val="en-GB"/>
              </w:rPr>
              <w:t>nonintraSearchP</w:t>
            </w:r>
            <w:r w:rsidR="00D24D9F" w:rsidRPr="0041217C">
              <w:rPr>
                <w:rFonts w:ascii="Arial" w:hAnsi="Arial" w:cs="Arial"/>
                <w:sz w:val="20"/>
                <w:szCs w:val="20"/>
                <w:lang w:val="en-GB"/>
              </w:rPr>
              <w:t xml:space="preserve"> and Squal &gt; S</w:t>
            </w:r>
            <w:r w:rsidR="00D24D9F" w:rsidRPr="0041217C">
              <w:rPr>
                <w:rFonts w:ascii="Arial" w:hAnsi="Arial" w:cs="Arial"/>
                <w:sz w:val="20"/>
                <w:szCs w:val="20"/>
                <w:vertAlign w:val="subscript"/>
                <w:lang w:val="en-GB"/>
              </w:rPr>
              <w:t>nonintraSearchQ</w:t>
            </w:r>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EMR frequency and Srxlev &gt; S</w:t>
            </w:r>
            <w:r w:rsidRPr="0041217C">
              <w:rPr>
                <w:rFonts w:ascii="Arial" w:hAnsi="Arial" w:cs="Arial"/>
                <w:sz w:val="20"/>
                <w:szCs w:val="20"/>
                <w:vertAlign w:val="subscript"/>
                <w:lang w:val="en-GB"/>
              </w:rPr>
              <w:t>nonintraSearchP</w:t>
            </w:r>
            <w:r w:rsidRPr="0041217C">
              <w:rPr>
                <w:rFonts w:ascii="Arial" w:hAnsi="Arial" w:cs="Arial"/>
                <w:sz w:val="20"/>
                <w:szCs w:val="20"/>
                <w:lang w:val="en-GB"/>
              </w:rPr>
              <w:t xml:space="preserve"> and Squal &gt; S</w:t>
            </w:r>
            <w:r w:rsidRPr="0041217C">
              <w:rPr>
                <w:rFonts w:ascii="Arial" w:hAnsi="Arial" w:cs="Arial"/>
                <w:sz w:val="20"/>
                <w:szCs w:val="20"/>
                <w:vertAlign w:val="subscript"/>
                <w:lang w:val="en-GB"/>
              </w:rPr>
              <w:t xml:space="preserve">nonintraSearchQ) </w:t>
            </w:r>
            <w:r w:rsidRPr="0041217C">
              <w:rPr>
                <w:rFonts w:ascii="Arial" w:hAnsi="Arial" w:cs="Arial"/>
                <w:sz w:val="20"/>
                <w:szCs w:val="20"/>
                <w:lang w:val="en-GB"/>
              </w:rPr>
              <w:t xml:space="preserve">is not a typical case. </w:t>
            </w:r>
            <w:r>
              <w:rPr>
                <w:rFonts w:ascii="Arial" w:hAnsi="Arial" w:cs="Arial"/>
                <w:sz w:val="20"/>
                <w:szCs w:val="20"/>
              </w:rPr>
              <w:t>And it can be left to UE/gNB implementation:</w:t>
            </w:r>
          </w:p>
          <w:p w14:paraId="7506AAB2" w14:textId="66409B0D" w:rsidR="001B5638" w:rsidRPr="001B5638" w:rsidRDefault="005F5C58" w:rsidP="001B5638">
            <w:pPr>
              <w:pStyle w:val="ListParagraph"/>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ListParagraph"/>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r w:rsidRPr="001B5638">
              <w:rPr>
                <w:rFonts w:ascii="Arial" w:hAnsi="Arial" w:cs="Arial"/>
                <w:sz w:val="20"/>
                <w:szCs w:val="20"/>
              </w:rPr>
              <w:t xml:space="preserve">ased on all configured parameters such as #layers, T331 length, S-threshold, etc and the measured S-value, UE can do something more if needed depending on its own criteria, e.g. power saving vs. benefits of fast SCell configuration. </w:t>
            </w:r>
          </w:p>
          <w:p w14:paraId="5B11B67F" w14:textId="5A6B4E02" w:rsidR="00E36322" w:rsidRPr="006502B9" w:rsidRDefault="00712301" w:rsidP="00E70E82">
            <w:pPr>
              <w:pStyle w:val="ListParagraph"/>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r w:rsidRPr="0041217C">
              <w:rPr>
                <w:rFonts w:ascii="Arial" w:hAnsi="Arial" w:cs="Arial"/>
                <w:sz w:val="20"/>
                <w:szCs w:val="20"/>
                <w:lang w:val="en-GB"/>
              </w:rPr>
              <w:t>/</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r w:rsidR="00975156" w:rsidRPr="0041217C">
              <w:rPr>
                <w:rFonts w:ascii="Arial" w:hAnsi="Arial" w:cs="Arial"/>
                <w:sz w:val="20"/>
                <w:szCs w:val="20"/>
                <w:lang w:val="en-GB"/>
              </w:rPr>
              <w:t xml:space="preserve"> and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located in the cell center.</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are to be used for setup of SCG and/or Scells (with the serving cell as PCell)</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lastRenderedPageBreak/>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which is based on a corresponding note in LTE Rel-15 euCA</w:t>
            </w:r>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s-NonIntraSearchP</w:t>
            </w:r>
            <w:r w:rsidRPr="0041217C">
              <w:rPr>
                <w:highlight w:val="yellow"/>
                <w:lang w:val="en-GB"/>
              </w:rPr>
              <w:t xml:space="preserve"> and </w:t>
            </w:r>
            <w:r w:rsidRPr="0041217C">
              <w:rPr>
                <w:i/>
                <w:highlight w:val="yellow"/>
                <w:lang w:val="en-GB"/>
              </w:rPr>
              <w:t>s-NonIntraSearchQ</w:t>
            </w:r>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f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The EMR concept is best effort and the UE reports what it can measure, and it’s upto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lastRenderedPageBreak/>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Malgun Gothic" w:hAnsi="Arial" w:cs="Arial" w:hint="eastAsia"/>
                <w:sz w:val="20"/>
                <w:szCs w:val="20"/>
              </w:rPr>
              <w:lastRenderedPageBreak/>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Malgun Gothic"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Malgun Gothic" w:hAnsi="Arial" w:cs="Arial"/>
                <w:sz w:val="20"/>
                <w:szCs w:val="20"/>
              </w:rPr>
            </w:pPr>
            <w:r>
              <w:rPr>
                <w:rFonts w:ascii="Arial" w:eastAsia="Malgun Gothic"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Malgun Gothic"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Malgun Gothic" w:hAnsi="Arial" w:cs="Arial" w:hint="eastAsia"/>
                <w:sz w:val="20"/>
                <w:szCs w:val="20"/>
              </w:rPr>
            </w:pPr>
            <w:r>
              <w:rPr>
                <w:rFonts w:ascii="Arial" w:eastAsia="Malgun Gothic" w:hAnsi="Arial" w:cs="Arial"/>
                <w:sz w:val="20"/>
                <w:szCs w:val="20"/>
              </w:rPr>
              <w:t>Huawei</w:t>
            </w:r>
          </w:p>
        </w:tc>
        <w:tc>
          <w:tcPr>
            <w:tcW w:w="1268" w:type="dxa"/>
            <w:vAlign w:val="center"/>
          </w:tcPr>
          <w:p w14:paraId="64EC5C52" w14:textId="42DDB47D" w:rsidR="00243446" w:rsidRDefault="00243446" w:rsidP="00872A8E">
            <w:pPr>
              <w:jc w:val="center"/>
              <w:rPr>
                <w:rFonts w:ascii="Arial" w:eastAsia="Malgun Gothic" w:hAnsi="Arial" w:cs="Arial" w:hint="eastAsia"/>
                <w:sz w:val="20"/>
                <w:szCs w:val="20"/>
              </w:rPr>
            </w:pPr>
            <w:r>
              <w:rPr>
                <w:rFonts w:ascii="Arial" w:eastAsia="Malgun Gothic" w:hAnsi="Arial" w:cs="Arial"/>
                <w:sz w:val="20"/>
                <w:szCs w:val="20"/>
              </w:rPr>
              <w:t>No</w:t>
            </w:r>
          </w:p>
        </w:tc>
        <w:tc>
          <w:tcPr>
            <w:tcW w:w="6284" w:type="dxa"/>
          </w:tcPr>
          <w:p w14:paraId="3097CD45" w14:textId="68656ADB" w:rsidR="00243446" w:rsidRDefault="00243446" w:rsidP="00872A8E">
            <w:pPr>
              <w:ind w:firstLineChars="50" w:firstLine="100"/>
              <w:rPr>
                <w:rFonts w:ascii="Arial" w:eastAsia="Malgun Gothic" w:hAnsi="Arial" w:cs="Arial"/>
                <w:sz w:val="20"/>
                <w:szCs w:val="20"/>
              </w:rPr>
            </w:pPr>
            <w:r>
              <w:rPr>
                <w:rFonts w:ascii="Arial" w:eastAsia="Malgun Gothic" w:hAnsi="Arial" w:cs="Arial"/>
                <w:sz w:val="20"/>
                <w:szCs w:val="20"/>
              </w:rPr>
              <w:t>Increasing T331 just means that the UE will have measurement results obtained more than 300s ago, but they may not represent the cure</w:t>
            </w:r>
            <w:r w:rsidR="00BC06A6">
              <w:rPr>
                <w:rFonts w:ascii="Arial" w:eastAsia="Malgun Gothic" w:hAnsi="Arial" w:cs="Arial"/>
                <w:sz w:val="20"/>
                <w:szCs w:val="20"/>
              </w:rPr>
              <w:t>nt quality, so there is no gain (and this a affect power consumption a lot if the UE is not at the cell centre)</w:t>
            </w:r>
          </w:p>
          <w:p w14:paraId="5A9E97AE" w14:textId="5B65E892" w:rsidR="00243446" w:rsidRDefault="00243446" w:rsidP="00872A8E">
            <w:pPr>
              <w:ind w:firstLineChars="50" w:firstLine="100"/>
              <w:rPr>
                <w:rFonts w:ascii="Arial" w:eastAsia="Malgun Gothic" w:hAnsi="Arial" w:cs="Arial"/>
                <w:sz w:val="20"/>
                <w:szCs w:val="20"/>
              </w:rPr>
            </w:pPr>
            <w:r w:rsidRPr="00243446">
              <w:rPr>
                <w:rFonts w:ascii="Arial" w:eastAsia="Malgun Gothic" w:hAnsi="Arial" w:cs="Arial"/>
                <w:sz w:val="20"/>
                <w:szCs w:val="20"/>
              </w:rPr>
              <w:t>RAN4 decision is to keep the power consumption benefit of SnonIntraSearch at the expense of less frequent measurements</w:t>
            </w:r>
            <w:r>
              <w:rPr>
                <w:rFonts w:ascii="Arial" w:eastAsia="Malgun Gothic" w:hAnsi="Arial" w:cs="Arial"/>
                <w:sz w:val="20"/>
                <w:szCs w:val="20"/>
              </w:rPr>
              <w:t>. We should not ask RAN4 to reconsider the</w:t>
            </w:r>
            <w:r w:rsidR="00BC06A6">
              <w:rPr>
                <w:rFonts w:ascii="Arial" w:eastAsia="Malgun Gothic" w:hAnsi="Arial" w:cs="Arial"/>
                <w:sz w:val="20"/>
                <w:szCs w:val="20"/>
              </w:rPr>
              <w:t>ir decision at this late stage.</w:t>
            </w:r>
          </w:p>
        </w:tc>
      </w:tr>
    </w:tbl>
    <w:p w14:paraId="5C9095AE" w14:textId="79EE9E3C" w:rsidR="00DA2828" w:rsidRPr="00547625" w:rsidRDefault="00DA2828" w:rsidP="00DC7D99">
      <w:pPr>
        <w:pStyle w:val="BodyText"/>
        <w:spacing w:before="120"/>
        <w:rPr>
          <w:szCs w:val="20"/>
        </w:rPr>
      </w:pPr>
    </w:p>
    <w:p w14:paraId="5C1F314D" w14:textId="1DEDFAAE" w:rsidR="00775242" w:rsidRDefault="00775242" w:rsidP="00DC7D99">
      <w:pPr>
        <w:pStyle w:val="BodyText"/>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BodyText"/>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BodyText"/>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BodyText"/>
        <w:rPr>
          <w:b/>
          <w:szCs w:val="20"/>
        </w:rPr>
      </w:pPr>
    </w:p>
    <w:p w14:paraId="1A64F0ED" w14:textId="5ACD9809" w:rsidR="005C6D5C" w:rsidRPr="0041217C" w:rsidRDefault="00782B4A" w:rsidP="00773EF0">
      <w:pPr>
        <w:pStyle w:val="BodyText"/>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TableGrid"/>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BodyText"/>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BodyText"/>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ms).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Like described above we have no definite performance requirements yet and we can consider that it might not be wise to configure many frequencies to early measurements. Anyway performance with many frequencies would be pretty mediocre. But if we want to support all signaling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lastRenderedPageBreak/>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Malgun Gothic" w:hAnsi="Arial" w:cs="Arial"/>
              </w:rPr>
              <w:t>As UE anyway stops T331 upon connecting to the network, infinity value seems adequate.</w:t>
            </w:r>
          </w:p>
        </w:tc>
      </w:tr>
    </w:tbl>
    <w:p w14:paraId="77925667" w14:textId="77777777" w:rsidR="00773EF0" w:rsidRPr="0041217C" w:rsidRDefault="00773EF0" w:rsidP="006B4E9D">
      <w:pPr>
        <w:pStyle w:val="BodyText"/>
      </w:pPr>
    </w:p>
    <w:p w14:paraId="66A2618B" w14:textId="032CF0F2" w:rsidR="00AE2BE0" w:rsidRDefault="003467A4" w:rsidP="00AC276C">
      <w:pPr>
        <w:pStyle w:val="Heading3"/>
      </w:pPr>
      <w:r>
        <w:t>Concern on out-of-date EMR results</w:t>
      </w:r>
      <w:r w:rsidR="00773EF0">
        <w:t xml:space="preserve"> </w:t>
      </w:r>
    </w:p>
    <w:p w14:paraId="7C879330" w14:textId="77777777" w:rsidR="003467A4" w:rsidRPr="0041217C" w:rsidRDefault="00243446" w:rsidP="003467A4">
      <w:pPr>
        <w:spacing w:before="60"/>
        <w:ind w:left="1259" w:hanging="1259"/>
        <w:rPr>
          <w:rFonts w:ascii="Arial" w:eastAsia="MS Mincho" w:hAnsi="Arial" w:cs="Times New Roman"/>
          <w:noProof/>
          <w:lang w:eastAsia="en-GB"/>
        </w:rPr>
      </w:pPr>
      <w:hyperlink r:id="rId29"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243446"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BodyText"/>
        <w:spacing w:before="120" w:line="276" w:lineRule="auto"/>
      </w:pPr>
      <w:r w:rsidRPr="0041217C">
        <w:t>In R2-2100563, another issue is raised about the reporting of EMR results. Based on RAN4 defined requirements, when S</w:t>
      </w:r>
      <w:r w:rsidRPr="0041217C">
        <w:rPr>
          <w:vertAlign w:val="subscript"/>
        </w:rPr>
        <w:t>rxlev</w:t>
      </w:r>
      <w:r w:rsidRPr="0041217C">
        <w:t xml:space="preserve"> &gt; S</w:t>
      </w:r>
      <w:r w:rsidRPr="0041217C">
        <w:rPr>
          <w:vertAlign w:val="subscript"/>
        </w:rPr>
        <w:t>nonIntraSearchP</w:t>
      </w:r>
      <w:r w:rsidRPr="0041217C">
        <w:t xml:space="preserve"> and S</w:t>
      </w:r>
      <w:r w:rsidRPr="0041217C">
        <w:rPr>
          <w:vertAlign w:val="subscript"/>
        </w:rPr>
        <w:t>qual</w:t>
      </w:r>
      <w:r w:rsidRPr="0041217C">
        <w:t xml:space="preserve"> &gt; S</w:t>
      </w:r>
      <w:r w:rsidRPr="0041217C">
        <w:rPr>
          <w:vertAlign w:val="subscript"/>
        </w:rPr>
        <w:t>nonIntraSearchQ</w:t>
      </w:r>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BodyText"/>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8pt;height:144.45pt;mso-width-percent:0;mso-height-percent:0;mso-width-percent:0;mso-height-percent:0" o:ole="">
            <v:imagedata r:id="rId31" o:title=""/>
          </v:shape>
          <o:OLEObject Type="Embed" ProgID="Visio.Drawing.11" ShapeID="_x0000_i1025" DrawAspect="Content" ObjectID="_1673337915" r:id="rId32"/>
        </w:object>
      </w:r>
    </w:p>
    <w:p w14:paraId="77F893B5" w14:textId="4EA85EB9" w:rsidR="003467A4" w:rsidRPr="00547625" w:rsidRDefault="003467A4" w:rsidP="005B4E08">
      <w:pPr>
        <w:pStyle w:val="BodyText"/>
        <w:spacing w:before="120" w:line="276" w:lineRule="auto"/>
      </w:pPr>
      <w:r w:rsidRPr="00547625">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BodyText"/>
        <w:spacing w:before="120"/>
      </w:pPr>
    </w:p>
    <w:p w14:paraId="4957AB5A" w14:textId="5B71B173" w:rsidR="009F4029" w:rsidRPr="0041217C" w:rsidRDefault="009F4029" w:rsidP="00C43ED4">
      <w:pPr>
        <w:pStyle w:val="BodyText"/>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TableGrid"/>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lastRenderedPageBreak/>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Malgun Gothic"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Malgun Gothic" w:hAnsi="Arial" w:cs="Arial" w:hint="eastAsia"/>
                <w:sz w:val="20"/>
                <w:szCs w:val="20"/>
              </w:rPr>
              <w:t>Similar view with Qualcomm.</w:t>
            </w:r>
            <w:r>
              <w:rPr>
                <w:rFonts w:ascii="Arial" w:eastAsia="Malgun Gothic"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Malgun Gothic" w:hAnsi="Arial" w:cs="Arial" w:hint="eastAsia"/>
                <w:szCs w:val="20"/>
              </w:rPr>
            </w:pPr>
            <w:r>
              <w:rPr>
                <w:rFonts w:ascii="Arial" w:eastAsia="Malgun Gothic" w:hAnsi="Arial" w:cs="Arial"/>
                <w:szCs w:val="20"/>
              </w:rPr>
              <w:t>Huawei</w:t>
            </w:r>
          </w:p>
        </w:tc>
        <w:tc>
          <w:tcPr>
            <w:tcW w:w="1268" w:type="dxa"/>
            <w:vAlign w:val="center"/>
          </w:tcPr>
          <w:p w14:paraId="05D94487" w14:textId="16BB003D" w:rsidR="00BC06A6" w:rsidRDefault="00BC06A6" w:rsidP="00872A8E">
            <w:pPr>
              <w:jc w:val="center"/>
              <w:rPr>
                <w:rFonts w:ascii="Arial" w:eastAsia="Malgun Gothic" w:hAnsi="Arial" w:cs="Arial" w:hint="eastAsia"/>
                <w:szCs w:val="20"/>
              </w:rPr>
            </w:pPr>
            <w:r>
              <w:rPr>
                <w:rFonts w:ascii="Arial" w:eastAsia="Malgun Gothic" w:hAnsi="Arial" w:cs="Arial"/>
                <w:szCs w:val="20"/>
              </w:rPr>
              <w:t>No</w:t>
            </w:r>
          </w:p>
        </w:tc>
        <w:tc>
          <w:tcPr>
            <w:tcW w:w="6285" w:type="dxa"/>
          </w:tcPr>
          <w:p w14:paraId="7B2696C0" w14:textId="329795AC" w:rsidR="00BC06A6" w:rsidRPr="00BC06A6" w:rsidRDefault="00BC06A6" w:rsidP="00872A8E">
            <w:pPr>
              <w:rPr>
                <w:rFonts w:ascii="Arial" w:hAnsi="Arial" w:cs="Arial" w:hint="eastAsia"/>
                <w:sz w:val="20"/>
                <w:szCs w:val="20"/>
                <w:lang w:val="en-GB"/>
              </w:rPr>
            </w:pPr>
            <w:r>
              <w:rPr>
                <w:rFonts w:ascii="Arial" w:eastAsia="Malgun Gothic"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bl>
    <w:p w14:paraId="14B5D985" w14:textId="55AF355D" w:rsidR="005A400E" w:rsidRPr="0041217C" w:rsidRDefault="005A400E" w:rsidP="006B4E9D">
      <w:pPr>
        <w:pStyle w:val="BodyText"/>
      </w:pPr>
    </w:p>
    <w:p w14:paraId="51BF67D9" w14:textId="7AB194A6" w:rsidR="00C43ED4" w:rsidRPr="0041217C" w:rsidRDefault="004B2550" w:rsidP="006B4E9D">
      <w:pPr>
        <w:pStyle w:val="BodyText"/>
      </w:pPr>
      <w:r w:rsidRPr="0041217C">
        <w:t>The content of draft LS is shown below:</w:t>
      </w:r>
    </w:p>
    <w:p w14:paraId="4A44B54A" w14:textId="77777777" w:rsidR="004B2550" w:rsidRPr="0041217C" w:rsidRDefault="00243446" w:rsidP="004B2550">
      <w:pPr>
        <w:spacing w:before="60"/>
        <w:ind w:left="1259" w:hanging="1259"/>
        <w:rPr>
          <w:rFonts w:ascii="Arial" w:eastAsia="MS Mincho" w:hAnsi="Arial" w:cs="Times New Roman"/>
          <w:noProof/>
          <w:lang w:eastAsia="en-GB"/>
        </w:rPr>
      </w:pPr>
      <w:hyperlink r:id="rId33"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BodyText"/>
      </w:pPr>
    </w:p>
    <w:tbl>
      <w:tblPr>
        <w:tblStyle w:val="TableGrid"/>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BodyText"/>
      </w:pPr>
    </w:p>
    <w:p w14:paraId="18D93E0A" w14:textId="7469C731" w:rsidR="004B2550" w:rsidRPr="0041217C" w:rsidRDefault="004B2550" w:rsidP="004B2550">
      <w:pPr>
        <w:pStyle w:val="BodyText"/>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BodyText"/>
        <w:spacing w:before="120"/>
        <w:rPr>
          <w:color w:val="C00000"/>
        </w:rPr>
      </w:pPr>
      <w:r w:rsidRPr="0041217C">
        <w:rPr>
          <w:color w:val="C00000"/>
        </w:rPr>
        <w:t>(Please ignore the yellow part for now, it will be updated based on the outcome of Q1.1 &amp; Q1.2)</w:t>
      </w:r>
    </w:p>
    <w:tbl>
      <w:tblPr>
        <w:tblStyle w:val="TableGrid"/>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BodyText"/>
              <w:jc w:val="center"/>
              <w:rPr>
                <w:sz w:val="20"/>
                <w:szCs w:val="20"/>
              </w:rPr>
            </w:pPr>
            <w:r>
              <w:rPr>
                <w:sz w:val="20"/>
                <w:szCs w:val="20"/>
              </w:rPr>
              <w:t>Agree?</w:t>
            </w:r>
          </w:p>
          <w:p w14:paraId="7238BAD9" w14:textId="77777777" w:rsidR="004B2550" w:rsidRPr="006934EF" w:rsidRDefault="004B2550" w:rsidP="00F1768B">
            <w:pPr>
              <w:pStyle w:val="BodyText"/>
              <w:jc w:val="center"/>
              <w:rPr>
                <w:sz w:val="20"/>
                <w:szCs w:val="20"/>
              </w:rPr>
            </w:pPr>
            <w:r>
              <w:rPr>
                <w:sz w:val="20"/>
                <w:szCs w:val="20"/>
              </w:rPr>
              <w:lastRenderedPageBreak/>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BodyText"/>
              <w:jc w:val="center"/>
            </w:pPr>
            <w:r w:rsidRPr="006934EF">
              <w:rPr>
                <w:sz w:val="20"/>
                <w:szCs w:val="20"/>
              </w:rPr>
              <w:lastRenderedPageBreak/>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BodyText"/>
      </w:pPr>
    </w:p>
    <w:p w14:paraId="1EE621C5" w14:textId="3F57C84B" w:rsidR="00D43874" w:rsidRDefault="00AC276C" w:rsidP="00D43874">
      <w:pPr>
        <w:pStyle w:val="Heading2"/>
      </w:pPr>
      <w:r>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243446" w:rsidP="00C96EA6">
      <w:pPr>
        <w:spacing w:before="60"/>
        <w:ind w:left="1259" w:hanging="1259"/>
        <w:rPr>
          <w:rFonts w:ascii="Arial" w:eastAsia="MS Mincho" w:hAnsi="Arial" w:cs="Times New Roman"/>
          <w:noProof/>
          <w:szCs w:val="20"/>
          <w:lang w:eastAsia="en-GB"/>
        </w:rPr>
      </w:pPr>
      <w:hyperlink r:id="rId34"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243446"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243446"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243446" w:rsidP="00F62930">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243446" w:rsidP="00C96EA6">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TableGrid"/>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xml:space="preserve">), and this does not </w:t>
            </w:r>
            <w:r w:rsidRPr="0041217C">
              <w:rPr>
                <w:color w:val="0070C0"/>
                <w:lang w:val="en-GB"/>
              </w:rPr>
              <w:lastRenderedPageBreak/>
              <w:t>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lastRenderedPageBreak/>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BFBFBF" w:themeFill="background1" w:themeFillShade="BF"/>
            <w:vAlign w:val="center"/>
          </w:tcPr>
          <w:p w14:paraId="0E9DEEF0" w14:textId="77777777" w:rsidR="003207E8" w:rsidRPr="006934EF" w:rsidRDefault="003207E8" w:rsidP="003207E8">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BodyText"/>
              <w:jc w:val="center"/>
              <w:rPr>
                <w:sz w:val="20"/>
                <w:szCs w:val="20"/>
              </w:rPr>
            </w:pPr>
            <w:r>
              <w:rPr>
                <w:sz w:val="20"/>
                <w:szCs w:val="20"/>
              </w:rPr>
              <w:t>Agree?</w:t>
            </w:r>
          </w:p>
          <w:p w14:paraId="5CBFA928" w14:textId="77777777" w:rsidR="003207E8" w:rsidRPr="006934EF" w:rsidRDefault="003207E8" w:rsidP="003207E8">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BodyText"/>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Malgun Gothic"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872A8E">
        <w:tc>
          <w:tcPr>
            <w:tcW w:w="1948" w:type="dxa"/>
            <w:vAlign w:val="center"/>
          </w:tcPr>
          <w:p w14:paraId="5DF3CFF9" w14:textId="32B3CBF6" w:rsidR="00BC06A6" w:rsidRDefault="00BC06A6" w:rsidP="00872A8E">
            <w:pPr>
              <w:jc w:val="center"/>
              <w:rPr>
                <w:rFonts w:ascii="Arial" w:eastAsia="Malgun Gothic" w:hAnsi="Arial" w:cs="Arial" w:hint="eastAsia"/>
                <w:szCs w:val="20"/>
              </w:rPr>
            </w:pPr>
            <w:r>
              <w:rPr>
                <w:rFonts w:ascii="Arial" w:eastAsia="Malgun Gothic" w:hAnsi="Arial" w:cs="Arial"/>
                <w:szCs w:val="20"/>
              </w:rPr>
              <w:t>Huawei</w:t>
            </w:r>
          </w:p>
        </w:tc>
        <w:tc>
          <w:tcPr>
            <w:tcW w:w="1262" w:type="dxa"/>
            <w:vAlign w:val="center"/>
          </w:tcPr>
          <w:p w14:paraId="6D7E638D" w14:textId="36A47528" w:rsidR="00BC06A6" w:rsidRDefault="00BC06A6" w:rsidP="00872A8E">
            <w:pPr>
              <w:jc w:val="center"/>
              <w:rPr>
                <w:rFonts w:ascii="Arial" w:eastAsia="Malgun Gothic" w:hAnsi="Arial" w:cs="Arial" w:hint="eastAsia"/>
                <w:szCs w:val="20"/>
              </w:rPr>
            </w:pPr>
            <w:r>
              <w:rPr>
                <w:rFonts w:ascii="Arial" w:eastAsia="Malgun Gothic" w:hAnsi="Arial" w:cs="Arial"/>
                <w:szCs w:val="20"/>
              </w:rPr>
              <w:t>Agree</w:t>
            </w:r>
          </w:p>
        </w:tc>
        <w:tc>
          <w:tcPr>
            <w:tcW w:w="6193" w:type="dxa"/>
          </w:tcPr>
          <w:p w14:paraId="24BE0386" w14:textId="77777777" w:rsidR="00BC06A6" w:rsidRDefault="00BC06A6" w:rsidP="00872A8E">
            <w:pPr>
              <w:rPr>
                <w:rFonts w:ascii="Arial" w:hAnsi="Arial" w:cs="Arial"/>
                <w:szCs w:val="20"/>
              </w:rPr>
            </w:pPr>
          </w:p>
        </w:tc>
      </w:tr>
    </w:tbl>
    <w:p w14:paraId="5CC75F9C" w14:textId="77777777" w:rsidR="003207E8" w:rsidRPr="0041217C" w:rsidRDefault="003207E8" w:rsidP="003207E8">
      <w:pPr>
        <w:ind w:left="1985" w:hanging="1985"/>
        <w:rPr>
          <w:rFonts w:ascii="Arial" w:hAnsi="Arial"/>
          <w:b/>
          <w:lang w:eastAsia="en-GB"/>
        </w:rPr>
      </w:pPr>
    </w:p>
    <w:p w14:paraId="264C4E62" w14:textId="79B913AA" w:rsidR="003207E8" w:rsidRPr="00D0476F" w:rsidRDefault="003207E8"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lastRenderedPageBreak/>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BFBFBF" w:themeFill="background1" w:themeFillShade="BF"/>
            <w:vAlign w:val="center"/>
          </w:tcPr>
          <w:p w14:paraId="32CAA57C" w14:textId="77777777" w:rsidR="00E003EB" w:rsidRPr="006934EF" w:rsidRDefault="00E003EB" w:rsidP="00B5127C">
            <w:pPr>
              <w:pStyle w:val="BodyText"/>
              <w:jc w:val="center"/>
              <w:rPr>
                <w:sz w:val="20"/>
                <w:szCs w:val="20"/>
              </w:rPr>
            </w:pPr>
            <w:r w:rsidRPr="006934EF">
              <w:rPr>
                <w:sz w:val="20"/>
                <w:szCs w:val="20"/>
              </w:rPr>
              <w:lastRenderedPageBreak/>
              <w:t>Company</w:t>
            </w:r>
          </w:p>
        </w:tc>
        <w:tc>
          <w:tcPr>
            <w:tcW w:w="1262" w:type="dxa"/>
            <w:shd w:val="clear" w:color="auto" w:fill="BFBFBF" w:themeFill="background1" w:themeFillShade="BF"/>
            <w:vAlign w:val="center"/>
          </w:tcPr>
          <w:p w14:paraId="233B5134" w14:textId="77777777" w:rsidR="00E003EB" w:rsidRDefault="00E003EB" w:rsidP="00B5127C">
            <w:pPr>
              <w:pStyle w:val="BodyText"/>
              <w:jc w:val="center"/>
              <w:rPr>
                <w:sz w:val="20"/>
                <w:szCs w:val="20"/>
              </w:rPr>
            </w:pPr>
            <w:r>
              <w:rPr>
                <w:sz w:val="20"/>
                <w:szCs w:val="20"/>
              </w:rPr>
              <w:t>Agree?</w:t>
            </w:r>
          </w:p>
          <w:p w14:paraId="35A6F27C" w14:textId="77777777" w:rsidR="00E003EB" w:rsidRPr="006934EF" w:rsidRDefault="00E003EB" w:rsidP="00B5127C">
            <w:pPr>
              <w:pStyle w:val="BodyText"/>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BodyText"/>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Heading4"/>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Malgun Gothic"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Malgun Gothic" w:hAnsi="Arial" w:cs="Arial" w:hint="eastAsia"/>
                <w:sz w:val="20"/>
                <w:szCs w:val="20"/>
              </w:rPr>
              <w:t xml:space="preserve">We prefer to set default </w:t>
            </w:r>
            <w:r>
              <w:rPr>
                <w:rFonts w:ascii="Arial" w:eastAsia="Malgun Gothic" w:hAnsi="Arial" w:cs="Arial"/>
                <w:sz w:val="20"/>
                <w:szCs w:val="20"/>
              </w:rPr>
              <w:t>value</w:t>
            </w:r>
            <w:r w:rsidRPr="0091117B">
              <w:rPr>
                <w:rFonts w:ascii="Arial" w:eastAsia="Malgun Gothic" w:hAnsi="Arial" w:cs="Arial" w:hint="eastAsia"/>
                <w:sz w:val="20"/>
                <w:szCs w:val="20"/>
              </w:rPr>
              <w:t xml:space="preserve"> for the serving cell.</w:t>
            </w:r>
          </w:p>
        </w:tc>
      </w:tr>
      <w:tr w:rsidR="00BC06A6" w14:paraId="128CC5D5" w14:textId="77777777" w:rsidTr="00872A8E">
        <w:tc>
          <w:tcPr>
            <w:tcW w:w="1948" w:type="dxa"/>
            <w:vAlign w:val="center"/>
          </w:tcPr>
          <w:p w14:paraId="647C5BCD" w14:textId="3D8E4296" w:rsidR="00BC06A6" w:rsidRDefault="00BC06A6" w:rsidP="00872A8E">
            <w:pPr>
              <w:jc w:val="center"/>
              <w:rPr>
                <w:rFonts w:ascii="Arial" w:eastAsia="Malgun Gothic" w:hAnsi="Arial" w:cs="Arial" w:hint="eastAsia"/>
                <w:szCs w:val="20"/>
              </w:rPr>
            </w:pPr>
            <w:r>
              <w:rPr>
                <w:rFonts w:ascii="Arial" w:eastAsia="Malgun Gothic" w:hAnsi="Arial" w:cs="Arial"/>
                <w:szCs w:val="20"/>
              </w:rPr>
              <w:t>Huawei</w:t>
            </w:r>
          </w:p>
        </w:tc>
        <w:tc>
          <w:tcPr>
            <w:tcW w:w="1262" w:type="dxa"/>
            <w:vAlign w:val="center"/>
          </w:tcPr>
          <w:p w14:paraId="11DAA762" w14:textId="24CE43D2" w:rsidR="00BC06A6" w:rsidRPr="0091117B" w:rsidRDefault="008D2438" w:rsidP="008D2438">
            <w:pPr>
              <w:jc w:val="center"/>
              <w:rPr>
                <w:rFonts w:ascii="Arial" w:eastAsia="Malgun Gothic" w:hAnsi="Arial" w:cs="Arial"/>
                <w:sz w:val="20"/>
                <w:szCs w:val="20"/>
              </w:rPr>
            </w:pPr>
            <w:r>
              <w:rPr>
                <w:rFonts w:ascii="Arial" w:eastAsia="Malgun Gothic" w:hAnsi="Arial" w:cs="Arial"/>
                <w:sz w:val="20"/>
                <w:szCs w:val="20"/>
              </w:rPr>
              <w:t>Agree P2 Confused about P3</w:t>
            </w:r>
          </w:p>
        </w:tc>
        <w:tc>
          <w:tcPr>
            <w:tcW w:w="6193" w:type="dxa"/>
          </w:tcPr>
          <w:p w14:paraId="180CA5E9" w14:textId="75B0DB77" w:rsidR="00BC06A6" w:rsidRDefault="008D2438" w:rsidP="00872A8E">
            <w:pPr>
              <w:rPr>
                <w:rFonts w:ascii="Arial" w:eastAsia="Malgun Gothic" w:hAnsi="Arial" w:cs="Arial"/>
                <w:sz w:val="20"/>
                <w:szCs w:val="20"/>
              </w:rPr>
            </w:pPr>
            <w:r>
              <w:rPr>
                <w:rFonts w:ascii="Arial" w:eastAsia="Malgun Gothic"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Malgun Gothic" w:hAnsi="Arial" w:cs="Arial"/>
                <w:sz w:val="20"/>
                <w:szCs w:val="20"/>
              </w:rPr>
            </w:pPr>
            <w:r>
              <w:rPr>
                <w:rFonts w:ascii="Arial" w:eastAsia="Malgun Gothic" w:hAnsi="Arial" w:cs="Arial"/>
                <w:sz w:val="20"/>
                <w:szCs w:val="20"/>
              </w:rPr>
              <w:t>Morever, this is what will allow the network to know that the reported measurements for other frequencies are possibly outdated, so it seems better that it is specified.</w:t>
            </w:r>
          </w:p>
          <w:p w14:paraId="0C542143" w14:textId="4C2315D3" w:rsidR="008D2438" w:rsidRPr="0091117B" w:rsidRDefault="008D2438" w:rsidP="00872A8E">
            <w:pPr>
              <w:rPr>
                <w:rFonts w:ascii="Arial" w:eastAsia="Malgun Gothic" w:hAnsi="Arial" w:cs="Arial" w:hint="eastAsia"/>
                <w:sz w:val="20"/>
                <w:szCs w:val="20"/>
              </w:rPr>
            </w:pPr>
            <w:r>
              <w:rPr>
                <w:rFonts w:ascii="Arial" w:eastAsia="Malgun Gothic" w:hAnsi="Arial" w:cs="Arial"/>
                <w:sz w:val="20"/>
                <w:szCs w:val="20"/>
              </w:rPr>
              <w:lastRenderedPageBreak/>
              <w:t>If it is not needed to specify this for the serving cell, why is it needed to specify it for the interfrequency neighbour cell?</w:t>
            </w:r>
          </w:p>
        </w:tc>
      </w:tr>
    </w:tbl>
    <w:p w14:paraId="2DD8A866" w14:textId="4767D706"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ListParagraph"/>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ListParagraph"/>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BFBFBF" w:themeFill="background1" w:themeFillShade="BF"/>
            <w:vAlign w:val="center"/>
          </w:tcPr>
          <w:p w14:paraId="2CF8CC2D" w14:textId="77777777" w:rsidR="00F62930" w:rsidRPr="006934EF" w:rsidRDefault="00F62930"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BodyText"/>
              <w:jc w:val="center"/>
              <w:rPr>
                <w:sz w:val="20"/>
                <w:szCs w:val="20"/>
              </w:rPr>
            </w:pPr>
            <w:r>
              <w:rPr>
                <w:sz w:val="20"/>
                <w:szCs w:val="20"/>
              </w:rPr>
              <w:t>Agree?</w:t>
            </w:r>
          </w:p>
          <w:p w14:paraId="0B51CBA4" w14:textId="77777777" w:rsidR="00F62930" w:rsidRPr="006934EF" w:rsidRDefault="00F62930"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BodyText"/>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Malgun Gothic"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AC3084">
        <w:tc>
          <w:tcPr>
            <w:tcW w:w="1948" w:type="dxa"/>
            <w:vAlign w:val="center"/>
          </w:tcPr>
          <w:p w14:paraId="2B57092F" w14:textId="42EAB095" w:rsidR="008D2438" w:rsidRDefault="008D2438" w:rsidP="00AC3084">
            <w:pPr>
              <w:jc w:val="center"/>
              <w:rPr>
                <w:rFonts w:ascii="Arial" w:eastAsia="Malgun Gothic" w:hAnsi="Arial" w:cs="Arial" w:hint="eastAsia"/>
                <w:szCs w:val="20"/>
              </w:rPr>
            </w:pPr>
            <w:r>
              <w:rPr>
                <w:rFonts w:ascii="Arial" w:eastAsia="Malgun Gothic" w:hAnsi="Arial" w:cs="Arial"/>
                <w:szCs w:val="20"/>
              </w:rPr>
              <w:t>Huawei</w:t>
            </w:r>
          </w:p>
        </w:tc>
        <w:tc>
          <w:tcPr>
            <w:tcW w:w="1262" w:type="dxa"/>
            <w:vAlign w:val="center"/>
          </w:tcPr>
          <w:p w14:paraId="45081F59" w14:textId="40850DB5" w:rsidR="008D2438" w:rsidRDefault="008D2438" w:rsidP="00AC3084">
            <w:pPr>
              <w:jc w:val="center"/>
              <w:rPr>
                <w:rFonts w:ascii="Arial" w:eastAsia="Malgun Gothic" w:hAnsi="Arial" w:cs="Arial" w:hint="eastAsia"/>
                <w:szCs w:val="20"/>
              </w:rPr>
            </w:pPr>
            <w:r>
              <w:rPr>
                <w:rFonts w:ascii="Arial" w:eastAsia="Malgun Gothic"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bl>
    <w:p w14:paraId="69EDB289" w14:textId="77777777" w:rsidR="00F62930" w:rsidRPr="00AF7D6E" w:rsidRDefault="00F62930" w:rsidP="00D0476F">
      <w:pPr>
        <w:spacing w:line="276" w:lineRule="auto"/>
        <w:rPr>
          <w:rFonts w:ascii="Arial" w:hAnsi="Arial"/>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BodyText"/>
              <w:jc w:val="center"/>
              <w:rPr>
                <w:sz w:val="20"/>
                <w:szCs w:val="20"/>
              </w:rPr>
            </w:pPr>
            <w:r>
              <w:rPr>
                <w:sz w:val="20"/>
                <w:szCs w:val="20"/>
              </w:rPr>
              <w:t>Agree?</w:t>
            </w:r>
          </w:p>
          <w:p w14:paraId="3459DEA9" w14:textId="77777777" w:rsidR="00A50FCC" w:rsidRPr="006934EF" w:rsidRDefault="00A50FCC"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BodyText"/>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Heading2"/>
      </w:pPr>
      <w:r w:rsidRPr="00D0476F">
        <w:t xml:space="preserve">Clarification on beam measurement and reporting </w:t>
      </w:r>
    </w:p>
    <w:p w14:paraId="1683C11E" w14:textId="77777777" w:rsidR="00D0476F" w:rsidRPr="0041217C" w:rsidRDefault="00243446" w:rsidP="00D0476F">
      <w:pPr>
        <w:spacing w:before="60"/>
        <w:ind w:left="1259" w:hanging="1259"/>
        <w:rPr>
          <w:rFonts w:ascii="Arial" w:eastAsia="MS Mincho" w:hAnsi="Arial" w:cs="Times New Roman"/>
          <w:noProof/>
          <w:lang w:eastAsia="en-GB"/>
        </w:rPr>
      </w:pPr>
      <w:hyperlink r:id="rId39"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ListParagraph"/>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ListParagraph"/>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TableGrid"/>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BFBFBF" w:themeFill="background1" w:themeFillShade="BF"/>
            <w:vAlign w:val="center"/>
          </w:tcPr>
          <w:p w14:paraId="4AC584F4" w14:textId="77777777" w:rsidR="004B2550" w:rsidRPr="006934EF" w:rsidRDefault="004B2550" w:rsidP="00906E6E">
            <w:pPr>
              <w:pStyle w:val="BodyText"/>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BodyText"/>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BodyText"/>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BodyText"/>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Malgun Gothic" w:hAnsi="Arial" w:cs="Arial" w:hint="eastAsia"/>
                <w:szCs w:val="20"/>
              </w:rPr>
              <w:lastRenderedPageBreak/>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Malgun Gothic"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Malgun Gothic" w:hAnsi="Arial" w:cs="Arial"/>
                <w:sz w:val="20"/>
                <w:szCs w:val="20"/>
              </w:rPr>
              <w:t xml:space="preserve">We understand the intention of this CR, </w:t>
            </w:r>
            <w:r>
              <w:rPr>
                <w:rFonts w:ascii="Arial" w:eastAsia="Malgun Gothic"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AC3084">
        <w:tc>
          <w:tcPr>
            <w:tcW w:w="1701" w:type="dxa"/>
            <w:vAlign w:val="center"/>
          </w:tcPr>
          <w:p w14:paraId="5534871C" w14:textId="4BA19EE7" w:rsidR="00E36739" w:rsidRDefault="00E36739" w:rsidP="00AC3084">
            <w:pPr>
              <w:jc w:val="center"/>
              <w:rPr>
                <w:rFonts w:ascii="Arial" w:eastAsia="Malgun Gothic" w:hAnsi="Arial" w:cs="Arial" w:hint="eastAsia"/>
                <w:szCs w:val="20"/>
              </w:rPr>
            </w:pPr>
            <w:r>
              <w:rPr>
                <w:rFonts w:ascii="Arial" w:eastAsia="Malgun Gothic" w:hAnsi="Arial" w:cs="Arial"/>
                <w:szCs w:val="20"/>
              </w:rPr>
              <w:t>Huawei</w:t>
            </w:r>
          </w:p>
        </w:tc>
        <w:tc>
          <w:tcPr>
            <w:tcW w:w="1559" w:type="dxa"/>
            <w:vAlign w:val="center"/>
          </w:tcPr>
          <w:p w14:paraId="5B30204D" w14:textId="0D0F2A14" w:rsidR="00E36739" w:rsidRDefault="00E36739" w:rsidP="00AC3084">
            <w:pPr>
              <w:jc w:val="center"/>
              <w:rPr>
                <w:rFonts w:ascii="Arial" w:eastAsia="Malgun Gothic" w:hAnsi="Arial" w:cs="Arial" w:hint="eastAsia"/>
                <w:szCs w:val="20"/>
              </w:rPr>
            </w:pPr>
            <w:r>
              <w:rPr>
                <w:rFonts w:ascii="Arial" w:eastAsia="Malgun Gothic" w:hAnsi="Arial" w:cs="Arial"/>
                <w:szCs w:val="20"/>
              </w:rPr>
              <w:t>Yes</w:t>
            </w:r>
          </w:p>
        </w:tc>
        <w:tc>
          <w:tcPr>
            <w:tcW w:w="1134" w:type="dxa"/>
            <w:vAlign w:val="center"/>
          </w:tcPr>
          <w:p w14:paraId="60540FB9" w14:textId="0B1B6418" w:rsidR="00E36739" w:rsidRDefault="00E36739" w:rsidP="00AC3084">
            <w:pPr>
              <w:jc w:val="center"/>
              <w:rPr>
                <w:rFonts w:ascii="Arial" w:eastAsia="Malgun Gothic" w:hAnsi="Arial" w:cs="Arial" w:hint="eastAsia"/>
                <w:szCs w:val="20"/>
              </w:rPr>
            </w:pPr>
            <w:r>
              <w:rPr>
                <w:rFonts w:ascii="Arial" w:eastAsia="Malgun Gothic" w:hAnsi="Arial" w:cs="Arial"/>
                <w:szCs w:val="20"/>
              </w:rPr>
              <w:t>Alt 2</w:t>
            </w:r>
          </w:p>
        </w:tc>
        <w:tc>
          <w:tcPr>
            <w:tcW w:w="4956" w:type="dxa"/>
          </w:tcPr>
          <w:p w14:paraId="33D3D94F" w14:textId="4C14652F" w:rsidR="00E36739" w:rsidRDefault="00E36739" w:rsidP="00AC3084">
            <w:pPr>
              <w:rPr>
                <w:rFonts w:ascii="Arial" w:eastAsia="Malgun Gothic" w:hAnsi="Arial" w:cs="Arial"/>
                <w:sz w:val="20"/>
                <w:szCs w:val="20"/>
              </w:rPr>
            </w:pPr>
            <w:r>
              <w:rPr>
                <w:rFonts w:ascii="Arial" w:eastAsia="Malgun Gothic"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Malgun Gothic" w:hAnsi="Arial" w:cs="Arial"/>
                <w:sz w:val="20"/>
                <w:szCs w:val="20"/>
              </w:rPr>
            </w:pPr>
            <w:r>
              <w:rPr>
                <w:rFonts w:ascii="Arial" w:eastAsia="Malgun Gothic"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Malgun Gothic" w:hAnsi="Arial" w:cs="Arial"/>
                <w:sz w:val="20"/>
                <w:szCs w:val="20"/>
              </w:rPr>
            </w:pPr>
            <w:r>
              <w:rPr>
                <w:rFonts w:ascii="Arial" w:eastAsia="Malgun Gothic" w:hAnsi="Arial" w:cs="Arial"/>
                <w:sz w:val="20"/>
                <w:szCs w:val="20"/>
              </w:rPr>
              <w:t>Effectively, this means that it is not possible to configure eam reporting in SIB4.</w:t>
            </w:r>
          </w:p>
        </w:tc>
      </w:tr>
    </w:tbl>
    <w:p w14:paraId="433CC376" w14:textId="61446A6A"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TableGrid"/>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BFBFBF" w:themeFill="background1" w:themeFillShade="BF"/>
            <w:vAlign w:val="center"/>
          </w:tcPr>
          <w:p w14:paraId="6B1F82C3" w14:textId="77777777" w:rsidR="006726A9" w:rsidRPr="006934EF" w:rsidRDefault="006726A9" w:rsidP="00F1768B">
            <w:pPr>
              <w:pStyle w:val="BodyText"/>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BodyText"/>
              <w:jc w:val="center"/>
              <w:rPr>
                <w:sz w:val="20"/>
                <w:szCs w:val="20"/>
              </w:rPr>
            </w:pPr>
            <w:r>
              <w:rPr>
                <w:sz w:val="20"/>
                <w:szCs w:val="20"/>
              </w:rPr>
              <w:t>Agree</w:t>
            </w:r>
          </w:p>
          <w:p w14:paraId="32E85153" w14:textId="0930F70F" w:rsidR="00F128FA" w:rsidRPr="006934EF" w:rsidRDefault="00F128FA" w:rsidP="00063B48">
            <w:pPr>
              <w:pStyle w:val="BodyText"/>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BodyText"/>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Malgun Gothic" w:hAnsi="Arial" w:cs="Arial" w:hint="eastAsia"/>
                <w:szCs w:val="20"/>
              </w:rPr>
              <w:t>Same view with Ericsson.</w:t>
            </w:r>
          </w:p>
        </w:tc>
      </w:tr>
      <w:tr w:rsidR="00E36739" w:rsidRPr="00AF7D6E" w14:paraId="22CB14B9" w14:textId="77777777" w:rsidTr="00AC3084">
        <w:tc>
          <w:tcPr>
            <w:tcW w:w="1872" w:type="dxa"/>
            <w:vAlign w:val="center"/>
          </w:tcPr>
          <w:p w14:paraId="6C2603AF" w14:textId="63E6D4CC" w:rsidR="00E36739" w:rsidRDefault="00E36739" w:rsidP="00AC3084">
            <w:pPr>
              <w:jc w:val="center"/>
              <w:rPr>
                <w:rFonts w:ascii="Arial" w:eastAsia="Malgun Gothic" w:hAnsi="Arial" w:cs="Arial" w:hint="eastAsia"/>
                <w:szCs w:val="20"/>
              </w:rPr>
            </w:pPr>
            <w:r>
              <w:rPr>
                <w:rFonts w:ascii="Arial" w:eastAsia="Malgun Gothic" w:hAnsi="Arial" w:cs="Arial"/>
                <w:szCs w:val="20"/>
              </w:rPr>
              <w:t>Huawei</w:t>
            </w:r>
          </w:p>
        </w:tc>
        <w:tc>
          <w:tcPr>
            <w:tcW w:w="1292" w:type="dxa"/>
            <w:vAlign w:val="center"/>
          </w:tcPr>
          <w:p w14:paraId="0968544D" w14:textId="297E93EA" w:rsidR="00E36739" w:rsidRDefault="00E36739" w:rsidP="00AC3084">
            <w:pPr>
              <w:jc w:val="center"/>
              <w:rPr>
                <w:rFonts w:ascii="Arial" w:eastAsia="Malgun Gothic" w:hAnsi="Arial" w:cs="Arial" w:hint="eastAsia"/>
                <w:szCs w:val="20"/>
              </w:rPr>
            </w:pPr>
            <w:r>
              <w:rPr>
                <w:rFonts w:ascii="Arial" w:eastAsia="Malgun Gothic" w:hAnsi="Arial" w:cs="Arial"/>
                <w:szCs w:val="20"/>
              </w:rPr>
              <w:t>Yes</w:t>
            </w:r>
          </w:p>
        </w:tc>
        <w:tc>
          <w:tcPr>
            <w:tcW w:w="6215" w:type="dxa"/>
          </w:tcPr>
          <w:p w14:paraId="0276CE0A" w14:textId="27F0F2AB" w:rsidR="00E36739" w:rsidRDefault="00E36739" w:rsidP="00AC3084">
            <w:pPr>
              <w:rPr>
                <w:rFonts w:ascii="Arial" w:eastAsia="Malgun Gothic" w:hAnsi="Arial" w:cs="Arial" w:hint="eastAsia"/>
                <w:szCs w:val="20"/>
              </w:rPr>
            </w:pPr>
            <w:r>
              <w:rPr>
                <w:rFonts w:ascii="Arial" w:eastAsia="Malgun Gothic" w:hAnsi="Arial" w:cs="Arial"/>
                <w:szCs w:val="20"/>
              </w:rPr>
              <w:t>We explain above why Nokia's reasoning is correct in general but not here.</w:t>
            </w:r>
            <w:r w:rsidR="00910E62">
              <w:rPr>
                <w:rFonts w:ascii="Arial" w:eastAsia="Malgun Gothic" w:hAnsi="Arial" w:cs="Arial"/>
                <w:szCs w:val="20"/>
              </w:rPr>
              <w:t xml:space="preserve"> We think ou</w:t>
            </w:r>
            <w:bookmarkStart w:id="2" w:name="_GoBack"/>
            <w:bookmarkEnd w:id="2"/>
            <w:r w:rsidR="00910E62">
              <w:rPr>
                <w:rFonts w:ascii="Arial" w:eastAsia="Malgun Gothic" w:hAnsi="Arial" w:cs="Arial"/>
                <w:szCs w:val="20"/>
              </w:rPr>
              <w:t>r point was missed.</w:t>
            </w:r>
          </w:p>
        </w:tc>
      </w:tr>
    </w:tbl>
    <w:p w14:paraId="0145BEEF" w14:textId="6E606BCC"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40"/>
      <w:footerReference w:type="defaul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FAAF" w14:textId="77777777" w:rsidR="002D03CC" w:rsidRDefault="002D03CC">
      <w:r>
        <w:separator/>
      </w:r>
    </w:p>
  </w:endnote>
  <w:endnote w:type="continuationSeparator" w:id="0">
    <w:p w14:paraId="55115D7A" w14:textId="77777777" w:rsidR="002D03CC" w:rsidRDefault="002D03CC">
      <w:r>
        <w:continuationSeparator/>
      </w:r>
    </w:p>
  </w:endnote>
  <w:endnote w:type="continuationNotice" w:id="1">
    <w:p w14:paraId="13C7B4EC" w14:textId="77777777" w:rsidR="002D03CC" w:rsidRDefault="002D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243446" w:rsidRDefault="0024344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0E62">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E62">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64F6A" w14:textId="77777777" w:rsidR="002D03CC" w:rsidRDefault="002D03CC">
      <w:r>
        <w:separator/>
      </w:r>
    </w:p>
  </w:footnote>
  <w:footnote w:type="continuationSeparator" w:id="0">
    <w:p w14:paraId="34CCD741" w14:textId="77777777" w:rsidR="002D03CC" w:rsidRDefault="002D03CC">
      <w:r>
        <w:continuationSeparator/>
      </w:r>
    </w:p>
  </w:footnote>
  <w:footnote w:type="continuationNotice" w:id="1">
    <w:p w14:paraId="64920637" w14:textId="77777777" w:rsidR="002D03CC" w:rsidRDefault="002D0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243446" w:rsidRDefault="002434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C41E6"/>
    <w:rsid w:val="002D03CC"/>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282A"/>
    <w:rsid w:val="00B63EB9"/>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3004"/>
    <w:rsid w:val="00CB7170"/>
    <w:rsid w:val="00CC040E"/>
    <w:rsid w:val="00CC111F"/>
    <w:rsid w:val="00CC1278"/>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766C"/>
    <w:rsid w:val="00F5060E"/>
    <w:rsid w:val="00F507D1"/>
    <w:rsid w:val="00F519CE"/>
    <w:rsid w:val="00F51ADA"/>
    <w:rsid w:val="00F527A9"/>
    <w:rsid w:val="00F60203"/>
    <w:rsid w:val="00F607C5"/>
    <w:rsid w:val="00F60C51"/>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9D"/>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8B13CC"/>
    <w:pPr>
      <w:numPr>
        <w:ilvl w:val="7"/>
        <w:numId w:val="25"/>
      </w:numPr>
      <w:overflowPunct w:val="0"/>
      <w:adjustRightInd w:val="0"/>
      <w:outlineLvl w:val="7"/>
    </w:pPr>
    <w:rPr>
      <w:rFonts w:ascii="Times New Roman" w:eastAsia="宋体" w:hAnsi="Times New Roman" w:cs="Times New Roman"/>
      <w:color w:val="00000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5610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109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8B13C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8B13C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表段落11"/>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1074.zip" TargetMode="External"/><Relationship Id="rId39" Type="http://schemas.openxmlformats.org/officeDocument/2006/relationships/hyperlink" Target="https://www.3gpp.org/ftp/TSG_RAN/WG2_RL2/TSGR2_113-e/Docs/R2-2101692.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90.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3.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oleObject" Target="embeddings/oleObject1.bin"/><Relationship Id="rId37" Type="http://schemas.openxmlformats.org/officeDocument/2006/relationships/hyperlink" Target="https://www.3gpp.org/ftp/TSG_RAN/WG2_RL2/TSGR2_113-e/Docs/R2-2101693.zip"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5.zip" TargetMode="External"/><Relationship Id="rId36" Type="http://schemas.openxmlformats.org/officeDocument/2006/relationships/hyperlink" Target="https://www.3gpp.org/ftp/TSG_RAN/WG2_RL2/TSGR2_113-e/Docs/R2-210107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4.zip" TargetMode="External"/><Relationship Id="rId30" Type="http://schemas.openxmlformats.org/officeDocument/2006/relationships/hyperlink" Target="https://www.3gpp.org/ftp/TSG_RAN/WG2_RL2/TSGR2_113-e/Docs/R2-2100566.zip" TargetMode="External"/><Relationship Id="rId35" Type="http://schemas.openxmlformats.org/officeDocument/2006/relationships/hyperlink" Target="https://www.3gpp.org/ftp/TSG_RAN/WG2_RL2/TSGR2_113-e/Docs/R2-2100567.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3.zip" TargetMode="External"/><Relationship Id="rId33" Type="http://schemas.openxmlformats.org/officeDocument/2006/relationships/hyperlink" Target="https://www.3gpp.org/ftp/TSG_RAN/WG2_RL2/TSGR2_113-e/Docs/R2-2100566.zip" TargetMode="External"/><Relationship Id="rId38" Type="http://schemas.openxmlformats.org/officeDocument/2006/relationships/hyperlink" Target="https://www.3gpp.org/ftp/TSG_RAN/WG2_RL2/TSGR2_113-e/Docs/R2-21001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9FA14-C644-4E17-AE96-01CE46ED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5290</Words>
  <Characters>30212</Characters>
  <Application>Microsoft Office Word</Application>
  <DocSecurity>0</DocSecurity>
  <Lines>702</Lines>
  <Paragraphs>473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35029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Huawei</cp:lastModifiedBy>
  <cp:revision>3</cp:revision>
  <cp:lastPrinted>2008-01-31T07:09:00Z</cp:lastPrinted>
  <dcterms:created xsi:type="dcterms:W3CDTF">2021-01-28T09:24:00Z</dcterms:created>
  <dcterms:modified xsi:type="dcterms:W3CDTF">2021-01-28T10:16:00Z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ies>
</file>