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7E87C71E" w:rsidR="00E90E49" w:rsidRPr="00CE0424" w:rsidRDefault="005D0EDB" w:rsidP="005D0EDB">
      <w:pPr>
        <w:pStyle w:val="1"/>
      </w:pPr>
      <w:r>
        <w:t xml:space="preserve">1  </w:t>
      </w:r>
      <w:r w:rsidR="00E90E49" w:rsidRPr="00CE0424">
        <w:t>Introduction</w:t>
      </w:r>
    </w:p>
    <w:p w14:paraId="0EEDE408" w14:textId="075F9AED" w:rsidR="00477768" w:rsidRPr="0041217C" w:rsidRDefault="006B4E9D" w:rsidP="00CE0424">
      <w:pPr>
        <w:pStyle w:val="a2"/>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a2"/>
      </w:pPr>
    </w:p>
    <w:p w14:paraId="3CCB6131" w14:textId="1B232D15" w:rsidR="00333F7E" w:rsidRPr="0041217C" w:rsidRDefault="00782B4A" w:rsidP="00CE0424">
      <w:pPr>
        <w:pStyle w:val="a2"/>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BF306B"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BF306B"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BF306B"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BF306B"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BF306B"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BF306B"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BF306B"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BF306B"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BF306B"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BF306B"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BF306B"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35C88C01" w:rsidR="00A042E1" w:rsidRDefault="005D0EDB" w:rsidP="00A042E1">
      <w:pPr>
        <w:pStyle w:val="1"/>
        <w:pBdr>
          <w:top w:val="single" w:sz="12" w:space="0" w:color="auto"/>
        </w:pBdr>
        <w:ind w:left="1134" w:hanging="1134"/>
      </w:pPr>
      <w:bookmarkStart w:id="0" w:name="_Ref178064866"/>
      <w:r>
        <w:t xml:space="preserve">2  </w:t>
      </w:r>
      <w:r w:rsidR="00A042E1">
        <w:t>Contact Information</w:t>
      </w:r>
    </w:p>
    <w:tbl>
      <w:tblPr>
        <w:tblStyle w:val="afa"/>
        <w:tblW w:w="0" w:type="auto"/>
        <w:tblInd w:w="339" w:type="dxa"/>
        <w:tblLayout w:type="fixed"/>
        <w:tblLook w:val="04A0" w:firstRow="1" w:lastRow="0" w:firstColumn="1" w:lastColumn="0" w:noHBand="0" w:noVBand="1"/>
      </w:tblPr>
      <w:tblGrid>
        <w:gridCol w:w="2292"/>
        <w:gridCol w:w="7224"/>
      </w:tblGrid>
      <w:tr w:rsidR="00A042E1" w14:paraId="62B5AB82" w14:textId="77777777" w:rsidTr="00E405DA">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E405DA">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E405DA">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BF306B" w:rsidP="00A042E1">
            <w:pPr>
              <w:snapToGrid w:val="0"/>
              <w:spacing w:before="120" w:after="120"/>
              <w:rPr>
                <w:rFonts w:ascii="Arial" w:hAnsi="Arial" w:cs="Arial"/>
                <w:lang w:val="en-GB" w:eastAsia="ja-JP"/>
              </w:rPr>
            </w:pPr>
            <w:hyperlink r:id="rId23" w:history="1">
              <w:r w:rsidR="008B13CC" w:rsidRPr="00DE05E9">
                <w:rPr>
                  <w:rStyle w:val="af"/>
                  <w:rFonts w:ascii="Arial" w:hAnsi="Arial" w:cs="Arial"/>
                  <w:lang w:val="en-GB" w:eastAsia="ja-JP"/>
                </w:rPr>
                <w:t>chengp@qti.qualcomm.com</w:t>
              </w:r>
            </w:hyperlink>
          </w:p>
        </w:tc>
      </w:tr>
      <w:tr w:rsidR="00D22DE2" w14:paraId="3F32057D" w14:textId="77777777" w:rsidTr="00E405DA">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BF306B" w:rsidP="00D22DE2">
            <w:pPr>
              <w:snapToGrid w:val="0"/>
              <w:spacing w:before="120" w:after="120"/>
              <w:rPr>
                <w:rFonts w:ascii="Arial" w:hAnsi="Arial" w:cs="Arial"/>
                <w:lang w:val="en-GB" w:eastAsia="ja-JP"/>
              </w:rPr>
            </w:pPr>
            <w:hyperlink r:id="rId24" w:history="1">
              <w:r w:rsidR="00EA3529" w:rsidRPr="00A322DB">
                <w:rPr>
                  <w:rStyle w:val="af"/>
                  <w:rFonts w:ascii="Arial" w:hAnsi="Arial" w:cs="Arial"/>
                  <w:lang w:eastAsia="ja-JP"/>
                </w:rPr>
                <w:t>stefan.wager@ericsson.com</w:t>
              </w:r>
            </w:hyperlink>
          </w:p>
        </w:tc>
      </w:tr>
      <w:tr w:rsidR="00D22DE2" w14:paraId="3CA2B04E" w14:textId="77777777" w:rsidTr="00E405DA">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E405DA">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6F2B5F69" w:rsidR="00243446" w:rsidRDefault="00BF306B" w:rsidP="00D22DE2">
            <w:pPr>
              <w:snapToGrid w:val="0"/>
              <w:spacing w:before="120" w:after="120"/>
              <w:rPr>
                <w:rFonts w:ascii="Arial" w:hAnsi="Arial" w:cs="Arial"/>
                <w:lang w:eastAsia="ja-JP"/>
              </w:rPr>
            </w:pPr>
            <w:hyperlink r:id="rId25" w:history="1">
              <w:r w:rsidR="00DB14FB" w:rsidRPr="00C35B53">
                <w:rPr>
                  <w:rStyle w:val="af"/>
                  <w:rFonts w:ascii="Arial" w:hAnsi="Arial" w:cs="Arial"/>
                  <w:lang w:eastAsia="ja-JP"/>
                </w:rPr>
                <w:t>david.lecompte@huawei.com</w:t>
              </w:r>
            </w:hyperlink>
          </w:p>
        </w:tc>
      </w:tr>
      <w:tr w:rsidR="00DB14FB" w14:paraId="7CAC983D" w14:textId="77777777" w:rsidTr="00E405DA">
        <w:tc>
          <w:tcPr>
            <w:tcW w:w="2292" w:type="dxa"/>
            <w:vAlign w:val="bottom"/>
          </w:tcPr>
          <w:p w14:paraId="16956418" w14:textId="7524B54D" w:rsidR="00DB14FB" w:rsidRPr="00DB14FB" w:rsidRDefault="00DB14FB" w:rsidP="00D22DE2">
            <w:pPr>
              <w:snapToGrid w:val="0"/>
              <w:spacing w:before="120" w:after="120"/>
              <w:rPr>
                <w:rFonts w:ascii="Arial" w:hAnsi="Arial" w:cs="Arial"/>
                <w:lang w:eastAsia="ja-JP"/>
              </w:rPr>
            </w:pPr>
            <w:r>
              <w:rPr>
                <w:rFonts w:ascii="Arial" w:hAnsi="Arial" w:cs="Arial"/>
                <w:lang w:eastAsia="ja-JP"/>
              </w:rPr>
              <w:t>Samsung</w:t>
            </w:r>
          </w:p>
        </w:tc>
        <w:tc>
          <w:tcPr>
            <w:tcW w:w="7224" w:type="dxa"/>
            <w:vAlign w:val="bottom"/>
          </w:tcPr>
          <w:p w14:paraId="7C2D9B52" w14:textId="28C01FEC" w:rsidR="00DB14FB" w:rsidRPr="00DB14FB" w:rsidRDefault="00DB14FB" w:rsidP="00D22DE2">
            <w:pPr>
              <w:snapToGrid w:val="0"/>
              <w:spacing w:before="120" w:after="120"/>
              <w:rPr>
                <w:rFonts w:ascii="Arial" w:eastAsia="Malgun Gothic" w:hAnsi="Arial" w:cs="Arial"/>
              </w:rPr>
            </w:pPr>
            <w:r>
              <w:rPr>
                <w:rFonts w:ascii="Arial" w:eastAsia="Malgun Gothic" w:hAnsi="Arial" w:cs="Arial"/>
              </w:rPr>
              <w:t>s_dg.kim@samsung.com</w:t>
            </w:r>
          </w:p>
        </w:tc>
      </w:tr>
      <w:tr w:rsidR="00293D42" w14:paraId="2695873C" w14:textId="77777777" w:rsidTr="00E405DA">
        <w:tc>
          <w:tcPr>
            <w:tcW w:w="2292" w:type="dxa"/>
            <w:vAlign w:val="bottom"/>
          </w:tcPr>
          <w:p w14:paraId="7AEA781D" w14:textId="5CC76948" w:rsidR="00293D42" w:rsidRDefault="00293D42" w:rsidP="00D22DE2">
            <w:pPr>
              <w:snapToGrid w:val="0"/>
              <w:spacing w:before="120" w:after="120"/>
              <w:rPr>
                <w:rFonts w:ascii="Arial" w:hAnsi="Arial" w:cs="Arial"/>
              </w:rPr>
            </w:pPr>
            <w:r>
              <w:rPr>
                <w:rFonts w:ascii="Arial" w:hAnsi="Arial" w:cs="Arial" w:hint="eastAsia"/>
              </w:rPr>
              <w:t>O</w:t>
            </w:r>
            <w:r>
              <w:rPr>
                <w:rFonts w:ascii="Arial" w:hAnsi="Arial" w:cs="Arial"/>
              </w:rPr>
              <w:t>PPO</w:t>
            </w:r>
          </w:p>
        </w:tc>
        <w:tc>
          <w:tcPr>
            <w:tcW w:w="7224" w:type="dxa"/>
            <w:vAlign w:val="bottom"/>
          </w:tcPr>
          <w:p w14:paraId="100EE5E0" w14:textId="5D8C5778" w:rsidR="00293D42" w:rsidRPr="00293D42" w:rsidRDefault="00E405DA" w:rsidP="00D22DE2">
            <w:pPr>
              <w:snapToGrid w:val="0"/>
              <w:spacing w:before="120" w:after="120"/>
              <w:rPr>
                <w:rFonts w:ascii="Arial" w:hAnsi="Arial" w:cs="Arial"/>
              </w:rPr>
            </w:pPr>
            <w:r w:rsidRPr="00E405DA">
              <w:rPr>
                <w:rFonts w:ascii="Arial" w:hAnsi="Arial" w:cs="Arial" w:hint="eastAsia"/>
              </w:rPr>
              <w:t>w</w:t>
            </w:r>
            <w:r w:rsidRPr="00E405DA">
              <w:rPr>
                <w:rFonts w:ascii="Arial" w:hAnsi="Arial" w:cs="Arial"/>
              </w:rPr>
              <w:t>angshukun@oppo.com</w:t>
            </w:r>
          </w:p>
        </w:tc>
      </w:tr>
      <w:tr w:rsidR="00E405DA" w14:paraId="2D921B64" w14:textId="77777777" w:rsidTr="00E405DA">
        <w:tc>
          <w:tcPr>
            <w:tcW w:w="2292" w:type="dxa"/>
            <w:vAlign w:val="bottom"/>
          </w:tcPr>
          <w:p w14:paraId="27E2655B" w14:textId="2F1FA852" w:rsidR="00E405DA" w:rsidRDefault="00E405DA" w:rsidP="00E405DA">
            <w:pPr>
              <w:snapToGrid w:val="0"/>
              <w:spacing w:before="120" w:after="120"/>
              <w:rPr>
                <w:rFonts w:ascii="Arial" w:hAnsi="Arial" w:cs="Arial" w:hint="eastAsia"/>
              </w:rPr>
            </w:pPr>
            <w:r>
              <w:rPr>
                <w:rFonts w:ascii="Arial" w:hAnsi="Arial" w:cs="Arial"/>
              </w:rPr>
              <w:t>vivo</w:t>
            </w:r>
          </w:p>
        </w:tc>
        <w:tc>
          <w:tcPr>
            <w:tcW w:w="7224" w:type="dxa"/>
            <w:vAlign w:val="bottom"/>
          </w:tcPr>
          <w:p w14:paraId="33570CC8" w14:textId="6C890D48" w:rsidR="00E405DA" w:rsidRDefault="00E405DA" w:rsidP="00E405DA">
            <w:pPr>
              <w:snapToGrid w:val="0"/>
              <w:spacing w:before="120" w:after="120"/>
              <w:rPr>
                <w:rFonts w:ascii="Arial" w:hAnsi="Arial" w:cs="Arial"/>
              </w:rPr>
            </w:pPr>
            <w:r>
              <w:rPr>
                <w:rFonts w:ascii="Arial" w:hAnsi="Arial" w:cs="Arial"/>
              </w:rPr>
              <w:t>wenjuan.pu@vivo.com</w:t>
            </w:r>
          </w:p>
        </w:tc>
      </w:tr>
    </w:tbl>
    <w:p w14:paraId="018D0D55" w14:textId="77777777" w:rsidR="00A042E1" w:rsidRDefault="00A042E1" w:rsidP="00A042E1">
      <w:pPr>
        <w:rPr>
          <w:lang w:eastAsia="ja-JP"/>
        </w:rPr>
      </w:pPr>
    </w:p>
    <w:p w14:paraId="5751BBCE" w14:textId="7FC232DF" w:rsidR="004000E8" w:rsidRPr="00CE0424" w:rsidRDefault="005D0EDB" w:rsidP="00A042E1">
      <w:pPr>
        <w:pStyle w:val="1"/>
      </w:pPr>
      <w:r>
        <w:lastRenderedPageBreak/>
        <w:t xml:space="preserve">3  </w:t>
      </w:r>
      <w:r w:rsidR="004000E8" w:rsidRPr="00CE0424">
        <w:t>Discussion</w:t>
      </w:r>
      <w:bookmarkEnd w:id="0"/>
    </w:p>
    <w:p w14:paraId="4D1EF1E6" w14:textId="461D5BAD" w:rsidR="00AE2BE0" w:rsidRPr="0041217C" w:rsidRDefault="00AE2BE0" w:rsidP="00AE2BE0">
      <w:pPr>
        <w:pStyle w:val="a2"/>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a2"/>
      </w:pPr>
    </w:p>
    <w:p w14:paraId="25ABBD37" w14:textId="4622EDDE" w:rsidR="00AC276C" w:rsidRDefault="005D0EDB" w:rsidP="00773EF0">
      <w:pPr>
        <w:pStyle w:val="21"/>
      </w:pPr>
      <w:r>
        <w:t xml:space="preserve">3.1 </w:t>
      </w:r>
      <w:r w:rsidR="00C96EA6">
        <w:t xml:space="preserve">About RAN4 EMR requirements </w:t>
      </w:r>
    </w:p>
    <w:p w14:paraId="433F53F5" w14:textId="760FB4AC" w:rsidR="00773EF0" w:rsidRDefault="005D0EDB" w:rsidP="00AC276C">
      <w:pPr>
        <w:pStyle w:val="31"/>
      </w:pPr>
      <w:r>
        <w:t xml:space="preserve">3.1.1  </w:t>
      </w:r>
      <w:r w:rsidR="00782B4A">
        <w:t>About new T331 timer value</w:t>
      </w:r>
    </w:p>
    <w:p w14:paraId="07D5364D" w14:textId="77777777" w:rsidR="00E03A94" w:rsidRPr="0041217C" w:rsidRDefault="00BF306B" w:rsidP="00E03A94">
      <w:pPr>
        <w:spacing w:before="60"/>
        <w:ind w:left="1259" w:hanging="1259"/>
        <w:rPr>
          <w:rFonts w:ascii="Arial" w:eastAsia="MS Mincho" w:hAnsi="Arial" w:cs="Times New Roman"/>
          <w:noProof/>
          <w:lang w:eastAsia="en-GB"/>
        </w:rPr>
      </w:pPr>
      <w:hyperlink r:id="rId26"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BF306B"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BF306B"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BF306B" w:rsidP="00782B4A">
      <w:pPr>
        <w:spacing w:before="60"/>
        <w:ind w:left="1259" w:hanging="1259"/>
        <w:rPr>
          <w:rFonts w:ascii="Arial" w:eastAsia="MS Mincho" w:hAnsi="Arial" w:cs="Times New Roman"/>
          <w:noProof/>
          <w:lang w:eastAsia="en-GB"/>
        </w:rPr>
      </w:pPr>
      <w:hyperlink r:id="rId29"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a2"/>
        <w:spacing w:before="120"/>
        <w:rPr>
          <w:szCs w:val="20"/>
        </w:rPr>
      </w:pPr>
      <w:r w:rsidRPr="0041217C">
        <w:rPr>
          <w:szCs w:val="20"/>
        </w:rPr>
        <w:t>The discussion is based on following information provided in RAN4’s LS (R2-2100059/R4-2017390):</w:t>
      </w:r>
    </w:p>
    <w:tbl>
      <w:tblPr>
        <w:tblStyle w:val="afa"/>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when Srxlev &gt; S</w:t>
            </w:r>
            <w:r w:rsidRPr="0041217C">
              <w:rPr>
                <w:rFonts w:ascii="Times New Roman" w:hAnsi="Times New Roman" w:cs="Times New Roman"/>
                <w:bCs/>
                <w:sz w:val="20"/>
                <w:szCs w:val="20"/>
                <w:vertAlign w:val="subscript"/>
                <w:lang w:val="en-GB"/>
              </w:rPr>
              <w:t>nonIntraSearchP</w:t>
            </w:r>
            <w:r w:rsidRPr="0041217C">
              <w:rPr>
                <w:rFonts w:ascii="Times New Roman" w:hAnsi="Times New Roman" w:cs="Times New Roman"/>
                <w:bCs/>
                <w:sz w:val="20"/>
                <w:szCs w:val="20"/>
                <w:lang w:val="en-GB"/>
              </w:rPr>
              <w:t xml:space="preserve"> and Squal &gt; S</w:t>
            </w:r>
            <w:r w:rsidRPr="0041217C">
              <w:rPr>
                <w:rFonts w:ascii="Times New Roman" w:hAnsi="Times New Roman" w:cs="Times New Roman"/>
                <w:bCs/>
                <w:sz w:val="20"/>
                <w:szCs w:val="20"/>
                <w:vertAlign w:val="subscript"/>
                <w:lang w:val="en-GB"/>
              </w:rPr>
              <w:t>nonIntraSearchQ</w:t>
            </w:r>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a2"/>
        <w:spacing w:before="120"/>
        <w:rPr>
          <w:szCs w:val="20"/>
        </w:rPr>
      </w:pPr>
      <w:r w:rsidRPr="00547625">
        <w:rPr>
          <w:szCs w:val="20"/>
        </w:rPr>
        <w:t>As indicated in the first bullet, when Srxlev &gt; S</w:t>
      </w:r>
      <w:r w:rsidRPr="00547625">
        <w:rPr>
          <w:sz w:val="16"/>
          <w:szCs w:val="20"/>
        </w:rPr>
        <w:t>nonintraSearchP</w:t>
      </w:r>
      <w:r w:rsidRPr="00547625">
        <w:rPr>
          <w:szCs w:val="20"/>
        </w:rPr>
        <w:t xml:space="preserve"> and Squal &gt; S</w:t>
      </w:r>
      <w:r w:rsidRPr="00547625">
        <w:rPr>
          <w:sz w:val="16"/>
          <w:szCs w:val="20"/>
        </w:rPr>
        <w:t>nonintraSearchQ</w:t>
      </w:r>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a2"/>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a2"/>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a2"/>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“Srxlev &gt; S</w:t>
      </w:r>
      <w:r w:rsidR="005E7D8D" w:rsidRPr="00547625">
        <w:rPr>
          <w:sz w:val="16"/>
          <w:szCs w:val="20"/>
        </w:rPr>
        <w:t>nonintraSearchP</w:t>
      </w:r>
      <w:r w:rsidR="005E7D8D" w:rsidRPr="00547625">
        <w:rPr>
          <w:szCs w:val="20"/>
        </w:rPr>
        <w:t xml:space="preserve"> and Squal &gt; S</w:t>
      </w:r>
      <w:r w:rsidR="005E7D8D" w:rsidRPr="00547625">
        <w:rPr>
          <w:sz w:val="16"/>
          <w:szCs w:val="20"/>
        </w:rPr>
        <w:t>nonintraSearchQ</w:t>
      </w:r>
      <w:r w:rsidR="005E7D8D" w:rsidRPr="00547625">
        <w:rPr>
          <w:szCs w:val="20"/>
        </w:rPr>
        <w:t xml:space="preserve">” will be satisfied. </w:t>
      </w:r>
    </w:p>
    <w:p w14:paraId="29C5D8CF" w14:textId="1833B038" w:rsidR="00887D14" w:rsidRPr="0041217C" w:rsidRDefault="00443E55" w:rsidP="00443E55">
      <w:pPr>
        <w:pStyle w:val="a2"/>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lastRenderedPageBreak/>
        <w:t xml:space="preserve">DCCA </w:t>
      </w:r>
      <w:r w:rsidRPr="0041217C">
        <w:rPr>
          <w:szCs w:val="20"/>
        </w:rPr>
        <w:t xml:space="preserve">frequencies </w:t>
      </w:r>
      <w:r w:rsidR="006C0B4C" w:rsidRPr="0041217C">
        <w:rPr>
          <w:szCs w:val="20"/>
        </w:rPr>
        <w:t xml:space="preserve">will be more than LTE euCA case. Asking network to reduce the number of EMR frequencies is an unreasonable request. </w:t>
      </w:r>
    </w:p>
    <w:p w14:paraId="4A8283E1" w14:textId="6A9786BA" w:rsidR="00782B4A" w:rsidRPr="0041217C" w:rsidRDefault="006C0B4C" w:rsidP="00DC7D99">
      <w:pPr>
        <w:pStyle w:val="a2"/>
        <w:spacing w:before="120"/>
        <w:rPr>
          <w:szCs w:val="20"/>
        </w:rPr>
      </w:pPr>
      <w:r w:rsidRPr="0041217C">
        <w:rPr>
          <w:szCs w:val="20"/>
        </w:rPr>
        <w:t>In addition, some company also questioned why RAN4 defined EMR requirements associated with S</w:t>
      </w:r>
      <w:r w:rsidRPr="0041217C">
        <w:rPr>
          <w:szCs w:val="20"/>
          <w:vertAlign w:val="subscript"/>
        </w:rPr>
        <w:t>nonintraSearchP</w:t>
      </w:r>
      <w:r w:rsidRPr="0041217C">
        <w:rPr>
          <w:szCs w:val="20"/>
        </w:rPr>
        <w:t xml:space="preserve"> and S</w:t>
      </w:r>
      <w:r w:rsidRPr="0041217C">
        <w:rPr>
          <w:szCs w:val="20"/>
          <w:vertAlign w:val="subscript"/>
        </w:rPr>
        <w:t>nonintraSearchQ</w:t>
      </w:r>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a2"/>
        <w:spacing w:before="120"/>
        <w:rPr>
          <w:szCs w:val="20"/>
        </w:rPr>
      </w:pPr>
    </w:p>
    <w:p w14:paraId="31CB10C0" w14:textId="79AD2B2A" w:rsidR="00DA2828" w:rsidRPr="0041217C" w:rsidRDefault="00DA2828" w:rsidP="00DA2828">
      <w:pPr>
        <w:pStyle w:val="a2"/>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afa"/>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a2"/>
              <w:jc w:val="center"/>
              <w:rPr>
                <w:sz w:val="20"/>
                <w:szCs w:val="20"/>
              </w:rPr>
            </w:pPr>
            <w:r>
              <w:rPr>
                <w:sz w:val="20"/>
                <w:szCs w:val="20"/>
              </w:rPr>
              <w:t>Agree?</w:t>
            </w:r>
          </w:p>
          <w:p w14:paraId="1990F128" w14:textId="77777777" w:rsidR="00DA2828" w:rsidRPr="006934EF" w:rsidRDefault="00DA2828" w:rsidP="00BA1A76">
            <w:pPr>
              <w:pStyle w:val="a2"/>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a2"/>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“S</w:t>
            </w:r>
            <w:r w:rsidR="00887D14" w:rsidRPr="0041217C">
              <w:rPr>
                <w:rFonts w:ascii="Arial" w:hAnsi="Arial" w:cs="Arial"/>
                <w:sz w:val="20"/>
                <w:szCs w:val="20"/>
                <w:vertAlign w:val="subscript"/>
                <w:lang w:val="en-GB"/>
              </w:rPr>
              <w:t>nonintraSearchP</w:t>
            </w:r>
            <w:r w:rsidR="00887D14" w:rsidRPr="0041217C">
              <w:rPr>
                <w:rFonts w:ascii="Arial" w:hAnsi="Arial" w:cs="Arial"/>
                <w:sz w:val="20"/>
                <w:szCs w:val="20"/>
                <w:lang w:val="en-GB"/>
              </w:rPr>
              <w:t xml:space="preserve"> and S</w:t>
            </w:r>
            <w:r w:rsidR="00887D14" w:rsidRPr="0041217C">
              <w:rPr>
                <w:rFonts w:ascii="Arial" w:hAnsi="Arial" w:cs="Arial"/>
                <w:sz w:val="20"/>
                <w:szCs w:val="20"/>
                <w:vertAlign w:val="subscript"/>
                <w:lang w:val="en-GB"/>
              </w:rPr>
              <w:t>nonintraSearchQ</w:t>
            </w:r>
            <w:r w:rsidR="00887D14" w:rsidRPr="0041217C">
              <w:rPr>
                <w:rFonts w:ascii="Arial" w:hAnsi="Arial" w:cs="Arial"/>
                <w:sz w:val="20"/>
                <w:szCs w:val="20"/>
                <w:lang w:val="en-GB"/>
              </w:rPr>
              <w:t xml:space="preserve">”. </w:t>
            </w:r>
            <w:r w:rsidRPr="0041217C">
              <w:rPr>
                <w:rFonts w:ascii="Arial" w:hAnsi="Arial" w:cs="Arial"/>
                <w:sz w:val="20"/>
                <w:szCs w:val="20"/>
                <w:lang w:val="en-GB"/>
              </w:rPr>
              <w:t>Not “S</w:t>
            </w:r>
            <w:r w:rsidRPr="0041217C">
              <w:rPr>
                <w:rFonts w:ascii="Arial" w:hAnsi="Arial" w:cs="Arial"/>
                <w:sz w:val="20"/>
                <w:szCs w:val="20"/>
                <w:vertAlign w:val="subscript"/>
                <w:lang w:val="en-GB"/>
              </w:rPr>
              <w:t>intraSearchP</w:t>
            </w:r>
            <w:r w:rsidRPr="0041217C">
              <w:rPr>
                <w:rFonts w:ascii="Arial" w:hAnsi="Arial" w:cs="Arial"/>
                <w:sz w:val="20"/>
                <w:szCs w:val="20"/>
                <w:lang w:val="en-GB"/>
              </w:rPr>
              <w:t xml:space="preserve"> and S</w:t>
            </w:r>
            <w:r w:rsidRPr="0041217C">
              <w:rPr>
                <w:rFonts w:ascii="Arial" w:hAnsi="Arial" w:cs="Arial"/>
                <w:sz w:val="20"/>
                <w:szCs w:val="20"/>
                <w:vertAlign w:val="subscript"/>
                <w:lang w:val="en-GB"/>
              </w:rPr>
              <w:t>intraSearchQ</w:t>
            </w:r>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network usually configures quite low thresholds for S</w:t>
            </w:r>
            <w:r w:rsidR="008F63B8" w:rsidRPr="0041217C">
              <w:rPr>
                <w:rFonts w:ascii="Arial" w:hAnsi="Arial" w:cs="Arial"/>
                <w:sz w:val="20"/>
                <w:szCs w:val="20"/>
                <w:vertAlign w:val="subscript"/>
                <w:lang w:val="en-GB"/>
              </w:rPr>
              <w:t>nonintraSearchP</w:t>
            </w:r>
            <w:r w:rsidR="008F63B8" w:rsidRPr="0041217C">
              <w:rPr>
                <w:rFonts w:ascii="Arial" w:hAnsi="Arial" w:cs="Arial"/>
                <w:sz w:val="20"/>
                <w:szCs w:val="20"/>
                <w:lang w:val="en-GB"/>
              </w:rPr>
              <w:t xml:space="preserve"> and S</w:t>
            </w:r>
            <w:r w:rsidR="008F63B8" w:rsidRPr="0041217C">
              <w:rPr>
                <w:rFonts w:ascii="Arial" w:hAnsi="Arial" w:cs="Arial"/>
                <w:sz w:val="20"/>
                <w:szCs w:val="20"/>
                <w:vertAlign w:val="subscript"/>
                <w:lang w:val="en-GB"/>
              </w:rPr>
              <w:t>nonintraSearchQ</w:t>
            </w:r>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“Srxlev &gt; S</w:t>
            </w:r>
            <w:r w:rsidR="00D24D9F" w:rsidRPr="0041217C">
              <w:rPr>
                <w:rFonts w:ascii="Arial" w:hAnsi="Arial" w:cs="Arial"/>
                <w:sz w:val="20"/>
                <w:szCs w:val="20"/>
                <w:vertAlign w:val="subscript"/>
                <w:lang w:val="en-GB"/>
              </w:rPr>
              <w:t>nonintraSearchP</w:t>
            </w:r>
            <w:r w:rsidR="00D24D9F" w:rsidRPr="0041217C">
              <w:rPr>
                <w:rFonts w:ascii="Arial" w:hAnsi="Arial" w:cs="Arial"/>
                <w:sz w:val="20"/>
                <w:szCs w:val="20"/>
                <w:lang w:val="en-GB"/>
              </w:rPr>
              <w:t xml:space="preserve"> and Squal &gt; S</w:t>
            </w:r>
            <w:r w:rsidR="00D24D9F" w:rsidRPr="0041217C">
              <w:rPr>
                <w:rFonts w:ascii="Arial" w:hAnsi="Arial" w:cs="Arial"/>
                <w:sz w:val="20"/>
                <w:szCs w:val="20"/>
                <w:vertAlign w:val="subscript"/>
                <w:lang w:val="en-GB"/>
              </w:rPr>
              <w:t>nonintraSearchQ</w:t>
            </w:r>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EMR frequency and Srxlev &gt; S</w:t>
            </w:r>
            <w:r w:rsidRPr="0041217C">
              <w:rPr>
                <w:rFonts w:ascii="Arial" w:hAnsi="Arial" w:cs="Arial"/>
                <w:sz w:val="20"/>
                <w:szCs w:val="20"/>
                <w:vertAlign w:val="subscript"/>
                <w:lang w:val="en-GB"/>
              </w:rPr>
              <w:t>nonintraSearchP</w:t>
            </w:r>
            <w:r w:rsidRPr="0041217C">
              <w:rPr>
                <w:rFonts w:ascii="Arial" w:hAnsi="Arial" w:cs="Arial"/>
                <w:sz w:val="20"/>
                <w:szCs w:val="20"/>
                <w:lang w:val="en-GB"/>
              </w:rPr>
              <w:t xml:space="preserve"> and Squal &gt; S</w:t>
            </w:r>
            <w:r w:rsidRPr="0041217C">
              <w:rPr>
                <w:rFonts w:ascii="Arial" w:hAnsi="Arial" w:cs="Arial"/>
                <w:sz w:val="20"/>
                <w:szCs w:val="20"/>
                <w:vertAlign w:val="subscript"/>
                <w:lang w:val="en-GB"/>
              </w:rPr>
              <w:t xml:space="preserve">nonintraSearchQ) </w:t>
            </w:r>
            <w:r w:rsidRPr="0041217C">
              <w:rPr>
                <w:rFonts w:ascii="Arial" w:hAnsi="Arial" w:cs="Arial"/>
                <w:sz w:val="20"/>
                <w:szCs w:val="20"/>
                <w:lang w:val="en-GB"/>
              </w:rPr>
              <w:t xml:space="preserve">is not a typical case. </w:t>
            </w:r>
            <w:r>
              <w:rPr>
                <w:rFonts w:ascii="Arial" w:hAnsi="Arial" w:cs="Arial"/>
                <w:sz w:val="20"/>
                <w:szCs w:val="20"/>
              </w:rPr>
              <w:t>And it can be left to UE/gNB implementation:</w:t>
            </w:r>
          </w:p>
          <w:p w14:paraId="7506AAB2" w14:textId="66409B0D" w:rsidR="001B5638" w:rsidRPr="001B5638" w:rsidRDefault="005F5C58" w:rsidP="001B5638">
            <w:pPr>
              <w:pStyle w:val="af7"/>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af7"/>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r w:rsidRPr="001B5638">
              <w:rPr>
                <w:rFonts w:ascii="Arial" w:hAnsi="Arial" w:cs="Arial"/>
                <w:sz w:val="20"/>
                <w:szCs w:val="20"/>
              </w:rPr>
              <w:t xml:space="preserve">ased on all configured parameters such as #layers, T331 length, S-threshold, etc and the measured S-value, UE can do something more if needed depending on its own criteria, e.g. power saving vs. benefits of fast SCell configuration. </w:t>
            </w:r>
          </w:p>
          <w:p w14:paraId="5B11B67F" w14:textId="5A6B4E02" w:rsidR="00E36322" w:rsidRPr="006502B9" w:rsidRDefault="00712301" w:rsidP="00E70E82">
            <w:pPr>
              <w:pStyle w:val="af7"/>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r w:rsidRPr="0041217C">
              <w:rPr>
                <w:rFonts w:ascii="Arial" w:hAnsi="Arial" w:cs="Arial"/>
                <w:sz w:val="20"/>
                <w:szCs w:val="20"/>
                <w:lang w:val="en-GB"/>
              </w:rPr>
              <w:t>/</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w:t>
            </w:r>
            <w:r w:rsidR="00975156" w:rsidRPr="0041217C">
              <w:rPr>
                <w:rFonts w:ascii="Arial" w:hAnsi="Arial" w:cs="Arial"/>
                <w:sz w:val="20"/>
                <w:szCs w:val="20"/>
                <w:lang w:val="en-GB"/>
              </w:rPr>
              <w:lastRenderedPageBreak/>
              <w:t xml:space="preserve">does not make sense. The thresholds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r w:rsidR="00975156" w:rsidRPr="0041217C">
              <w:rPr>
                <w:rFonts w:ascii="Arial" w:hAnsi="Arial" w:cs="Arial"/>
                <w:sz w:val="20"/>
                <w:szCs w:val="20"/>
                <w:lang w:val="en-GB"/>
              </w:rPr>
              <w:t xml:space="preserve"> and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located in the cell center.</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are to be used for setup of SCG and/or Scells (with the serving cell as PCell)</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which is based on a corresponding note in LTE Rel-15 euCA</w:t>
            </w:r>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s-NonIntraSearchP</w:t>
            </w:r>
            <w:r w:rsidRPr="0041217C">
              <w:rPr>
                <w:highlight w:val="yellow"/>
                <w:lang w:val="en-GB"/>
              </w:rPr>
              <w:t xml:space="preserve"> and </w:t>
            </w:r>
            <w:r w:rsidRPr="0041217C">
              <w:rPr>
                <w:i/>
                <w:highlight w:val="yellow"/>
                <w:lang w:val="en-GB"/>
              </w:rPr>
              <w:t>s-NonIntraSearchQ</w:t>
            </w:r>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f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The EMR concept is best effort and the UE reports what it can measure, and it’s upto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lastRenderedPageBreak/>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Malgun Gothic" w:hAnsi="Arial" w:cs="Arial" w:hint="eastAsia"/>
                <w:sz w:val="20"/>
                <w:szCs w:val="20"/>
              </w:rPr>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Malgun Gothic"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Malgun Gothic" w:hAnsi="Arial" w:cs="Arial"/>
                <w:sz w:val="20"/>
                <w:szCs w:val="20"/>
              </w:rPr>
            </w:pPr>
            <w:r>
              <w:rPr>
                <w:rFonts w:ascii="Arial" w:eastAsia="Malgun Gothic"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3FCB75FF" w:rsidR="00F51F7C" w:rsidRPr="00F51F7C" w:rsidRDefault="00872A8E" w:rsidP="00872A8E">
            <w:pPr>
              <w:rPr>
                <w:rFonts w:ascii="Arial" w:eastAsia="Malgun Gothic" w:hAnsi="Arial" w:cs="Arial"/>
                <w:sz w:val="20"/>
                <w:szCs w:val="20"/>
              </w:rPr>
            </w:pPr>
            <w:r>
              <w:rPr>
                <w:rFonts w:ascii="Arial" w:eastAsia="Malgun Gothic"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Malgun Gothic" w:hAnsi="Arial" w:cs="Arial"/>
                <w:sz w:val="20"/>
                <w:szCs w:val="20"/>
              </w:rPr>
            </w:pPr>
            <w:r>
              <w:rPr>
                <w:rFonts w:ascii="Arial" w:eastAsia="Malgun Gothic" w:hAnsi="Arial" w:cs="Arial"/>
                <w:sz w:val="20"/>
                <w:szCs w:val="20"/>
              </w:rPr>
              <w:t>Huawei</w:t>
            </w:r>
          </w:p>
        </w:tc>
        <w:tc>
          <w:tcPr>
            <w:tcW w:w="1268" w:type="dxa"/>
            <w:vAlign w:val="center"/>
          </w:tcPr>
          <w:p w14:paraId="64EC5C52" w14:textId="42DDB47D" w:rsidR="00243446" w:rsidRDefault="00243446"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3097CD45" w14:textId="68656ADB" w:rsidR="00243446" w:rsidRDefault="00243446" w:rsidP="00872A8E">
            <w:pPr>
              <w:ind w:firstLineChars="50" w:firstLine="100"/>
              <w:rPr>
                <w:rFonts w:ascii="Arial" w:eastAsia="Malgun Gothic" w:hAnsi="Arial" w:cs="Arial"/>
                <w:sz w:val="20"/>
                <w:szCs w:val="20"/>
              </w:rPr>
            </w:pPr>
            <w:r>
              <w:rPr>
                <w:rFonts w:ascii="Arial" w:eastAsia="Malgun Gothic" w:hAnsi="Arial" w:cs="Arial"/>
                <w:sz w:val="20"/>
                <w:szCs w:val="20"/>
              </w:rPr>
              <w:t>Increasing T331 just means that the UE will have measurement results obtained more than 300s ago, but they may not represent the cure</w:t>
            </w:r>
            <w:r w:rsidR="00BC06A6">
              <w:rPr>
                <w:rFonts w:ascii="Arial" w:eastAsia="Malgun Gothic" w:hAnsi="Arial" w:cs="Arial"/>
                <w:sz w:val="20"/>
                <w:szCs w:val="20"/>
              </w:rPr>
              <w:t>nt quality, so there is no gain (and this a affect power consumption a lot if the UE is not at the cell centre)</w:t>
            </w:r>
          </w:p>
          <w:p w14:paraId="5A9E97AE" w14:textId="5B65E892" w:rsidR="00243446" w:rsidRDefault="00243446" w:rsidP="00872A8E">
            <w:pPr>
              <w:ind w:firstLineChars="50" w:firstLine="100"/>
              <w:rPr>
                <w:rFonts w:ascii="Arial" w:eastAsia="Malgun Gothic" w:hAnsi="Arial" w:cs="Arial"/>
                <w:sz w:val="20"/>
                <w:szCs w:val="20"/>
              </w:rPr>
            </w:pPr>
            <w:r w:rsidRPr="00243446">
              <w:rPr>
                <w:rFonts w:ascii="Arial" w:eastAsia="Malgun Gothic" w:hAnsi="Arial" w:cs="Arial"/>
                <w:sz w:val="20"/>
                <w:szCs w:val="20"/>
              </w:rPr>
              <w:t>RAN4 decision is to keep the power consumption benefit of SnonIntraSearch at the expense of less frequent measurements</w:t>
            </w:r>
            <w:r>
              <w:rPr>
                <w:rFonts w:ascii="Arial" w:eastAsia="Malgun Gothic" w:hAnsi="Arial" w:cs="Arial"/>
                <w:sz w:val="20"/>
                <w:szCs w:val="20"/>
              </w:rPr>
              <w:t>. We should not ask RAN4 to reconsider the</w:t>
            </w:r>
            <w:r w:rsidR="00BC06A6">
              <w:rPr>
                <w:rFonts w:ascii="Arial" w:eastAsia="Malgun Gothic" w:hAnsi="Arial" w:cs="Arial"/>
                <w:sz w:val="20"/>
                <w:szCs w:val="20"/>
              </w:rPr>
              <w:t>ir decision at this late stage.</w:t>
            </w:r>
          </w:p>
        </w:tc>
      </w:tr>
      <w:tr w:rsidR="00AC30D8" w:rsidRPr="00547625" w14:paraId="3CDDD381" w14:textId="77777777" w:rsidTr="00872A8E">
        <w:tc>
          <w:tcPr>
            <w:tcW w:w="1964" w:type="dxa"/>
            <w:vAlign w:val="center"/>
          </w:tcPr>
          <w:p w14:paraId="7002B67C" w14:textId="275C9E7C"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8" w:type="dxa"/>
            <w:vAlign w:val="center"/>
          </w:tcPr>
          <w:p w14:paraId="331F9DBF" w14:textId="59C34085" w:rsidR="00AC30D8" w:rsidRDefault="00AC30D8"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5EF37509" w14:textId="34FD2D0C" w:rsidR="00AC30D8" w:rsidRDefault="00AC30D8" w:rsidP="00AC30D8">
            <w:pPr>
              <w:rPr>
                <w:rFonts w:ascii="Arial" w:eastAsia="Malgun Gothic" w:hAnsi="Arial" w:cs="Arial"/>
                <w:sz w:val="20"/>
                <w:szCs w:val="20"/>
              </w:rPr>
            </w:pPr>
            <w:r>
              <w:rPr>
                <w:rFonts w:ascii="Arial" w:eastAsia="Malgun Gothic" w:hAnsi="Arial" w:cs="Arial"/>
                <w:sz w:val="20"/>
                <w:szCs w:val="20"/>
              </w:rPr>
              <w:t>First the UE could still continue to perform EMR after T331 timeout, we see no problem in current specification. Secondary, RRM relaxation is not allowed while T331 is running, so longer T331 effective</w:t>
            </w:r>
            <w:r w:rsidR="002B4509">
              <w:rPr>
                <w:rFonts w:ascii="Arial" w:eastAsia="Malgun Gothic" w:hAnsi="Arial" w:cs="Arial"/>
                <w:sz w:val="20"/>
                <w:szCs w:val="20"/>
              </w:rPr>
              <w:t>ly</w:t>
            </w:r>
            <w:r>
              <w:rPr>
                <w:rFonts w:ascii="Arial" w:eastAsia="Malgun Gothic" w:hAnsi="Arial" w:cs="Arial"/>
                <w:sz w:val="20"/>
                <w:szCs w:val="20"/>
              </w:rPr>
              <w:t xml:space="preserve"> make no power saving gain, which is not preferred.</w:t>
            </w:r>
          </w:p>
        </w:tc>
      </w:tr>
      <w:tr w:rsidR="00B170FA" w:rsidRPr="00547625" w14:paraId="13EF298A" w14:textId="77777777" w:rsidTr="00872A8E">
        <w:tc>
          <w:tcPr>
            <w:tcW w:w="1964" w:type="dxa"/>
            <w:vAlign w:val="center"/>
          </w:tcPr>
          <w:p w14:paraId="0812B155" w14:textId="07D6FED9"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5029AED1" w14:textId="4BA45308" w:rsidR="00B170FA" w:rsidRDefault="00B170FA" w:rsidP="00872A8E">
            <w:pPr>
              <w:jc w:val="center"/>
              <w:rPr>
                <w:rFonts w:ascii="Arial" w:eastAsia="Malgun Gothic" w:hAnsi="Arial" w:cs="Arial"/>
                <w:szCs w:val="20"/>
              </w:rPr>
            </w:pPr>
            <w:r>
              <w:rPr>
                <w:rFonts w:ascii="Arial" w:eastAsia="Malgun Gothic" w:hAnsi="Arial" w:cs="Arial" w:hint="eastAsia"/>
                <w:szCs w:val="20"/>
              </w:rPr>
              <w:t>No</w:t>
            </w:r>
          </w:p>
        </w:tc>
        <w:tc>
          <w:tcPr>
            <w:tcW w:w="6284" w:type="dxa"/>
          </w:tcPr>
          <w:p w14:paraId="7A499EDE" w14:textId="77777777" w:rsidR="00B170FA" w:rsidRDefault="00B170FA" w:rsidP="00B170FA">
            <w:pPr>
              <w:rPr>
                <w:rFonts w:ascii="Arial" w:eastAsia="Malgun Gothic" w:hAnsi="Arial" w:cs="Arial"/>
                <w:szCs w:val="20"/>
              </w:rPr>
            </w:pPr>
            <w:r>
              <w:rPr>
                <w:rFonts w:ascii="Arial" w:eastAsia="Malgun Gothic" w:hAnsi="Arial" w:cs="Arial"/>
                <w:szCs w:val="20"/>
              </w:rPr>
              <w:t>As others mentioned, UE is not required to stop EMR upon the expiry of T331. It can be up to UE implementation.</w:t>
            </w:r>
          </w:p>
          <w:p w14:paraId="7563FB60" w14:textId="77777777" w:rsidR="00B642E4" w:rsidRDefault="00B642E4" w:rsidP="00B170FA">
            <w:pPr>
              <w:rPr>
                <w:rFonts w:ascii="Arial" w:eastAsia="Malgun Gothic" w:hAnsi="Arial" w:cs="Arial"/>
                <w:szCs w:val="20"/>
              </w:rPr>
            </w:pPr>
            <w:r>
              <w:rPr>
                <w:rFonts w:ascii="Arial" w:eastAsia="Malgun Gothic" w:hAnsi="Arial" w:cs="Arial"/>
                <w:szCs w:val="20"/>
              </w:rPr>
              <w:t>Just for clarification, it seems that RAN4 agreement is not consistent with NOTE in RAN2 specification:</w:t>
            </w:r>
          </w:p>
          <w:p w14:paraId="2FF9EAB1" w14:textId="77777777" w:rsidR="00B642E4" w:rsidRPr="00B642E4" w:rsidRDefault="00B642E4" w:rsidP="00B642E4">
            <w:pPr>
              <w:overflowPunct w:val="0"/>
              <w:spacing w:after="180"/>
              <w:ind w:left="1135" w:hanging="851"/>
              <w:rPr>
                <w:rFonts w:ascii="Times New Roman" w:eastAsia="Times New Roman" w:hAnsi="Times New Roman" w:cs="Times New Roman"/>
                <w:lang w:val="en-GB" w:eastAsia="ja-JP"/>
              </w:rPr>
            </w:pPr>
            <w:r w:rsidRPr="00B642E4">
              <w:rPr>
                <w:rFonts w:ascii="CG Times (WN)" w:eastAsia="宋体" w:hAnsi="CG Times (WN)" w:cs="Times New Roman"/>
                <w:szCs w:val="20"/>
                <w:lang w:val="en-GB" w:eastAsia="ja-JP"/>
              </w:rPr>
              <w:t xml:space="preserve">NOTE 1:     The fields </w:t>
            </w:r>
            <w:r w:rsidRPr="00B642E4">
              <w:rPr>
                <w:rFonts w:ascii="CG Times (WN)" w:eastAsia="宋体" w:hAnsi="CG Times (WN)" w:cs="Times New Roman"/>
                <w:i/>
                <w:iCs/>
                <w:szCs w:val="20"/>
                <w:lang w:val="en-GB" w:eastAsia="ja-JP"/>
              </w:rPr>
              <w:t>s-NonIntraSearchP</w:t>
            </w:r>
            <w:r w:rsidRPr="00B642E4">
              <w:rPr>
                <w:rFonts w:ascii="CG Times (WN)" w:eastAsia="宋体" w:hAnsi="CG Times (WN)" w:cs="Times New Roman"/>
                <w:szCs w:val="20"/>
                <w:lang w:val="en-GB" w:eastAsia="ja-JP"/>
              </w:rPr>
              <w:t xml:space="preserve"> and </w:t>
            </w:r>
            <w:r w:rsidRPr="00B642E4">
              <w:rPr>
                <w:rFonts w:ascii="CG Times (WN)" w:eastAsia="宋体" w:hAnsi="CG Times (WN)" w:cs="Times New Roman"/>
                <w:i/>
                <w:iCs/>
                <w:szCs w:val="20"/>
                <w:lang w:val="en-GB" w:eastAsia="ja-JP"/>
              </w:rPr>
              <w:t>s-NonIntraSearchQ</w:t>
            </w:r>
            <w:r w:rsidRPr="00B642E4">
              <w:rPr>
                <w:rFonts w:ascii="CG Times (WN)" w:eastAsia="宋体" w:hAnsi="CG Times (WN)" w:cs="Times New Roman"/>
                <w:szCs w:val="20"/>
                <w:lang w:val="en-GB" w:eastAsia="ja-JP"/>
              </w:rPr>
              <w:t xml:space="preserve"> in </w:t>
            </w:r>
            <w:r w:rsidRPr="00B642E4">
              <w:rPr>
                <w:rFonts w:ascii="CG Times (WN)" w:eastAsia="宋体" w:hAnsi="CG Times (WN)" w:cs="Times New Roman"/>
                <w:i/>
                <w:iCs/>
                <w:szCs w:val="20"/>
                <w:lang w:val="en-GB" w:eastAsia="ja-JP"/>
              </w:rPr>
              <w:t>SIB2</w:t>
            </w:r>
            <w:r w:rsidRPr="00B642E4">
              <w:rPr>
                <w:rFonts w:ascii="CG Times (WN)" w:eastAsia="宋体" w:hAnsi="CG Times (WN)" w:cs="Times New Roman"/>
                <w:szCs w:val="20"/>
                <w:lang w:val="en-GB" w:eastAsia="ja-JP"/>
              </w:rPr>
              <w:t xml:space="preserve"> do not affect the idle/inactive UE measurement procedures. How the UE performs idle/inactive measurements is up to UE implementation as long as the requirements in TS 38.133 [14] are met for measurement reporting.</w:t>
            </w:r>
          </w:p>
          <w:p w14:paraId="6A2476D1" w14:textId="2C0C77FD" w:rsidR="00B642E4" w:rsidRPr="00B642E4" w:rsidRDefault="00B642E4" w:rsidP="00B170FA">
            <w:pPr>
              <w:rPr>
                <w:rFonts w:ascii="Arial" w:eastAsia="Malgun Gothic" w:hAnsi="Arial" w:cs="Arial"/>
                <w:szCs w:val="20"/>
                <w:lang w:val="en-GB"/>
              </w:rPr>
            </w:pPr>
          </w:p>
        </w:tc>
      </w:tr>
      <w:tr w:rsidR="00293D42" w:rsidRPr="00547625" w14:paraId="194B2F22" w14:textId="77777777" w:rsidTr="00872A8E">
        <w:tc>
          <w:tcPr>
            <w:tcW w:w="1964" w:type="dxa"/>
            <w:vAlign w:val="center"/>
          </w:tcPr>
          <w:p w14:paraId="148B6694" w14:textId="1BF9A11C" w:rsidR="00293D42" w:rsidRDefault="00293D42" w:rsidP="00293D42">
            <w:pPr>
              <w:jc w:val="center"/>
              <w:rPr>
                <w:rFonts w:ascii="Arial" w:eastAsia="Malgun Gothic" w:hAnsi="Arial" w:cs="Arial"/>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42EB0785" w14:textId="52A679A6" w:rsidR="00293D42" w:rsidRDefault="00293D42" w:rsidP="00293D42">
            <w:pPr>
              <w:jc w:val="center"/>
              <w:rPr>
                <w:rFonts w:ascii="Arial" w:eastAsia="Malgun Gothic" w:hAnsi="Arial" w:cs="Arial"/>
                <w:szCs w:val="20"/>
              </w:rPr>
            </w:pPr>
            <w:r>
              <w:rPr>
                <w:rFonts w:ascii="Arial" w:hAnsi="Arial" w:cs="Arial"/>
                <w:sz w:val="20"/>
                <w:szCs w:val="20"/>
              </w:rPr>
              <w:t xml:space="preserve">No </w:t>
            </w:r>
          </w:p>
        </w:tc>
        <w:tc>
          <w:tcPr>
            <w:tcW w:w="6284" w:type="dxa"/>
          </w:tcPr>
          <w:p w14:paraId="5795C446" w14:textId="77777777" w:rsidR="00293D42" w:rsidRDefault="00293D42" w:rsidP="00293D42">
            <w:pPr>
              <w:rPr>
                <w:rFonts w:ascii="Arial" w:hAnsi="Arial" w:cs="Arial"/>
                <w:sz w:val="20"/>
                <w:szCs w:val="20"/>
              </w:rPr>
            </w:pPr>
            <w:r>
              <w:rPr>
                <w:rFonts w:ascii="Arial" w:hAnsi="Arial" w:cs="Arial"/>
                <w:sz w:val="20"/>
                <w:szCs w:val="20"/>
              </w:rPr>
              <w:t xml:space="preserve">If T331 expiry, it is up to UE </w:t>
            </w:r>
            <w:r w:rsidRPr="00F05F38">
              <w:rPr>
                <w:rFonts w:ascii="Arial" w:hAnsi="Arial" w:cs="Arial"/>
                <w:sz w:val="20"/>
                <w:szCs w:val="20"/>
              </w:rPr>
              <w:t>implementation</w:t>
            </w:r>
            <w:r>
              <w:rPr>
                <w:rFonts w:ascii="Arial" w:hAnsi="Arial" w:cs="Arial"/>
                <w:sz w:val="20"/>
                <w:szCs w:val="20"/>
              </w:rPr>
              <w:t xml:space="preserve"> to continue the measurement. We cannot see the necessary to change the timer T331.</w:t>
            </w:r>
          </w:p>
          <w:p w14:paraId="27978BA5" w14:textId="77777777" w:rsidR="00293D42" w:rsidRDefault="00293D42" w:rsidP="00293D42">
            <w:pPr>
              <w:rPr>
                <w:rFonts w:ascii="Arial" w:hAnsi="Arial" w:cs="Arial"/>
                <w:sz w:val="20"/>
                <w:szCs w:val="20"/>
              </w:rPr>
            </w:pPr>
            <w:r>
              <w:rPr>
                <w:rFonts w:ascii="Arial" w:hAnsi="Arial" w:cs="Arial"/>
                <w:sz w:val="20"/>
                <w:szCs w:val="20"/>
              </w:rPr>
              <w:t>=====</w:t>
            </w:r>
          </w:p>
          <w:p w14:paraId="7BD50717" w14:textId="77777777" w:rsidR="00293D42" w:rsidRDefault="00293D42" w:rsidP="00293D42">
            <w:pPr>
              <w:pStyle w:val="40"/>
              <w:outlineLvl w:val="3"/>
              <w:rPr>
                <w:rFonts w:eastAsia="Times New Roman"/>
                <w:szCs w:val="20"/>
              </w:rPr>
            </w:pPr>
            <w:bookmarkStart w:id="1" w:name="_Toc60867769"/>
            <w:bookmarkStart w:id="2" w:name="_Toc60776988"/>
            <w:r>
              <w:rPr>
                <w:rFonts w:eastAsia="Malgun Gothic"/>
                <w:lang w:eastAsia="ko-KR"/>
              </w:rPr>
              <w:t>5.7.8.3</w:t>
            </w:r>
            <w:r>
              <w:tab/>
              <w:t>T331 expiry or stop</w:t>
            </w:r>
            <w:bookmarkEnd w:id="1"/>
            <w:bookmarkEnd w:id="2"/>
          </w:p>
          <w:p w14:paraId="367DE881" w14:textId="77777777" w:rsidR="00293D42" w:rsidRDefault="00293D42" w:rsidP="00293D42">
            <w:r>
              <w:t>The UE shall:</w:t>
            </w:r>
          </w:p>
          <w:p w14:paraId="174D6D1D" w14:textId="77777777" w:rsidR="00293D42" w:rsidRDefault="00293D42" w:rsidP="00293D42">
            <w:pPr>
              <w:pStyle w:val="B1"/>
            </w:pPr>
            <w:r>
              <w:t>1&gt;</w:t>
            </w:r>
            <w:r>
              <w:tab/>
              <w:t>if T331 expires or is stopped:</w:t>
            </w:r>
          </w:p>
          <w:p w14:paraId="105FB99F" w14:textId="77777777" w:rsidR="00293D42" w:rsidRDefault="00293D42" w:rsidP="00293D42">
            <w:pPr>
              <w:pStyle w:val="B2"/>
            </w:pPr>
            <w:r>
              <w:lastRenderedPageBreak/>
              <w:t>2&gt;</w:t>
            </w:r>
            <w:r>
              <w:tab/>
            </w:r>
            <w:r>
              <w:rPr>
                <w:rFonts w:eastAsia="Malgun Gothic"/>
                <w:lang w:eastAsia="ko-KR"/>
              </w:rPr>
              <w:t>release</w:t>
            </w:r>
            <w:r>
              <w:t xml:space="preserve"> the </w:t>
            </w:r>
            <w:r>
              <w:rPr>
                <w:i/>
              </w:rPr>
              <w:t>VarMeasIdleConfig</w:t>
            </w:r>
            <w:r>
              <w:t>.</w:t>
            </w:r>
          </w:p>
          <w:p w14:paraId="4360B232" w14:textId="77777777" w:rsidR="00293D42" w:rsidRDefault="00293D42" w:rsidP="00293D42">
            <w:pPr>
              <w:pStyle w:val="NO"/>
            </w:pPr>
            <w:r w:rsidRPr="00F05F38">
              <w:rPr>
                <w:highlight w:val="yellow"/>
              </w:rPr>
              <w:t>NOTE:</w:t>
            </w:r>
            <w:r w:rsidRPr="00F05F38">
              <w:rPr>
                <w:highlight w:val="yellow"/>
              </w:rPr>
              <w:tab/>
              <w:t>It is up to UE implementation whether to continue idle/inactive measurements according to SIB11 and SIB4 configurations after T331 has expired or stopped.</w:t>
            </w:r>
          </w:p>
          <w:p w14:paraId="4D8C454B" w14:textId="77777777" w:rsidR="00293D42" w:rsidRDefault="00293D42" w:rsidP="00293D42">
            <w:pPr>
              <w:rPr>
                <w:rFonts w:ascii="Arial" w:eastAsia="Malgun Gothic" w:hAnsi="Arial" w:cs="Arial"/>
                <w:szCs w:val="20"/>
              </w:rPr>
            </w:pPr>
          </w:p>
        </w:tc>
      </w:tr>
      <w:tr w:rsidR="00E405DA" w:rsidRPr="00547625" w14:paraId="37C121AA" w14:textId="77777777" w:rsidTr="00872A8E">
        <w:tc>
          <w:tcPr>
            <w:tcW w:w="1964" w:type="dxa"/>
            <w:vAlign w:val="center"/>
          </w:tcPr>
          <w:p w14:paraId="3B506596" w14:textId="16D93509" w:rsidR="00E405DA" w:rsidRDefault="00E405DA" w:rsidP="00293D42">
            <w:pPr>
              <w:jc w:val="center"/>
              <w:rPr>
                <w:rFonts w:ascii="Arial" w:hAnsi="Arial" w:cs="Arial" w:hint="eastAsia"/>
                <w:sz w:val="20"/>
                <w:szCs w:val="20"/>
              </w:rPr>
            </w:pPr>
            <w:r>
              <w:rPr>
                <w:rFonts w:ascii="Arial" w:hAnsi="Arial" w:cs="Arial" w:hint="eastAsia"/>
                <w:sz w:val="20"/>
                <w:szCs w:val="20"/>
              </w:rPr>
              <w:lastRenderedPageBreak/>
              <w:t>v</w:t>
            </w:r>
            <w:r>
              <w:rPr>
                <w:rFonts w:ascii="Arial" w:hAnsi="Arial" w:cs="Arial"/>
                <w:sz w:val="20"/>
                <w:szCs w:val="20"/>
              </w:rPr>
              <w:t>ivo</w:t>
            </w:r>
          </w:p>
        </w:tc>
        <w:tc>
          <w:tcPr>
            <w:tcW w:w="1268" w:type="dxa"/>
            <w:vAlign w:val="center"/>
          </w:tcPr>
          <w:p w14:paraId="16560C27" w14:textId="14EE9C66" w:rsidR="00E405DA" w:rsidRDefault="00E405DA" w:rsidP="00293D4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4" w:type="dxa"/>
          </w:tcPr>
          <w:p w14:paraId="7E1CF3C7" w14:textId="21006AAC" w:rsidR="00E405DA" w:rsidRDefault="00E405DA" w:rsidP="00293D42">
            <w:pPr>
              <w:rPr>
                <w:rFonts w:ascii="Arial" w:hAnsi="Arial" w:cs="Arial"/>
                <w:sz w:val="20"/>
                <w:szCs w:val="20"/>
              </w:rPr>
            </w:pPr>
            <w:r>
              <w:rPr>
                <w:rFonts w:ascii="Arial" w:hAnsi="Arial" w:cs="Arial"/>
                <w:sz w:val="20"/>
                <w:szCs w:val="20"/>
              </w:rPr>
              <w:t>To extend the T331, new capability needs to be introduced now. However, its benefit is not clear enough. First, EMR performed within 300s maybe enough for the UE to fast setup DC/CA. Second, the accuracy of results is doubtful if UE performs EMR with long T331 value, but the UE power consumption indeed will increase. Finally, without extension of T331, the mechanism of EMR anyway can work. For dedicated EMR configuration will be deleted after T331 expires, the NW can avoid such useless configuration, i.e., configure fewer carriers to the UE in EMR configuration. For the UE, after T331 expires, UE can decide whether to continue perform EMR according to the SIB.</w:t>
            </w:r>
          </w:p>
        </w:tc>
      </w:tr>
    </w:tbl>
    <w:p w14:paraId="5C9095AE" w14:textId="02E3FC10" w:rsidR="00DA2828" w:rsidRDefault="00DA2828" w:rsidP="00DC7D99">
      <w:pPr>
        <w:pStyle w:val="a2"/>
        <w:spacing w:before="120"/>
        <w:rPr>
          <w:szCs w:val="20"/>
        </w:rPr>
      </w:pPr>
    </w:p>
    <w:p w14:paraId="73DB1E94" w14:textId="6D719296" w:rsidR="00B3355D" w:rsidRPr="0079204C" w:rsidRDefault="00B3355D" w:rsidP="00DC7D99">
      <w:pPr>
        <w:pStyle w:val="a2"/>
        <w:spacing w:before="120"/>
        <w:rPr>
          <w:rFonts w:ascii="Arial" w:hAnsi="Arial" w:cs="Arial"/>
          <w:sz w:val="20"/>
          <w:szCs w:val="20"/>
          <w:highlight w:val="yellow"/>
        </w:rPr>
      </w:pPr>
      <w:r w:rsidRPr="0079204C">
        <w:rPr>
          <w:rFonts w:ascii="Arial" w:hAnsi="Arial" w:cs="Arial"/>
          <w:sz w:val="20"/>
          <w:szCs w:val="20"/>
          <w:highlight w:val="yellow"/>
        </w:rPr>
        <w:t>Summary:</w:t>
      </w:r>
    </w:p>
    <w:p w14:paraId="1C2B8E67" w14:textId="2D35F8F7" w:rsidR="00B53E16" w:rsidRDefault="00B3355D" w:rsidP="0079204C">
      <w:pPr>
        <w:pStyle w:val="a2"/>
        <w:spacing w:before="120"/>
        <w:jc w:val="both"/>
        <w:rPr>
          <w:rFonts w:ascii="Arial" w:hAnsi="Arial" w:cs="Arial"/>
          <w:sz w:val="20"/>
          <w:szCs w:val="20"/>
          <w:highlight w:val="yellow"/>
        </w:rPr>
      </w:pPr>
      <w:r w:rsidRPr="0079204C">
        <w:rPr>
          <w:rFonts w:ascii="Arial" w:hAnsi="Arial" w:cs="Arial"/>
          <w:sz w:val="20"/>
          <w:szCs w:val="20"/>
          <w:highlight w:val="yellow"/>
        </w:rPr>
        <w:t xml:space="preserve">11 companies provide inputs, </w:t>
      </w:r>
      <w:r w:rsidR="0079204C" w:rsidRPr="0079204C">
        <w:rPr>
          <w:rFonts w:ascii="Arial" w:hAnsi="Arial" w:cs="Arial"/>
          <w:sz w:val="20"/>
          <w:szCs w:val="20"/>
          <w:highlight w:val="yellow"/>
        </w:rPr>
        <w:t>2 companies agree to extend T331 value, 7 companies disagree</w:t>
      </w:r>
      <w:r w:rsidR="00B015FC">
        <w:rPr>
          <w:rFonts w:ascii="Arial" w:hAnsi="Arial" w:cs="Arial"/>
          <w:sz w:val="20"/>
          <w:szCs w:val="20"/>
          <w:highlight w:val="yellow"/>
        </w:rPr>
        <w:t>. And</w:t>
      </w:r>
      <w:r w:rsidR="0079204C" w:rsidRPr="0079204C">
        <w:rPr>
          <w:rFonts w:ascii="Arial" w:hAnsi="Arial" w:cs="Arial"/>
          <w:sz w:val="20"/>
          <w:szCs w:val="20"/>
          <w:highlight w:val="yellow"/>
        </w:rPr>
        <w:t xml:space="preserve"> 2 companies think EMR measurement requirement should not </w:t>
      </w:r>
      <w:r w:rsidR="00B015FC">
        <w:rPr>
          <w:rFonts w:ascii="Arial" w:hAnsi="Arial" w:cs="Arial"/>
          <w:sz w:val="20"/>
          <w:szCs w:val="20"/>
          <w:highlight w:val="yellow"/>
        </w:rPr>
        <w:t>link to</w:t>
      </w:r>
      <w:r w:rsidR="0079204C" w:rsidRPr="0079204C">
        <w:rPr>
          <w:rFonts w:ascii="Arial" w:hAnsi="Arial" w:cs="Arial"/>
          <w:sz w:val="20"/>
          <w:szCs w:val="20"/>
          <w:highlight w:val="yellow"/>
        </w:rPr>
        <w:t xml:space="preserve"> the quality of serving cell</w:t>
      </w:r>
      <w:r w:rsidR="00B015FC">
        <w:rPr>
          <w:rFonts w:ascii="Arial" w:hAnsi="Arial" w:cs="Arial"/>
          <w:sz w:val="20"/>
          <w:szCs w:val="20"/>
          <w:highlight w:val="yellow"/>
        </w:rPr>
        <w:t xml:space="preserve">. In addition, 2 companies pointed out </w:t>
      </w:r>
      <w:r w:rsidR="0079204C">
        <w:rPr>
          <w:rFonts w:ascii="Arial" w:hAnsi="Arial" w:cs="Arial"/>
          <w:sz w:val="20"/>
          <w:szCs w:val="20"/>
          <w:highlight w:val="yellow"/>
        </w:rPr>
        <w:t>the EMR requirement</w:t>
      </w:r>
      <w:r w:rsidR="0079204C" w:rsidRPr="0079204C">
        <w:rPr>
          <w:rFonts w:ascii="Arial" w:hAnsi="Arial" w:cs="Arial"/>
          <w:sz w:val="20"/>
          <w:szCs w:val="20"/>
          <w:highlight w:val="yellow"/>
        </w:rPr>
        <w:t xml:space="preserve"> defined by RAN4 </w:t>
      </w:r>
      <w:r w:rsidR="00B53E16">
        <w:rPr>
          <w:rFonts w:ascii="Arial" w:hAnsi="Arial" w:cs="Arial"/>
          <w:sz w:val="20"/>
          <w:szCs w:val="20"/>
          <w:highlight w:val="yellow"/>
        </w:rPr>
        <w:t xml:space="preserve">may be </w:t>
      </w:r>
      <w:r w:rsidR="0079204C" w:rsidRPr="0079204C">
        <w:rPr>
          <w:rFonts w:ascii="Arial" w:hAnsi="Arial" w:cs="Arial"/>
          <w:sz w:val="20"/>
          <w:szCs w:val="20"/>
          <w:highlight w:val="yellow"/>
        </w:rPr>
        <w:t>contradict to the NOTE in RAN2 spec.</w:t>
      </w:r>
    </w:p>
    <w:p w14:paraId="37568CAA" w14:textId="77777777" w:rsidR="00B53E16" w:rsidRDefault="00B53E16" w:rsidP="0079204C">
      <w:pPr>
        <w:pStyle w:val="a2"/>
        <w:spacing w:before="120"/>
        <w:jc w:val="both"/>
        <w:rPr>
          <w:rFonts w:ascii="Arial" w:hAnsi="Arial" w:cs="Arial"/>
          <w:sz w:val="20"/>
          <w:szCs w:val="20"/>
          <w:highlight w:val="yellow"/>
        </w:rPr>
      </w:pPr>
      <w:r>
        <w:rPr>
          <w:rFonts w:ascii="Arial" w:hAnsi="Arial" w:cs="Arial"/>
          <w:sz w:val="20"/>
          <w:szCs w:val="20"/>
          <w:highlight w:val="yellow"/>
        </w:rPr>
        <w:t>Based on the comments from opponent, the main concern of extending T331 is about the increased UE power consumption. However, companies also pointed out, the SPEC do allow UE to continue EMR measurement after T331 has expired. Per rapporteur understanding, these comments are contradictory, as do EMR after T331 is also power consuming, if UEs are happy to do that, then extending T331 should also be acceptable.</w:t>
      </w:r>
    </w:p>
    <w:p w14:paraId="39117F4D" w14:textId="2A71213B" w:rsidR="00B3355D" w:rsidRPr="00B015FC" w:rsidRDefault="00B53E16" w:rsidP="0079204C">
      <w:pPr>
        <w:pStyle w:val="a2"/>
        <w:spacing w:before="120"/>
        <w:jc w:val="both"/>
        <w:rPr>
          <w:rFonts w:ascii="Arial" w:hAnsi="Arial" w:cs="Arial"/>
          <w:sz w:val="20"/>
          <w:szCs w:val="20"/>
          <w:highlight w:val="yellow"/>
        </w:rPr>
      </w:pPr>
      <w:r>
        <w:rPr>
          <w:rFonts w:ascii="Arial" w:hAnsi="Arial" w:cs="Arial"/>
          <w:sz w:val="20"/>
          <w:szCs w:val="20"/>
          <w:highlight w:val="yellow"/>
        </w:rPr>
        <w:t>However, d</w:t>
      </w:r>
      <w:r w:rsidR="0079204C" w:rsidRPr="00B015FC">
        <w:rPr>
          <w:rFonts w:ascii="Arial" w:hAnsi="Arial" w:cs="Arial"/>
          <w:sz w:val="20"/>
          <w:szCs w:val="20"/>
          <w:highlight w:val="yellow"/>
        </w:rPr>
        <w:t xml:space="preserve">ue to less support of extending T331 value, rapporteur </w:t>
      </w:r>
      <w:r w:rsidR="00B015FC">
        <w:rPr>
          <w:rFonts w:ascii="Arial" w:hAnsi="Arial" w:cs="Arial"/>
          <w:sz w:val="20"/>
          <w:szCs w:val="20"/>
          <w:highlight w:val="yellow"/>
        </w:rPr>
        <w:t>would suggest</w:t>
      </w:r>
      <w:r w:rsidR="0079204C" w:rsidRPr="00B015FC">
        <w:rPr>
          <w:rFonts w:ascii="Arial" w:hAnsi="Arial" w:cs="Arial"/>
          <w:sz w:val="20"/>
          <w:szCs w:val="20"/>
          <w:highlight w:val="yellow"/>
        </w:rPr>
        <w:t>:</w:t>
      </w:r>
    </w:p>
    <w:p w14:paraId="5488F11A" w14:textId="594DF22F" w:rsidR="00B015FC" w:rsidRPr="0041217C" w:rsidRDefault="00B015FC" w:rsidP="00B015FC">
      <w:pPr>
        <w:spacing w:before="156" w:line="276" w:lineRule="auto"/>
        <w:ind w:left="993" w:hanging="993"/>
        <w:rPr>
          <w:rFonts w:ascii="Arial" w:hAnsi="Arial" w:cs="Arial"/>
          <w:b/>
        </w:rPr>
      </w:pPr>
      <w:r w:rsidRPr="00B015FC">
        <w:rPr>
          <w:rFonts w:ascii="Arial" w:hAnsi="Arial" w:cs="Arial"/>
          <w:b/>
          <w:highlight w:val="yellow"/>
        </w:rPr>
        <w:t>Proposal 1: CRs in R2-2101074, R2-2100564 and R2-2100565 are not pursued.</w:t>
      </w:r>
    </w:p>
    <w:p w14:paraId="40217AB4" w14:textId="30C3D274" w:rsidR="0079204C" w:rsidRPr="0079204C" w:rsidRDefault="00B015FC" w:rsidP="0079204C">
      <w:pPr>
        <w:pStyle w:val="a2"/>
        <w:spacing w:before="120"/>
        <w:jc w:val="both"/>
        <w:rPr>
          <w:rFonts w:ascii="Arial" w:hAnsi="Arial" w:cs="Arial"/>
          <w:sz w:val="20"/>
          <w:szCs w:val="20"/>
        </w:rPr>
      </w:pPr>
      <w:r w:rsidRPr="00B53E16">
        <w:rPr>
          <w:rFonts w:ascii="Arial" w:hAnsi="Arial" w:cs="Arial"/>
          <w:sz w:val="20"/>
          <w:szCs w:val="20"/>
          <w:highlight w:val="yellow"/>
        </w:rPr>
        <w:t>Regarding the concern on RAN4 defined requirement</w:t>
      </w:r>
      <w:r w:rsidR="00B53E16" w:rsidRPr="00B53E16">
        <w:rPr>
          <w:rFonts w:ascii="Arial" w:hAnsi="Arial" w:cs="Arial"/>
          <w:sz w:val="20"/>
          <w:szCs w:val="20"/>
          <w:highlight w:val="yellow"/>
        </w:rPr>
        <w:t xml:space="preserve">, most companies think we should not ask </w:t>
      </w:r>
      <w:r w:rsidR="00B53E16" w:rsidRPr="00B53E16">
        <w:rPr>
          <w:rFonts w:ascii="Arial" w:eastAsia="Malgun Gothic" w:hAnsi="Arial" w:cs="Arial"/>
          <w:sz w:val="20"/>
          <w:szCs w:val="20"/>
          <w:highlight w:val="yellow"/>
        </w:rPr>
        <w:t>RAN4 to reconsider their decision at this late stage. So rapporteur would suggest to do nothing unless there is strong objection.</w:t>
      </w:r>
      <w:r w:rsidR="00B53E16">
        <w:rPr>
          <w:rFonts w:ascii="Arial" w:eastAsia="Malgun Gothic" w:hAnsi="Arial" w:cs="Arial"/>
          <w:sz w:val="20"/>
          <w:szCs w:val="20"/>
        </w:rPr>
        <w:t xml:space="preserve"> </w:t>
      </w:r>
    </w:p>
    <w:p w14:paraId="383115B1" w14:textId="77777777" w:rsidR="00B3355D" w:rsidRPr="00547625" w:rsidRDefault="00B3355D" w:rsidP="00DC7D99">
      <w:pPr>
        <w:pStyle w:val="a2"/>
        <w:spacing w:before="120"/>
        <w:rPr>
          <w:szCs w:val="20"/>
        </w:rPr>
      </w:pPr>
    </w:p>
    <w:p w14:paraId="5C1F314D" w14:textId="1DEDFAAE" w:rsidR="00775242" w:rsidRDefault="00775242" w:rsidP="00DC7D99">
      <w:pPr>
        <w:pStyle w:val="a2"/>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a2"/>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a2"/>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a2"/>
        <w:rPr>
          <w:b/>
          <w:szCs w:val="20"/>
        </w:rPr>
      </w:pPr>
    </w:p>
    <w:p w14:paraId="1A64F0ED" w14:textId="5ACD9809" w:rsidR="005C6D5C" w:rsidRPr="0041217C" w:rsidRDefault="00782B4A" w:rsidP="00773EF0">
      <w:pPr>
        <w:pStyle w:val="a2"/>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afa"/>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a2"/>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a2"/>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a2"/>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lastRenderedPageBreak/>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ms).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Like described above we have no definite performance requirements yet and we can consider that it might not be wise to configure many frequencies to early measurements. Anyway performance with many frequencies would be pretty mediocre. But if we want to support all signaling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Malgun Gothic" w:hAnsi="Arial" w:cs="Arial"/>
              </w:rPr>
              <w:t>As UE anyway stops T331 upon connecting to the network, infinity value seems adequate.</w:t>
            </w:r>
          </w:p>
        </w:tc>
      </w:tr>
      <w:tr w:rsidR="00AC30D8" w:rsidRPr="0041217C" w14:paraId="259B6675" w14:textId="77777777" w:rsidTr="00872A8E">
        <w:tc>
          <w:tcPr>
            <w:tcW w:w="1963" w:type="dxa"/>
            <w:vAlign w:val="center"/>
          </w:tcPr>
          <w:p w14:paraId="46BF0755" w14:textId="52A4B5C7"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7" w:type="dxa"/>
            <w:vAlign w:val="center"/>
          </w:tcPr>
          <w:p w14:paraId="29892B3C" w14:textId="510F79DF" w:rsidR="00AC30D8" w:rsidRDefault="00AC30D8" w:rsidP="00872A8E">
            <w:pPr>
              <w:jc w:val="center"/>
              <w:rPr>
                <w:rFonts w:ascii="Arial" w:eastAsia="Malgun Gothic" w:hAnsi="Arial" w:cs="Arial"/>
                <w:sz w:val="20"/>
                <w:szCs w:val="20"/>
              </w:rPr>
            </w:pPr>
            <w:r>
              <w:rPr>
                <w:rFonts w:ascii="Arial" w:eastAsia="Malgun Gothic" w:hAnsi="Arial" w:cs="Arial"/>
                <w:sz w:val="20"/>
                <w:szCs w:val="20"/>
              </w:rPr>
              <w:t>Option 1</w:t>
            </w:r>
          </w:p>
        </w:tc>
        <w:tc>
          <w:tcPr>
            <w:tcW w:w="6286" w:type="dxa"/>
          </w:tcPr>
          <w:p w14:paraId="0E4C7118" w14:textId="3DAFCD81" w:rsidR="00AC30D8" w:rsidRDefault="00AC30D8" w:rsidP="00872A8E">
            <w:pPr>
              <w:rPr>
                <w:rFonts w:ascii="Arial" w:eastAsia="Malgun Gothic" w:hAnsi="Arial" w:cs="Arial"/>
              </w:rPr>
            </w:pPr>
            <w:r w:rsidRPr="00AC30D8">
              <w:rPr>
                <w:rFonts w:ascii="Arial" w:eastAsia="Malgun Gothic" w:hAnsi="Arial" w:cs="Arial"/>
              </w:rPr>
              <w:t>Infinity</w:t>
            </w:r>
            <w:r>
              <w:rPr>
                <w:rFonts w:ascii="Arial" w:eastAsia="Malgun Gothic" w:hAnsi="Arial" w:cs="Arial"/>
              </w:rPr>
              <w:t xml:space="preserve"> means there will be no RRM relaxation at all, this would not be acceptable to us.</w:t>
            </w:r>
          </w:p>
        </w:tc>
      </w:tr>
      <w:tr w:rsidR="00B170FA" w:rsidRPr="0041217C" w14:paraId="0DEAE2DA" w14:textId="77777777" w:rsidTr="00872A8E">
        <w:tc>
          <w:tcPr>
            <w:tcW w:w="1963" w:type="dxa"/>
            <w:vAlign w:val="center"/>
          </w:tcPr>
          <w:p w14:paraId="7F7107C8" w14:textId="7C3E9776"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7" w:type="dxa"/>
            <w:vAlign w:val="center"/>
          </w:tcPr>
          <w:p w14:paraId="2E447746" w14:textId="503D1A7D" w:rsidR="00B170FA" w:rsidRDefault="00B170FA" w:rsidP="00B170FA">
            <w:pPr>
              <w:jc w:val="center"/>
              <w:rPr>
                <w:rFonts w:ascii="Arial" w:eastAsia="Malgun Gothic" w:hAnsi="Arial" w:cs="Arial"/>
                <w:szCs w:val="20"/>
              </w:rPr>
            </w:pPr>
            <w:r>
              <w:rPr>
                <w:rFonts w:ascii="Arial" w:eastAsia="Malgun Gothic" w:hAnsi="Arial" w:cs="Arial"/>
                <w:szCs w:val="20"/>
              </w:rPr>
              <w:t>Option 1</w:t>
            </w:r>
          </w:p>
        </w:tc>
        <w:tc>
          <w:tcPr>
            <w:tcW w:w="6286" w:type="dxa"/>
          </w:tcPr>
          <w:p w14:paraId="13A07666" w14:textId="28F0F109" w:rsidR="00B170FA" w:rsidRPr="00AC30D8" w:rsidRDefault="00B170FA" w:rsidP="00872A8E">
            <w:pPr>
              <w:rPr>
                <w:rFonts w:ascii="Arial" w:eastAsia="Malgun Gothic" w:hAnsi="Arial" w:cs="Arial"/>
              </w:rPr>
            </w:pPr>
            <w:r>
              <w:rPr>
                <w:rFonts w:ascii="Arial" w:eastAsia="Malgun Gothic" w:hAnsi="Arial" w:cs="Arial"/>
              </w:rPr>
              <w:t>Infinity value can be considered as UE implementation since stopping EMR is not mandatory in the specification.</w:t>
            </w:r>
          </w:p>
        </w:tc>
      </w:tr>
      <w:tr w:rsidR="00293D42" w:rsidRPr="0041217C" w14:paraId="07209539" w14:textId="77777777" w:rsidTr="00872A8E">
        <w:tc>
          <w:tcPr>
            <w:tcW w:w="1963" w:type="dxa"/>
            <w:vAlign w:val="center"/>
          </w:tcPr>
          <w:p w14:paraId="3F5C69E8" w14:textId="544F05A9" w:rsidR="00293D42" w:rsidRDefault="00293D42" w:rsidP="00293D42">
            <w:pPr>
              <w:jc w:val="center"/>
              <w:rPr>
                <w:rFonts w:ascii="Arial" w:eastAsia="Malgun Gothic" w:hAnsi="Arial" w:cs="Arial"/>
                <w:szCs w:val="20"/>
              </w:rPr>
            </w:pPr>
            <w:r>
              <w:rPr>
                <w:rFonts w:ascii="Arial" w:hAnsi="Arial" w:cs="Arial" w:hint="eastAsia"/>
                <w:sz w:val="20"/>
                <w:szCs w:val="20"/>
              </w:rPr>
              <w:t>O</w:t>
            </w:r>
            <w:r>
              <w:rPr>
                <w:rFonts w:ascii="Arial" w:hAnsi="Arial" w:cs="Arial"/>
                <w:sz w:val="20"/>
                <w:szCs w:val="20"/>
              </w:rPr>
              <w:t>PPO</w:t>
            </w:r>
          </w:p>
        </w:tc>
        <w:tc>
          <w:tcPr>
            <w:tcW w:w="1267" w:type="dxa"/>
            <w:vAlign w:val="center"/>
          </w:tcPr>
          <w:p w14:paraId="5757CCB6" w14:textId="7698F8D6" w:rsidR="00293D42" w:rsidRDefault="00293D42" w:rsidP="00293D42">
            <w:pPr>
              <w:jc w:val="center"/>
              <w:rPr>
                <w:rFonts w:ascii="Arial" w:eastAsia="Malgun Gothic" w:hAnsi="Arial" w:cs="Arial"/>
                <w:szCs w:val="20"/>
              </w:rPr>
            </w:pPr>
            <w:r>
              <w:rPr>
                <w:rFonts w:ascii="Arial" w:hAnsi="Arial" w:cs="Arial"/>
                <w:sz w:val="20"/>
                <w:szCs w:val="20"/>
              </w:rPr>
              <w:t>Option 1</w:t>
            </w:r>
          </w:p>
        </w:tc>
        <w:tc>
          <w:tcPr>
            <w:tcW w:w="6286" w:type="dxa"/>
          </w:tcPr>
          <w:p w14:paraId="5E553D61" w14:textId="658F1EC7" w:rsidR="00293D42" w:rsidRDefault="00293D42" w:rsidP="00293D42">
            <w:pPr>
              <w:rPr>
                <w:rFonts w:ascii="Arial" w:eastAsia="Malgun Gothic" w:hAnsi="Arial" w:cs="Arial"/>
              </w:rPr>
            </w:pPr>
            <w:r>
              <w:rPr>
                <w:rFonts w:ascii="Arial" w:hAnsi="Arial" w:cs="Arial"/>
              </w:rPr>
              <w:t>If RAN2 agree to extend the timer T331, we prefer option 1.</w:t>
            </w:r>
          </w:p>
        </w:tc>
      </w:tr>
    </w:tbl>
    <w:p w14:paraId="77925667" w14:textId="77777777" w:rsidR="00773EF0" w:rsidRDefault="00773EF0" w:rsidP="006B4E9D">
      <w:pPr>
        <w:pStyle w:val="a2"/>
      </w:pPr>
    </w:p>
    <w:p w14:paraId="636D80A8" w14:textId="5FD46034" w:rsidR="00B53E16" w:rsidRPr="00B15290" w:rsidRDefault="00B53E16" w:rsidP="006B4E9D">
      <w:pPr>
        <w:pStyle w:val="a2"/>
        <w:rPr>
          <w:rFonts w:ascii="Arial" w:hAnsi="Arial" w:cs="Arial"/>
          <w:sz w:val="20"/>
          <w:highlight w:val="yellow"/>
        </w:rPr>
      </w:pPr>
      <w:r w:rsidRPr="00B15290">
        <w:rPr>
          <w:rFonts w:ascii="Arial" w:hAnsi="Arial" w:cs="Arial"/>
          <w:sz w:val="20"/>
          <w:highlight w:val="yellow"/>
        </w:rPr>
        <w:t>Summary:</w:t>
      </w:r>
    </w:p>
    <w:p w14:paraId="717BA459" w14:textId="236EBF6B" w:rsidR="00B53E16" w:rsidRPr="00B53E16" w:rsidRDefault="00B53E16" w:rsidP="006B4E9D">
      <w:pPr>
        <w:pStyle w:val="a2"/>
        <w:rPr>
          <w:rFonts w:ascii="Arial" w:hAnsi="Arial" w:cs="Arial"/>
          <w:sz w:val="20"/>
        </w:rPr>
      </w:pPr>
      <w:r w:rsidRPr="00B53E16">
        <w:rPr>
          <w:rFonts w:ascii="Arial" w:hAnsi="Arial" w:cs="Arial"/>
          <w:sz w:val="20"/>
          <w:highlight w:val="yellow"/>
        </w:rPr>
        <w:t>Based on Proposal 1, no proposal will be provided for this question.</w:t>
      </w:r>
      <w:r w:rsidRPr="00B53E16">
        <w:rPr>
          <w:rFonts w:ascii="Arial" w:hAnsi="Arial" w:cs="Arial"/>
          <w:sz w:val="20"/>
        </w:rPr>
        <w:t xml:space="preserve"> </w:t>
      </w:r>
    </w:p>
    <w:p w14:paraId="2F5CD508" w14:textId="77777777" w:rsidR="00B53E16" w:rsidRPr="0041217C" w:rsidRDefault="00B53E16" w:rsidP="006B4E9D">
      <w:pPr>
        <w:pStyle w:val="a2"/>
      </w:pPr>
    </w:p>
    <w:p w14:paraId="66A2618B" w14:textId="1CBFD233" w:rsidR="00AE2BE0" w:rsidRDefault="005D0EDB" w:rsidP="00AC276C">
      <w:pPr>
        <w:pStyle w:val="31"/>
      </w:pPr>
      <w:r>
        <w:t xml:space="preserve">3.1.2  </w:t>
      </w:r>
      <w:r w:rsidR="003467A4">
        <w:t>Concern on out-of-date EMR results</w:t>
      </w:r>
      <w:r w:rsidR="00773EF0">
        <w:t xml:space="preserve"> </w:t>
      </w:r>
    </w:p>
    <w:p w14:paraId="7C879330" w14:textId="77777777" w:rsidR="003467A4" w:rsidRPr="0041217C" w:rsidRDefault="00BF306B"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BF306B" w:rsidP="003467A4">
      <w:pPr>
        <w:spacing w:before="60"/>
        <w:ind w:left="1259" w:hanging="1259"/>
        <w:rPr>
          <w:rFonts w:ascii="Arial" w:eastAsia="MS Mincho" w:hAnsi="Arial" w:cs="Times New Roman"/>
          <w:noProof/>
          <w:lang w:eastAsia="en-GB"/>
        </w:rPr>
      </w:pPr>
      <w:hyperlink r:id="rId31"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a2"/>
        <w:spacing w:before="120" w:line="276" w:lineRule="auto"/>
      </w:pPr>
      <w:r w:rsidRPr="0041217C">
        <w:t>In R2-2100563, another issue is raised about the reporting of EMR results. Based on RAN4 defined requirements, when S</w:t>
      </w:r>
      <w:r w:rsidRPr="0041217C">
        <w:rPr>
          <w:vertAlign w:val="subscript"/>
        </w:rPr>
        <w:t>rxlev</w:t>
      </w:r>
      <w:r w:rsidRPr="0041217C">
        <w:t xml:space="preserve"> &gt; S</w:t>
      </w:r>
      <w:r w:rsidRPr="0041217C">
        <w:rPr>
          <w:vertAlign w:val="subscript"/>
        </w:rPr>
        <w:t>nonIntraSearchP</w:t>
      </w:r>
      <w:r w:rsidRPr="0041217C">
        <w:t xml:space="preserve"> and S</w:t>
      </w:r>
      <w:r w:rsidRPr="0041217C">
        <w:rPr>
          <w:vertAlign w:val="subscript"/>
        </w:rPr>
        <w:t>qual</w:t>
      </w:r>
      <w:r w:rsidRPr="0041217C">
        <w:t xml:space="preserve"> &gt; S</w:t>
      </w:r>
      <w:r w:rsidRPr="0041217C">
        <w:rPr>
          <w:vertAlign w:val="subscript"/>
        </w:rPr>
        <w:t>nonIntraSearchQ</w:t>
      </w:r>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a2"/>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144.65pt;mso-width-percent:0;mso-height-percent:0;mso-width-percent:0;mso-height-percent:0" o:ole="">
            <v:imagedata r:id="rId32" o:title=""/>
          </v:shape>
          <o:OLEObject Type="Embed" ProgID="Visio.Drawing.11" ShapeID="_x0000_i1025" DrawAspect="Content" ObjectID="_1673452576" r:id="rId33"/>
        </w:object>
      </w:r>
    </w:p>
    <w:p w14:paraId="77F893B5" w14:textId="4EA85EB9" w:rsidR="003467A4" w:rsidRPr="00547625" w:rsidRDefault="003467A4" w:rsidP="005B4E08">
      <w:pPr>
        <w:pStyle w:val="a2"/>
        <w:spacing w:before="120" w:line="276" w:lineRule="auto"/>
      </w:pPr>
      <w:r w:rsidRPr="00547625">
        <w:lastRenderedPageBreak/>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a2"/>
        <w:spacing w:before="120"/>
      </w:pPr>
    </w:p>
    <w:p w14:paraId="4957AB5A" w14:textId="5B71B173" w:rsidR="009F4029" w:rsidRPr="0041217C" w:rsidRDefault="009F4029" w:rsidP="00C43ED4">
      <w:pPr>
        <w:pStyle w:val="a2"/>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afa"/>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2"/>
              <w:jc w:val="center"/>
              <w:rPr>
                <w:sz w:val="20"/>
                <w:szCs w:val="20"/>
              </w:rPr>
            </w:pPr>
            <w:r>
              <w:rPr>
                <w:sz w:val="20"/>
                <w:szCs w:val="20"/>
              </w:rPr>
              <w:t>Agree?</w:t>
            </w:r>
          </w:p>
          <w:p w14:paraId="6CDA6BAD" w14:textId="172AD23B" w:rsidR="005A400E" w:rsidRPr="006934EF" w:rsidRDefault="005A400E" w:rsidP="00906E6E">
            <w:pPr>
              <w:pStyle w:val="a2"/>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a2"/>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Malgun Gothic"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Malgun Gothic" w:hAnsi="Arial" w:cs="Arial" w:hint="eastAsia"/>
                <w:sz w:val="20"/>
                <w:szCs w:val="20"/>
              </w:rPr>
              <w:t>Similar view with Qualcomm.</w:t>
            </w:r>
            <w:r>
              <w:rPr>
                <w:rFonts w:ascii="Arial" w:eastAsia="Malgun Gothic"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8" w:type="dxa"/>
            <w:vAlign w:val="center"/>
          </w:tcPr>
          <w:p w14:paraId="05D94487" w14:textId="16BB003D" w:rsidR="00BC06A6" w:rsidRDefault="00BC06A6"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7B2696C0" w14:textId="329795AC" w:rsidR="00BC06A6" w:rsidRPr="00BC06A6" w:rsidRDefault="00BC06A6" w:rsidP="00872A8E">
            <w:pPr>
              <w:rPr>
                <w:rFonts w:ascii="Arial" w:hAnsi="Arial" w:cs="Arial"/>
                <w:sz w:val="20"/>
                <w:szCs w:val="20"/>
                <w:lang w:val="en-GB"/>
              </w:rPr>
            </w:pPr>
            <w:r>
              <w:rPr>
                <w:rFonts w:ascii="Arial" w:eastAsia="Malgun Gothic"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r w:rsidR="00D6178A" w:rsidRPr="0041217C" w14:paraId="32DC1F68" w14:textId="77777777" w:rsidTr="00872A8E">
        <w:tc>
          <w:tcPr>
            <w:tcW w:w="1963" w:type="dxa"/>
            <w:vAlign w:val="center"/>
          </w:tcPr>
          <w:p w14:paraId="21B5AF5E" w14:textId="43C47101" w:rsidR="00D6178A" w:rsidRDefault="00D6178A" w:rsidP="00872A8E">
            <w:pPr>
              <w:jc w:val="center"/>
              <w:rPr>
                <w:rFonts w:ascii="Arial" w:eastAsia="Malgun Gothic" w:hAnsi="Arial" w:cs="Arial"/>
                <w:szCs w:val="20"/>
              </w:rPr>
            </w:pPr>
            <w:r>
              <w:rPr>
                <w:rFonts w:ascii="Arial" w:eastAsia="Malgun Gothic" w:hAnsi="Arial" w:cs="Arial"/>
                <w:szCs w:val="20"/>
              </w:rPr>
              <w:t>MediaTek</w:t>
            </w:r>
          </w:p>
        </w:tc>
        <w:tc>
          <w:tcPr>
            <w:tcW w:w="1268" w:type="dxa"/>
            <w:vAlign w:val="center"/>
          </w:tcPr>
          <w:p w14:paraId="52157E44" w14:textId="1B438E20" w:rsidR="00D6178A" w:rsidRDefault="00D6178A"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6424DE6B" w14:textId="423F1FDC" w:rsidR="00D6178A" w:rsidRDefault="00D6178A" w:rsidP="00872A8E">
            <w:pPr>
              <w:rPr>
                <w:rFonts w:ascii="Arial" w:eastAsia="Malgun Gothic" w:hAnsi="Arial" w:cs="Arial"/>
                <w:sz w:val="20"/>
                <w:szCs w:val="20"/>
              </w:rPr>
            </w:pPr>
            <w:r>
              <w:rPr>
                <w:rFonts w:ascii="Arial" w:eastAsia="Malgun Gothic" w:hAnsi="Arial" w:cs="Arial"/>
                <w:sz w:val="20"/>
                <w:szCs w:val="20"/>
              </w:rPr>
              <w:t>Similar view as Qualcomm. If company has concern on the EMR requirement, they should raise this in RAN4.</w:t>
            </w:r>
          </w:p>
          <w:p w14:paraId="1D99DDBB" w14:textId="6F146486" w:rsidR="00D6178A" w:rsidRDefault="00D6178A" w:rsidP="00872A8E">
            <w:pPr>
              <w:rPr>
                <w:rFonts w:ascii="Arial" w:eastAsia="Malgun Gothic" w:hAnsi="Arial" w:cs="Arial"/>
                <w:sz w:val="20"/>
                <w:szCs w:val="20"/>
              </w:rPr>
            </w:pPr>
            <w:r>
              <w:rPr>
                <w:rFonts w:ascii="Arial" w:eastAsia="Malgun Gothic" w:hAnsi="Arial" w:cs="Arial"/>
                <w:sz w:val="20"/>
                <w:szCs w:val="20"/>
              </w:rPr>
              <w:t xml:space="preserve">Please also note that 60s requirement does not mean UE only do one shot measurement within 60s. It implies that UE has to report the measurement correctly within 60s. The UE may have to do multiple SSB measurement during 60s period. So the picture is </w:t>
            </w:r>
            <w:r>
              <w:rPr>
                <w:rFonts w:ascii="Arial" w:eastAsia="Malgun Gothic" w:hAnsi="Arial" w:cs="Arial"/>
                <w:sz w:val="20"/>
                <w:szCs w:val="20"/>
              </w:rPr>
              <w:lastRenderedPageBreak/>
              <w:t>misleading, we don’t think there is really serious out of date report here. (And this paragraph is actually should be discussed in RAN4).</w:t>
            </w:r>
          </w:p>
        </w:tc>
      </w:tr>
      <w:tr w:rsidR="00B642E4" w:rsidRPr="0041217C" w14:paraId="38BCB79D" w14:textId="77777777" w:rsidTr="00872A8E">
        <w:tc>
          <w:tcPr>
            <w:tcW w:w="1963" w:type="dxa"/>
            <w:vAlign w:val="center"/>
          </w:tcPr>
          <w:p w14:paraId="269AA676" w14:textId="64F49AD1" w:rsidR="00B642E4" w:rsidRDefault="00B642E4" w:rsidP="00872A8E">
            <w:pPr>
              <w:jc w:val="center"/>
              <w:rPr>
                <w:rFonts w:ascii="Arial" w:eastAsia="Malgun Gothic" w:hAnsi="Arial" w:cs="Arial"/>
                <w:szCs w:val="20"/>
              </w:rPr>
            </w:pPr>
            <w:r>
              <w:rPr>
                <w:rFonts w:ascii="Arial" w:eastAsia="Malgun Gothic" w:hAnsi="Arial" w:cs="Arial" w:hint="eastAsia"/>
                <w:szCs w:val="20"/>
              </w:rPr>
              <w:lastRenderedPageBreak/>
              <w:t>Samsung</w:t>
            </w:r>
          </w:p>
        </w:tc>
        <w:tc>
          <w:tcPr>
            <w:tcW w:w="1268" w:type="dxa"/>
            <w:vAlign w:val="center"/>
          </w:tcPr>
          <w:p w14:paraId="15F0B8D0" w14:textId="130971A1" w:rsidR="00B642E4" w:rsidRDefault="00B642E4"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4EEEC307" w14:textId="0D2E28A1" w:rsidR="00B642E4" w:rsidRDefault="00B642E4" w:rsidP="00872A8E">
            <w:pPr>
              <w:rPr>
                <w:rFonts w:ascii="Arial" w:eastAsia="Malgun Gothic" w:hAnsi="Arial" w:cs="Arial"/>
                <w:szCs w:val="20"/>
              </w:rPr>
            </w:pPr>
            <w:r>
              <w:rPr>
                <w:rFonts w:ascii="Arial" w:eastAsia="Malgun Gothic" w:hAnsi="Arial" w:cs="Arial" w:hint="eastAsia"/>
                <w:szCs w:val="20"/>
              </w:rPr>
              <w:t>It</w:t>
            </w:r>
            <w:r>
              <w:rPr>
                <w:rFonts w:ascii="Arial" w:eastAsia="Malgun Gothic" w:hAnsi="Arial" w:cs="Arial"/>
                <w:szCs w:val="20"/>
              </w:rPr>
              <w:t>’s RAN4 business.</w:t>
            </w:r>
          </w:p>
        </w:tc>
      </w:tr>
      <w:tr w:rsidR="00293D42" w:rsidRPr="0041217C" w14:paraId="5DAA2706" w14:textId="77777777" w:rsidTr="00872A8E">
        <w:tc>
          <w:tcPr>
            <w:tcW w:w="1963" w:type="dxa"/>
            <w:vAlign w:val="center"/>
          </w:tcPr>
          <w:p w14:paraId="365131B2" w14:textId="724A9006" w:rsidR="00293D42" w:rsidRDefault="00293D42" w:rsidP="00293D42">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68" w:type="dxa"/>
            <w:vAlign w:val="center"/>
          </w:tcPr>
          <w:p w14:paraId="63EC3FB8" w14:textId="31842B85" w:rsidR="00293D42" w:rsidRDefault="00293D42" w:rsidP="00293D42">
            <w:pPr>
              <w:jc w:val="center"/>
              <w:rPr>
                <w:rFonts w:ascii="Arial" w:eastAsia="Malgun Gothic" w:hAnsi="Arial" w:cs="Arial"/>
                <w:szCs w:val="20"/>
              </w:rPr>
            </w:pPr>
            <w:r>
              <w:rPr>
                <w:rFonts w:ascii="Arial" w:hAnsi="Arial" w:cs="Arial"/>
                <w:szCs w:val="20"/>
              </w:rPr>
              <w:t xml:space="preserve">Yes </w:t>
            </w:r>
          </w:p>
        </w:tc>
        <w:tc>
          <w:tcPr>
            <w:tcW w:w="6285" w:type="dxa"/>
          </w:tcPr>
          <w:p w14:paraId="79556FAD" w14:textId="3686691B" w:rsidR="00293D42" w:rsidRDefault="00293D42" w:rsidP="00293D42">
            <w:pPr>
              <w:rPr>
                <w:rFonts w:ascii="Arial" w:eastAsia="Malgun Gothic" w:hAnsi="Arial" w:cs="Arial"/>
                <w:szCs w:val="20"/>
              </w:rPr>
            </w:pPr>
            <w:r>
              <w:rPr>
                <w:rFonts w:ascii="Arial" w:hAnsi="Arial" w:cs="Arial"/>
                <w:sz w:val="20"/>
                <w:szCs w:val="20"/>
              </w:rPr>
              <w:t>It was discussed how to prevent the reporting of out-of-date measurement results in RAN2 before. We still think it is issue and need to solve.</w:t>
            </w:r>
          </w:p>
        </w:tc>
      </w:tr>
      <w:tr w:rsidR="00E405DA" w:rsidRPr="0041217C" w14:paraId="347D3DFE" w14:textId="77777777" w:rsidTr="00872A8E">
        <w:tc>
          <w:tcPr>
            <w:tcW w:w="1963" w:type="dxa"/>
            <w:vAlign w:val="center"/>
          </w:tcPr>
          <w:p w14:paraId="3CD9ECFA" w14:textId="4E75412A" w:rsidR="00E405DA" w:rsidRDefault="00E405DA" w:rsidP="00293D42">
            <w:pPr>
              <w:jc w:val="center"/>
              <w:rPr>
                <w:rFonts w:ascii="Arial" w:hAnsi="Arial" w:cs="Arial" w:hint="eastAsia"/>
                <w:szCs w:val="20"/>
              </w:rPr>
            </w:pPr>
            <w:r>
              <w:rPr>
                <w:rFonts w:ascii="Arial" w:hAnsi="Arial" w:cs="Arial"/>
                <w:szCs w:val="20"/>
              </w:rPr>
              <w:t>vivo</w:t>
            </w:r>
          </w:p>
        </w:tc>
        <w:tc>
          <w:tcPr>
            <w:tcW w:w="1268" w:type="dxa"/>
            <w:vAlign w:val="center"/>
          </w:tcPr>
          <w:p w14:paraId="0F64F463" w14:textId="408462B5" w:rsidR="00E405DA" w:rsidRDefault="00E405DA" w:rsidP="00293D42">
            <w:pPr>
              <w:jc w:val="center"/>
              <w:rPr>
                <w:rFonts w:ascii="Arial" w:hAnsi="Arial" w:cs="Arial"/>
                <w:szCs w:val="20"/>
              </w:rPr>
            </w:pPr>
            <w:r>
              <w:rPr>
                <w:rFonts w:ascii="Arial" w:hAnsi="Arial" w:cs="Arial"/>
                <w:szCs w:val="20"/>
              </w:rPr>
              <w:t>Yes</w:t>
            </w:r>
          </w:p>
        </w:tc>
        <w:tc>
          <w:tcPr>
            <w:tcW w:w="6285" w:type="dxa"/>
          </w:tcPr>
          <w:p w14:paraId="2F002AF8" w14:textId="43C00134" w:rsidR="00E405DA" w:rsidRDefault="00E405DA" w:rsidP="00293D42">
            <w:pPr>
              <w:rPr>
                <w:rFonts w:ascii="Arial" w:hAnsi="Arial" w:cs="Arial"/>
                <w:sz w:val="20"/>
                <w:szCs w:val="20"/>
              </w:rPr>
            </w:pPr>
            <w:r>
              <w:rPr>
                <w:rFonts w:ascii="Arial" w:hAnsi="Arial" w:cs="Arial"/>
                <w:sz w:val="20"/>
                <w:szCs w:val="20"/>
              </w:rPr>
              <w:t>Agree with ZTE and Ericsson.</w:t>
            </w:r>
          </w:p>
        </w:tc>
      </w:tr>
    </w:tbl>
    <w:p w14:paraId="14B5D985" w14:textId="75759FC9" w:rsidR="005A400E" w:rsidRDefault="005A400E" w:rsidP="006B4E9D">
      <w:pPr>
        <w:pStyle w:val="a2"/>
      </w:pPr>
    </w:p>
    <w:p w14:paraId="5EE318E7" w14:textId="77777777" w:rsidR="00B15290" w:rsidRPr="0079204C" w:rsidRDefault="00B15290" w:rsidP="00B15290">
      <w:pPr>
        <w:pStyle w:val="a2"/>
        <w:spacing w:before="120"/>
        <w:rPr>
          <w:rFonts w:ascii="Arial" w:hAnsi="Arial" w:cs="Arial"/>
          <w:sz w:val="20"/>
          <w:szCs w:val="20"/>
          <w:highlight w:val="yellow"/>
        </w:rPr>
      </w:pPr>
      <w:r w:rsidRPr="0079204C">
        <w:rPr>
          <w:rFonts w:ascii="Arial" w:hAnsi="Arial" w:cs="Arial"/>
          <w:sz w:val="20"/>
          <w:szCs w:val="20"/>
          <w:highlight w:val="yellow"/>
        </w:rPr>
        <w:t>Summary:</w:t>
      </w:r>
    </w:p>
    <w:p w14:paraId="74FBBA1C" w14:textId="77777777" w:rsidR="00B15290" w:rsidRPr="00B15290" w:rsidRDefault="00B15290" w:rsidP="00B15290">
      <w:pPr>
        <w:pStyle w:val="a2"/>
        <w:spacing w:before="120"/>
        <w:jc w:val="both"/>
        <w:rPr>
          <w:rFonts w:ascii="Arial" w:hAnsi="Arial" w:cs="Arial"/>
          <w:sz w:val="20"/>
          <w:szCs w:val="20"/>
          <w:highlight w:val="yellow"/>
        </w:rPr>
      </w:pPr>
      <w:r w:rsidRPr="00B15290">
        <w:rPr>
          <w:rFonts w:ascii="Arial" w:hAnsi="Arial" w:cs="Arial"/>
          <w:sz w:val="20"/>
          <w:szCs w:val="20"/>
          <w:highlight w:val="yellow"/>
        </w:rPr>
        <w:t xml:space="preserve">11 companies provide inputs, 4 companies agree with the proposal, 7 companies disagree because they think this has been discussed in RAN4. </w:t>
      </w:r>
    </w:p>
    <w:p w14:paraId="493F3A79" w14:textId="11E58234" w:rsidR="00B15290" w:rsidRDefault="00B15290" w:rsidP="00B15290">
      <w:pPr>
        <w:pStyle w:val="a2"/>
        <w:spacing w:before="120"/>
        <w:jc w:val="both"/>
        <w:rPr>
          <w:rFonts w:ascii="Arial" w:hAnsi="Arial" w:cs="Arial"/>
          <w:sz w:val="20"/>
          <w:szCs w:val="20"/>
        </w:rPr>
      </w:pPr>
      <w:r w:rsidRPr="00B15290">
        <w:rPr>
          <w:rFonts w:ascii="Arial" w:hAnsi="Arial" w:cs="Arial"/>
          <w:sz w:val="20"/>
          <w:szCs w:val="20"/>
          <w:highlight w:val="yellow"/>
        </w:rPr>
        <w:t xml:space="preserve">Based on companies’ feedback, it seems companies believe the issue identified by R2-2100563 won’t be a real problem. </w:t>
      </w:r>
      <w:r w:rsidR="00F51F7C" w:rsidRPr="00F51F7C">
        <w:rPr>
          <w:rFonts w:ascii="Arial" w:hAnsi="Arial" w:cs="Arial"/>
          <w:sz w:val="20"/>
          <w:szCs w:val="20"/>
          <w:highlight w:val="yellow"/>
        </w:rPr>
        <w:t xml:space="preserve">Please note that </w:t>
      </w:r>
      <w:r w:rsidR="00BD2154">
        <w:rPr>
          <w:rFonts w:ascii="Arial" w:hAnsi="Arial" w:cs="Arial"/>
          <w:sz w:val="20"/>
          <w:szCs w:val="20"/>
          <w:highlight w:val="yellow"/>
        </w:rPr>
        <w:t>it is impossible</w:t>
      </w:r>
      <w:r w:rsidR="00F51F7C" w:rsidRPr="00F51F7C">
        <w:rPr>
          <w:rFonts w:ascii="Arial" w:hAnsi="Arial" w:cs="Arial"/>
          <w:sz w:val="20"/>
          <w:szCs w:val="20"/>
          <w:highlight w:val="yellow"/>
        </w:rPr>
        <w:t xml:space="preserve"> for network to identify the validity of EMR results sent by UE. RAN2 indeed discussed the issue </w:t>
      </w:r>
      <w:r w:rsidR="00F51F7C">
        <w:rPr>
          <w:rFonts w:ascii="Arial" w:hAnsi="Arial" w:cs="Arial"/>
          <w:sz w:val="20"/>
          <w:szCs w:val="20"/>
          <w:highlight w:val="yellow"/>
        </w:rPr>
        <w:t>on</w:t>
      </w:r>
      <w:r w:rsidR="00F51F7C" w:rsidRPr="00F51F7C">
        <w:rPr>
          <w:rFonts w:ascii="Arial" w:hAnsi="Arial" w:cs="Arial"/>
          <w:sz w:val="20"/>
          <w:szCs w:val="20"/>
          <w:highlight w:val="yellow"/>
        </w:rPr>
        <w:t xml:space="preserve"> how to prevent reporting out-of-date results</w:t>
      </w:r>
      <w:r w:rsidR="00F51F7C">
        <w:rPr>
          <w:rFonts w:ascii="Arial" w:hAnsi="Arial" w:cs="Arial"/>
          <w:sz w:val="20"/>
          <w:szCs w:val="20"/>
          <w:highlight w:val="yellow"/>
        </w:rPr>
        <w:t>, and the</w:t>
      </w:r>
      <w:r w:rsidR="00774671">
        <w:rPr>
          <w:rFonts w:ascii="Arial" w:hAnsi="Arial" w:cs="Arial"/>
          <w:sz w:val="20"/>
          <w:szCs w:val="20"/>
          <w:highlight w:val="yellow"/>
        </w:rPr>
        <w:t xml:space="preserve">n the conclusion is </w:t>
      </w:r>
      <w:r w:rsidR="00F51F7C">
        <w:rPr>
          <w:rFonts w:ascii="Arial" w:hAnsi="Arial" w:cs="Arial"/>
          <w:sz w:val="20"/>
          <w:szCs w:val="20"/>
          <w:highlight w:val="yellow"/>
        </w:rPr>
        <w:t>up to UE implementation</w:t>
      </w:r>
      <w:r w:rsidR="00F51F7C" w:rsidRPr="00F51F7C">
        <w:rPr>
          <w:rFonts w:ascii="Arial" w:hAnsi="Arial" w:cs="Arial"/>
          <w:sz w:val="20"/>
          <w:szCs w:val="20"/>
          <w:highlight w:val="yellow"/>
        </w:rPr>
        <w:t>,</w:t>
      </w:r>
      <w:r w:rsidR="00F51F7C">
        <w:rPr>
          <w:rFonts w:ascii="Arial" w:hAnsi="Arial" w:cs="Arial"/>
          <w:sz w:val="20"/>
          <w:szCs w:val="20"/>
        </w:rPr>
        <w:t xml:space="preserve">  </w:t>
      </w:r>
    </w:p>
    <w:p w14:paraId="255314B1" w14:textId="35C927CE" w:rsidR="00F51F7C" w:rsidRDefault="00F51F7C" w:rsidP="00B15290">
      <w:pPr>
        <w:pStyle w:val="a2"/>
        <w:spacing w:before="120"/>
        <w:jc w:val="both"/>
        <w:rPr>
          <w:rFonts w:ascii="Arial" w:hAnsi="Arial" w:cs="Arial"/>
          <w:sz w:val="20"/>
          <w:szCs w:val="20"/>
        </w:rPr>
      </w:pPr>
      <w:r w:rsidRPr="00B15290">
        <w:rPr>
          <w:rFonts w:ascii="Arial" w:hAnsi="Arial" w:cs="Arial"/>
          <w:sz w:val="20"/>
          <w:szCs w:val="20"/>
          <w:highlight w:val="yellow"/>
        </w:rPr>
        <w:t>So rapporteur would suggest to confirm this understanding in RAN2, thus no LS is needed to be sent to RAN4.</w:t>
      </w:r>
    </w:p>
    <w:p w14:paraId="1EFFEA4D" w14:textId="2CC0CCC0" w:rsidR="00B15290" w:rsidRPr="00774671" w:rsidRDefault="00B15290" w:rsidP="00774671">
      <w:pPr>
        <w:spacing w:before="156" w:line="276" w:lineRule="auto"/>
        <w:ind w:left="993" w:hanging="993"/>
        <w:rPr>
          <w:rFonts w:ascii="Arial" w:hAnsi="Arial" w:cs="Arial"/>
          <w:b/>
        </w:rPr>
      </w:pPr>
      <w:r w:rsidRPr="00B15290">
        <w:rPr>
          <w:rFonts w:ascii="Arial" w:hAnsi="Arial" w:cs="Arial"/>
          <w:b/>
          <w:highlight w:val="yellow"/>
        </w:rPr>
        <w:t xml:space="preserve">Proposal </w:t>
      </w:r>
      <w:r>
        <w:rPr>
          <w:rFonts w:ascii="Arial" w:hAnsi="Arial" w:cs="Arial"/>
          <w:b/>
          <w:highlight w:val="yellow"/>
        </w:rPr>
        <w:t>2</w:t>
      </w:r>
      <w:r w:rsidRPr="00B15290">
        <w:rPr>
          <w:rFonts w:ascii="Arial" w:hAnsi="Arial" w:cs="Arial"/>
          <w:b/>
          <w:highlight w:val="yellow"/>
        </w:rPr>
        <w:t xml:space="preserve">: RAN2 understands </w:t>
      </w:r>
      <w:r w:rsidR="00F51F7C">
        <w:rPr>
          <w:rFonts w:ascii="Arial" w:hAnsi="Arial" w:cs="Arial"/>
          <w:b/>
          <w:highlight w:val="yellow"/>
        </w:rPr>
        <w:t>based on RAN4 defined EMR requirement,</w:t>
      </w:r>
      <w:r w:rsidRPr="00B15290">
        <w:rPr>
          <w:rFonts w:ascii="Arial" w:hAnsi="Arial" w:cs="Arial"/>
          <w:b/>
          <w:highlight w:val="yellow"/>
        </w:rPr>
        <w:t xml:space="preserve"> </w:t>
      </w:r>
      <w:r w:rsidR="00F51F7C">
        <w:rPr>
          <w:rFonts w:ascii="Arial" w:hAnsi="Arial" w:cs="Arial"/>
          <w:b/>
          <w:highlight w:val="yellow"/>
        </w:rPr>
        <w:t>UE will not</w:t>
      </w:r>
      <w:r w:rsidRPr="00B15290">
        <w:rPr>
          <w:rFonts w:ascii="Arial" w:hAnsi="Arial" w:cs="Arial"/>
          <w:b/>
          <w:highlight w:val="yellow"/>
        </w:rPr>
        <w:t xml:space="preserve"> </w:t>
      </w:r>
      <w:r w:rsidR="00F51F7C">
        <w:rPr>
          <w:rFonts w:ascii="Arial" w:hAnsi="Arial" w:cs="Arial"/>
          <w:b/>
          <w:highlight w:val="yellow"/>
        </w:rPr>
        <w:t>report</w:t>
      </w:r>
      <w:r w:rsidRPr="00B15290">
        <w:rPr>
          <w:rFonts w:ascii="Arial" w:hAnsi="Arial" w:cs="Arial"/>
          <w:b/>
          <w:highlight w:val="yellow"/>
        </w:rPr>
        <w:t xml:space="preserve"> out-of-date measurement results in EMR report</w:t>
      </w:r>
      <w:r w:rsidR="00F51F7C">
        <w:rPr>
          <w:rFonts w:ascii="Arial" w:hAnsi="Arial" w:cs="Arial"/>
          <w:b/>
          <w:highlight w:val="yellow"/>
        </w:rPr>
        <w:t>. (Thus no LS is neede</w:t>
      </w:r>
      <w:r w:rsidR="00F51F7C" w:rsidRPr="00BD2154">
        <w:rPr>
          <w:rFonts w:ascii="Arial" w:hAnsi="Arial" w:cs="Arial"/>
          <w:b/>
          <w:highlight w:val="yellow"/>
        </w:rPr>
        <w:t>d)</w:t>
      </w:r>
    </w:p>
    <w:p w14:paraId="5ACC4B5C" w14:textId="77777777" w:rsidR="00B15290" w:rsidRPr="0041217C" w:rsidRDefault="00B15290" w:rsidP="006B4E9D">
      <w:pPr>
        <w:pStyle w:val="a2"/>
      </w:pPr>
    </w:p>
    <w:p w14:paraId="51BF67D9" w14:textId="7AB194A6" w:rsidR="00C43ED4" w:rsidRPr="0041217C" w:rsidRDefault="004B2550" w:rsidP="006B4E9D">
      <w:pPr>
        <w:pStyle w:val="a2"/>
      </w:pPr>
      <w:r w:rsidRPr="0041217C">
        <w:t>The content of draft LS is shown below:</w:t>
      </w:r>
    </w:p>
    <w:p w14:paraId="4A44B54A" w14:textId="77777777" w:rsidR="004B2550" w:rsidRPr="0041217C" w:rsidRDefault="00BF306B" w:rsidP="004B2550">
      <w:pPr>
        <w:spacing w:before="60"/>
        <w:ind w:left="1259" w:hanging="1259"/>
        <w:rPr>
          <w:rFonts w:ascii="Arial" w:eastAsia="MS Mincho" w:hAnsi="Arial" w:cs="Times New Roman"/>
          <w:noProof/>
          <w:lang w:eastAsia="en-GB"/>
        </w:rPr>
      </w:pPr>
      <w:hyperlink r:id="rId34"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a2"/>
      </w:pPr>
    </w:p>
    <w:tbl>
      <w:tblPr>
        <w:tblStyle w:val="afa"/>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a2"/>
      </w:pPr>
    </w:p>
    <w:p w14:paraId="18D93E0A" w14:textId="7469C731" w:rsidR="004B2550" w:rsidRPr="0041217C" w:rsidRDefault="004B2550" w:rsidP="004B2550">
      <w:pPr>
        <w:pStyle w:val="a2"/>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a2"/>
        <w:spacing w:before="120"/>
        <w:rPr>
          <w:color w:val="C00000"/>
        </w:rPr>
      </w:pPr>
      <w:r w:rsidRPr="0041217C">
        <w:rPr>
          <w:color w:val="C00000"/>
        </w:rPr>
        <w:lastRenderedPageBreak/>
        <w:t>(Please ignore the yellow part for now, it will be updated based on the outcome of Q1.1 &amp; Q1.2)</w:t>
      </w:r>
    </w:p>
    <w:tbl>
      <w:tblPr>
        <w:tblStyle w:val="afa"/>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a2"/>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a2"/>
              <w:jc w:val="center"/>
              <w:rPr>
                <w:sz w:val="20"/>
                <w:szCs w:val="20"/>
              </w:rPr>
            </w:pPr>
            <w:r>
              <w:rPr>
                <w:sz w:val="20"/>
                <w:szCs w:val="20"/>
              </w:rPr>
              <w:t>Agree?</w:t>
            </w:r>
          </w:p>
          <w:p w14:paraId="7238BAD9" w14:textId="77777777" w:rsidR="004B2550" w:rsidRPr="006934EF" w:rsidRDefault="004B2550" w:rsidP="00F1768B">
            <w:pPr>
              <w:pStyle w:val="a2"/>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a2"/>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3312A9EC" w:rsidR="004B2550" w:rsidRPr="0041217C" w:rsidRDefault="00E405DA" w:rsidP="00F1768B">
            <w:pPr>
              <w:jc w:val="center"/>
              <w:rPr>
                <w:rFonts w:ascii="Arial" w:hAnsi="Arial" w:cs="Arial"/>
                <w:sz w:val="20"/>
                <w:szCs w:val="20"/>
                <w:lang w:val="en-GB"/>
              </w:rPr>
            </w:pPr>
            <w:r>
              <w:rPr>
                <w:rFonts w:ascii="Arial" w:hAnsi="Arial" w:cs="Arial"/>
                <w:sz w:val="20"/>
                <w:szCs w:val="20"/>
                <w:lang w:val="en-GB"/>
              </w:rPr>
              <w:t>vivo</w:t>
            </w:r>
          </w:p>
        </w:tc>
        <w:tc>
          <w:tcPr>
            <w:tcW w:w="1269" w:type="dxa"/>
            <w:vAlign w:val="center"/>
          </w:tcPr>
          <w:p w14:paraId="02C4D520" w14:textId="77CE4207" w:rsidR="004B2550" w:rsidRPr="0041217C" w:rsidRDefault="00E405DA" w:rsidP="00F1768B">
            <w:pPr>
              <w:jc w:val="center"/>
              <w:rPr>
                <w:rFonts w:ascii="Arial" w:hAnsi="Arial" w:cs="Arial"/>
                <w:sz w:val="20"/>
                <w:szCs w:val="20"/>
                <w:lang w:val="en-GB"/>
              </w:rPr>
            </w:pPr>
            <w:r>
              <w:rPr>
                <w:rFonts w:ascii="Arial" w:hAnsi="Arial" w:cs="Arial"/>
                <w:sz w:val="20"/>
                <w:szCs w:val="20"/>
                <w:lang w:val="en-GB"/>
              </w:rPr>
              <w:t>Yes</w:t>
            </w: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Default="004B2550" w:rsidP="006B4E9D">
      <w:pPr>
        <w:pStyle w:val="a2"/>
      </w:pPr>
    </w:p>
    <w:p w14:paraId="7B7B9CA4" w14:textId="77777777" w:rsidR="00774671" w:rsidRPr="0041217C" w:rsidRDefault="00774671" w:rsidP="006B4E9D">
      <w:pPr>
        <w:pStyle w:val="a2"/>
      </w:pPr>
    </w:p>
    <w:p w14:paraId="1EE621C5" w14:textId="74C57CF5" w:rsidR="00D43874" w:rsidRDefault="005D0EDB" w:rsidP="00D43874">
      <w:pPr>
        <w:pStyle w:val="21"/>
      </w:pPr>
      <w:r>
        <w:t xml:space="preserve">3.2 </w:t>
      </w:r>
      <w:r w:rsidR="00AC276C">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BF306B"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BF306B"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BF306B" w:rsidP="00C96EA6">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BF306B" w:rsidP="00F62930">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BF306B" w:rsidP="00C96EA6">
      <w:pPr>
        <w:spacing w:before="60"/>
        <w:ind w:left="1259" w:hanging="1259"/>
        <w:rPr>
          <w:rFonts w:ascii="Arial" w:eastAsia="MS Mincho" w:hAnsi="Arial" w:cs="Times New Roman"/>
          <w:noProof/>
          <w:szCs w:val="20"/>
          <w:lang w:eastAsia="en-GB"/>
        </w:rPr>
      </w:pPr>
      <w:hyperlink r:id="rId39"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afa"/>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a"/>
        <w:tblW w:w="9403" w:type="dxa"/>
        <w:tblInd w:w="452" w:type="dxa"/>
        <w:tblLayout w:type="fixed"/>
        <w:tblLook w:val="04A0" w:firstRow="1" w:lastRow="0" w:firstColumn="1" w:lastColumn="0" w:noHBand="0" w:noVBand="1"/>
      </w:tblPr>
      <w:tblGrid>
        <w:gridCol w:w="1948"/>
        <w:gridCol w:w="1262"/>
        <w:gridCol w:w="6193"/>
      </w:tblGrid>
      <w:tr w:rsidR="003207E8" w14:paraId="2943B4A8" w14:textId="77777777" w:rsidTr="00E405DA">
        <w:tc>
          <w:tcPr>
            <w:tcW w:w="1948" w:type="dxa"/>
            <w:shd w:val="clear" w:color="auto" w:fill="BFBFBF" w:themeFill="background1" w:themeFillShade="BF"/>
            <w:vAlign w:val="center"/>
          </w:tcPr>
          <w:p w14:paraId="0E9DEEF0" w14:textId="77777777" w:rsidR="003207E8" w:rsidRPr="006934EF" w:rsidRDefault="003207E8" w:rsidP="003207E8">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a2"/>
              <w:jc w:val="center"/>
              <w:rPr>
                <w:sz w:val="20"/>
                <w:szCs w:val="20"/>
              </w:rPr>
            </w:pPr>
            <w:r>
              <w:rPr>
                <w:sz w:val="20"/>
                <w:szCs w:val="20"/>
              </w:rPr>
              <w:t>Agree?</w:t>
            </w:r>
          </w:p>
          <w:p w14:paraId="5CBFA928" w14:textId="77777777" w:rsidR="003207E8" w:rsidRPr="006934EF" w:rsidRDefault="003207E8" w:rsidP="003207E8">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a2"/>
              <w:jc w:val="center"/>
            </w:pPr>
            <w:r w:rsidRPr="006934EF">
              <w:rPr>
                <w:sz w:val="20"/>
                <w:szCs w:val="20"/>
              </w:rPr>
              <w:t>Comments</w:t>
            </w:r>
          </w:p>
        </w:tc>
      </w:tr>
      <w:tr w:rsidR="003207E8" w14:paraId="0BF551FA" w14:textId="77777777" w:rsidTr="00E405DA">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E405DA">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E405DA">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E405DA">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E405DA">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E405DA">
        <w:tc>
          <w:tcPr>
            <w:tcW w:w="1948" w:type="dxa"/>
            <w:vAlign w:val="center"/>
          </w:tcPr>
          <w:p w14:paraId="1EB0F1FD" w14:textId="0ED7C839"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Malgun Gothic"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E405DA">
        <w:tc>
          <w:tcPr>
            <w:tcW w:w="1948" w:type="dxa"/>
            <w:vAlign w:val="center"/>
          </w:tcPr>
          <w:p w14:paraId="5DF3CFF9" w14:textId="32B3CBF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6D7E638D" w14:textId="36A47528" w:rsidR="00BC06A6" w:rsidRDefault="00BC06A6"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24BE0386" w14:textId="77777777" w:rsidR="00BC06A6" w:rsidRDefault="00BC06A6" w:rsidP="00872A8E">
            <w:pPr>
              <w:rPr>
                <w:rFonts w:ascii="Arial" w:hAnsi="Arial" w:cs="Arial"/>
                <w:szCs w:val="20"/>
              </w:rPr>
            </w:pPr>
          </w:p>
        </w:tc>
      </w:tr>
      <w:tr w:rsidR="00F90F18" w:rsidRPr="0041217C" w14:paraId="1E863596" w14:textId="77777777" w:rsidTr="00E405DA">
        <w:tc>
          <w:tcPr>
            <w:tcW w:w="1948" w:type="dxa"/>
            <w:vAlign w:val="center"/>
          </w:tcPr>
          <w:p w14:paraId="0A7429AA" w14:textId="48168708" w:rsidR="00F90F18" w:rsidRDefault="00F90F18"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256F1D7A" w14:textId="67DC82CB" w:rsidR="00F90F18" w:rsidRDefault="00F90F18"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32CA8612" w14:textId="77777777" w:rsidR="00F90F18" w:rsidRDefault="00F90F18" w:rsidP="00872A8E">
            <w:pPr>
              <w:rPr>
                <w:rFonts w:ascii="Arial" w:hAnsi="Arial" w:cs="Arial"/>
                <w:szCs w:val="20"/>
              </w:rPr>
            </w:pPr>
          </w:p>
        </w:tc>
      </w:tr>
      <w:tr w:rsidR="00B642E4" w:rsidRPr="0041217C" w14:paraId="324D05DB" w14:textId="77777777" w:rsidTr="00E405DA">
        <w:tc>
          <w:tcPr>
            <w:tcW w:w="1948" w:type="dxa"/>
            <w:vAlign w:val="center"/>
          </w:tcPr>
          <w:p w14:paraId="155FA6EC" w14:textId="270BEAAD"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119364FC" w14:textId="4E6B8E57" w:rsidR="00B642E4" w:rsidRDefault="00B642E4" w:rsidP="00872A8E">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5E95C254" w14:textId="77777777" w:rsidR="00B642E4" w:rsidRDefault="00B642E4" w:rsidP="00872A8E">
            <w:pPr>
              <w:rPr>
                <w:rFonts w:ascii="Arial" w:hAnsi="Arial" w:cs="Arial"/>
                <w:szCs w:val="20"/>
              </w:rPr>
            </w:pPr>
          </w:p>
        </w:tc>
      </w:tr>
      <w:tr w:rsidR="00293D42" w:rsidRPr="0041217C" w14:paraId="68638BB0" w14:textId="77777777" w:rsidTr="00E405DA">
        <w:tc>
          <w:tcPr>
            <w:tcW w:w="1948" w:type="dxa"/>
            <w:vAlign w:val="center"/>
          </w:tcPr>
          <w:p w14:paraId="1CE57DF3" w14:textId="60013820" w:rsidR="00293D42" w:rsidRDefault="00293D42" w:rsidP="00293D42">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62" w:type="dxa"/>
            <w:vAlign w:val="center"/>
          </w:tcPr>
          <w:p w14:paraId="2B1DA09B" w14:textId="29D30A0E" w:rsidR="00293D42" w:rsidRDefault="00293D42" w:rsidP="00293D42">
            <w:pPr>
              <w:jc w:val="center"/>
              <w:rPr>
                <w:rFonts w:ascii="Arial" w:eastAsia="Malgun Gothic" w:hAnsi="Arial" w:cs="Arial"/>
                <w:szCs w:val="20"/>
              </w:rPr>
            </w:pPr>
            <w:r>
              <w:rPr>
                <w:rFonts w:ascii="Arial" w:hAnsi="Arial" w:cs="Arial"/>
                <w:szCs w:val="20"/>
              </w:rPr>
              <w:t xml:space="preserve">Agree </w:t>
            </w:r>
          </w:p>
        </w:tc>
        <w:tc>
          <w:tcPr>
            <w:tcW w:w="6193" w:type="dxa"/>
          </w:tcPr>
          <w:p w14:paraId="2AA71F2B" w14:textId="77777777" w:rsidR="00293D42" w:rsidRDefault="00293D42" w:rsidP="00293D42">
            <w:pPr>
              <w:rPr>
                <w:rFonts w:ascii="Arial" w:hAnsi="Arial" w:cs="Arial"/>
                <w:szCs w:val="20"/>
              </w:rPr>
            </w:pPr>
          </w:p>
        </w:tc>
      </w:tr>
      <w:tr w:rsidR="00E405DA" w:rsidRPr="0041217C" w14:paraId="2939A90F" w14:textId="77777777" w:rsidTr="00E405DA">
        <w:tc>
          <w:tcPr>
            <w:tcW w:w="1948" w:type="dxa"/>
            <w:vAlign w:val="center"/>
          </w:tcPr>
          <w:p w14:paraId="3730A61E" w14:textId="6FDEFF73" w:rsidR="00E405DA" w:rsidRDefault="00E405DA" w:rsidP="00E405DA">
            <w:pPr>
              <w:jc w:val="center"/>
              <w:rPr>
                <w:rFonts w:ascii="Arial"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60619461" w14:textId="58FADF47" w:rsidR="00E405DA" w:rsidRDefault="00E405DA" w:rsidP="00E405DA">
            <w:pPr>
              <w:jc w:val="center"/>
              <w:rPr>
                <w:rFonts w:ascii="Arial" w:hAnsi="Arial" w:cs="Arial"/>
                <w:szCs w:val="20"/>
              </w:rPr>
            </w:pPr>
            <w:r>
              <w:rPr>
                <w:rFonts w:ascii="Arial" w:eastAsia="Malgun Gothic" w:hAnsi="Arial" w:cs="Arial"/>
                <w:szCs w:val="20"/>
              </w:rPr>
              <w:t>Agree</w:t>
            </w:r>
          </w:p>
        </w:tc>
        <w:tc>
          <w:tcPr>
            <w:tcW w:w="6193" w:type="dxa"/>
          </w:tcPr>
          <w:p w14:paraId="1A863205" w14:textId="77777777" w:rsidR="00E405DA" w:rsidRDefault="00E405DA" w:rsidP="00E405DA">
            <w:pPr>
              <w:rPr>
                <w:rFonts w:ascii="Arial" w:hAnsi="Arial" w:cs="Arial"/>
                <w:szCs w:val="20"/>
              </w:rPr>
            </w:pPr>
          </w:p>
        </w:tc>
      </w:tr>
    </w:tbl>
    <w:p w14:paraId="5CC75F9C" w14:textId="77777777" w:rsidR="003207E8" w:rsidRDefault="003207E8" w:rsidP="003207E8">
      <w:pPr>
        <w:ind w:left="1985" w:hanging="1985"/>
        <w:rPr>
          <w:rFonts w:ascii="Arial" w:hAnsi="Arial"/>
          <w:b/>
          <w:lang w:eastAsia="en-GB"/>
        </w:rPr>
      </w:pPr>
    </w:p>
    <w:p w14:paraId="503536F0" w14:textId="0271B61F" w:rsidR="00774671" w:rsidRPr="00774671" w:rsidRDefault="00774671" w:rsidP="003207E8">
      <w:pPr>
        <w:ind w:left="1985" w:hanging="1985"/>
        <w:rPr>
          <w:rFonts w:ascii="Arial" w:hAnsi="Arial"/>
          <w:sz w:val="20"/>
          <w:highlight w:val="yellow"/>
          <w:lang w:eastAsia="en-GB"/>
        </w:rPr>
      </w:pPr>
      <w:r w:rsidRPr="00774671">
        <w:rPr>
          <w:rFonts w:ascii="Arial" w:hAnsi="Arial"/>
          <w:sz w:val="20"/>
          <w:highlight w:val="yellow"/>
          <w:lang w:eastAsia="en-GB"/>
        </w:rPr>
        <w:lastRenderedPageBreak/>
        <w:t>Summary:</w:t>
      </w:r>
    </w:p>
    <w:p w14:paraId="685D3827" w14:textId="4F4656BA" w:rsidR="00774671" w:rsidRDefault="00774671" w:rsidP="00774671">
      <w:pPr>
        <w:ind w:left="1985" w:hanging="1985"/>
        <w:rPr>
          <w:rFonts w:ascii="Arial" w:hAnsi="Arial"/>
          <w:sz w:val="20"/>
          <w:lang w:eastAsia="en-GB"/>
        </w:rPr>
      </w:pPr>
      <w:r w:rsidRPr="00774671">
        <w:rPr>
          <w:rFonts w:ascii="Arial" w:hAnsi="Arial"/>
          <w:sz w:val="20"/>
          <w:highlight w:val="yellow"/>
          <w:lang w:eastAsia="en-GB"/>
        </w:rPr>
        <w:t>All companies agree with the Rapp’s proposal 1, so:</w:t>
      </w:r>
    </w:p>
    <w:p w14:paraId="587A0412" w14:textId="676FB0B0" w:rsidR="00774671" w:rsidRPr="006C20E7" w:rsidRDefault="00774671" w:rsidP="006C20E7">
      <w:pPr>
        <w:spacing w:before="156" w:line="276" w:lineRule="auto"/>
        <w:ind w:left="993" w:hanging="993"/>
        <w:rPr>
          <w:rFonts w:ascii="Arial" w:hAnsi="Arial" w:cs="Arial"/>
          <w:b/>
        </w:rPr>
      </w:pPr>
      <w:r w:rsidRPr="00B15290">
        <w:rPr>
          <w:rFonts w:ascii="Arial" w:hAnsi="Arial" w:cs="Arial"/>
          <w:b/>
          <w:highlight w:val="yellow"/>
        </w:rPr>
        <w:t xml:space="preserve">Proposal </w:t>
      </w:r>
      <w:r>
        <w:rPr>
          <w:rFonts w:ascii="Arial" w:hAnsi="Arial" w:cs="Arial"/>
          <w:b/>
          <w:highlight w:val="yellow"/>
        </w:rPr>
        <w:t>3</w:t>
      </w:r>
      <w:r w:rsidRPr="00774671">
        <w:rPr>
          <w:rFonts w:ascii="Arial" w:hAnsi="Arial" w:cs="Arial"/>
          <w:b/>
          <w:highlight w:val="yellow"/>
        </w:rPr>
        <w:t xml:space="preserve">: </w:t>
      </w:r>
      <w:r w:rsidRPr="00774671">
        <w:rPr>
          <w:rFonts w:ascii="Arial" w:hAnsi="Arial"/>
          <w:b/>
          <w:highlight w:val="yellow"/>
          <w:lang w:eastAsia="en-GB"/>
        </w:rPr>
        <w:t>UE can report serving cell results in EMR report, even if only NR inter frequencies or E-UTRAN frequencies are configured for EMR.</w:t>
      </w:r>
    </w:p>
    <w:p w14:paraId="24897CAA" w14:textId="77777777" w:rsidR="00774671" w:rsidRPr="0041217C" w:rsidRDefault="00774671" w:rsidP="003207E8">
      <w:pPr>
        <w:ind w:left="1985" w:hanging="1985"/>
        <w:rPr>
          <w:rFonts w:ascii="Arial" w:hAnsi="Arial"/>
          <w:b/>
          <w:lang w:eastAsia="en-GB"/>
        </w:rPr>
      </w:pPr>
    </w:p>
    <w:p w14:paraId="264C4E62" w14:textId="79B913AA" w:rsidR="003207E8" w:rsidRPr="00D0476F" w:rsidRDefault="003207E8"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a"/>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lastRenderedPageBreak/>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a"/>
        <w:tblW w:w="9403" w:type="dxa"/>
        <w:tblInd w:w="452" w:type="dxa"/>
        <w:tblLayout w:type="fixed"/>
        <w:tblLook w:val="04A0" w:firstRow="1" w:lastRow="0" w:firstColumn="1" w:lastColumn="0" w:noHBand="0" w:noVBand="1"/>
      </w:tblPr>
      <w:tblGrid>
        <w:gridCol w:w="1948"/>
        <w:gridCol w:w="1262"/>
        <w:gridCol w:w="6193"/>
      </w:tblGrid>
      <w:tr w:rsidR="00E003EB" w14:paraId="0EEB0B4B" w14:textId="77777777" w:rsidTr="00E405DA">
        <w:tc>
          <w:tcPr>
            <w:tcW w:w="1948" w:type="dxa"/>
            <w:shd w:val="clear" w:color="auto" w:fill="BFBFBF" w:themeFill="background1" w:themeFillShade="BF"/>
            <w:vAlign w:val="center"/>
          </w:tcPr>
          <w:p w14:paraId="32CAA57C" w14:textId="77777777" w:rsidR="00E003EB" w:rsidRPr="006934EF" w:rsidRDefault="00E003EB" w:rsidP="00B5127C">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a2"/>
              <w:jc w:val="center"/>
              <w:rPr>
                <w:sz w:val="20"/>
                <w:szCs w:val="20"/>
              </w:rPr>
            </w:pPr>
            <w:r>
              <w:rPr>
                <w:sz w:val="20"/>
                <w:szCs w:val="20"/>
              </w:rPr>
              <w:t>Agree?</w:t>
            </w:r>
          </w:p>
          <w:p w14:paraId="35A6F27C" w14:textId="77777777" w:rsidR="00E003EB" w:rsidRPr="006934EF" w:rsidRDefault="00E003EB" w:rsidP="00B5127C">
            <w:pPr>
              <w:pStyle w:val="a2"/>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a2"/>
              <w:jc w:val="center"/>
            </w:pPr>
            <w:r w:rsidRPr="006934EF">
              <w:rPr>
                <w:sz w:val="20"/>
                <w:szCs w:val="20"/>
              </w:rPr>
              <w:t>Comments</w:t>
            </w:r>
          </w:p>
        </w:tc>
      </w:tr>
      <w:tr w:rsidR="00E003EB" w14:paraId="64E5B32C" w14:textId="77777777" w:rsidTr="00E405DA">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E405DA">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40"/>
              <w:outlineLvl w:val="3"/>
              <w:rPr>
                <w:lang w:val="en-US" w:eastAsia="zh-CN"/>
              </w:rPr>
            </w:pPr>
            <w:bookmarkStart w:id="3" w:name="_Toc510694379"/>
            <w:r w:rsidRPr="001C4BFB">
              <w:rPr>
                <w:lang w:val="en-US" w:eastAsia="zh-CN"/>
              </w:rPr>
              <w:t>4.2.2.2</w:t>
            </w:r>
            <w:r w:rsidRPr="001C4BFB">
              <w:rPr>
                <w:lang w:val="en-US" w:eastAsia="zh-CN"/>
              </w:rPr>
              <w:tab/>
              <w:t>Measurement and evaluation of serving cell</w:t>
            </w:r>
            <w:bookmarkEnd w:id="3"/>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E405DA">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 xml:space="preserve">In this </w:t>
            </w:r>
            <w:r w:rsidR="001F7831" w:rsidRPr="0041217C">
              <w:rPr>
                <w:lang w:val="en-GB" w:eastAsia="en-GB"/>
              </w:rPr>
              <w:lastRenderedPageBreak/>
              <w:t>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E405DA">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lastRenderedPageBreak/>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E405DA">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E405DA">
        <w:tc>
          <w:tcPr>
            <w:tcW w:w="1948" w:type="dxa"/>
            <w:vAlign w:val="center"/>
          </w:tcPr>
          <w:p w14:paraId="227848BA" w14:textId="4E3CA94D"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Malgun Gothic"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Malgun Gothic" w:hAnsi="Arial" w:cs="Arial" w:hint="eastAsia"/>
                <w:sz w:val="20"/>
                <w:szCs w:val="20"/>
              </w:rPr>
              <w:t xml:space="preserve">We prefer to set default </w:t>
            </w:r>
            <w:r>
              <w:rPr>
                <w:rFonts w:ascii="Arial" w:eastAsia="Malgun Gothic" w:hAnsi="Arial" w:cs="Arial"/>
                <w:sz w:val="20"/>
                <w:szCs w:val="20"/>
              </w:rPr>
              <w:t>value</w:t>
            </w:r>
            <w:r w:rsidRPr="0091117B">
              <w:rPr>
                <w:rFonts w:ascii="Arial" w:eastAsia="Malgun Gothic" w:hAnsi="Arial" w:cs="Arial" w:hint="eastAsia"/>
                <w:sz w:val="20"/>
                <w:szCs w:val="20"/>
              </w:rPr>
              <w:t xml:space="preserve"> for the serving cell.</w:t>
            </w:r>
          </w:p>
        </w:tc>
      </w:tr>
      <w:tr w:rsidR="00BC06A6" w14:paraId="128CC5D5" w14:textId="77777777" w:rsidTr="00E405DA">
        <w:tc>
          <w:tcPr>
            <w:tcW w:w="1948" w:type="dxa"/>
            <w:vAlign w:val="center"/>
          </w:tcPr>
          <w:p w14:paraId="647C5BCD" w14:textId="3D8E429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11DAA762" w14:textId="24CE43D2" w:rsidR="00BC06A6" w:rsidRPr="0091117B" w:rsidRDefault="008D2438" w:rsidP="008D2438">
            <w:pPr>
              <w:jc w:val="center"/>
              <w:rPr>
                <w:rFonts w:ascii="Arial" w:eastAsia="Malgun Gothic" w:hAnsi="Arial" w:cs="Arial"/>
                <w:sz w:val="20"/>
                <w:szCs w:val="20"/>
              </w:rPr>
            </w:pPr>
            <w:r>
              <w:rPr>
                <w:rFonts w:ascii="Arial" w:eastAsia="Malgun Gothic" w:hAnsi="Arial" w:cs="Arial"/>
                <w:sz w:val="20"/>
                <w:szCs w:val="20"/>
              </w:rPr>
              <w:t>Agree P2 Confused about P3</w:t>
            </w:r>
          </w:p>
        </w:tc>
        <w:tc>
          <w:tcPr>
            <w:tcW w:w="6193" w:type="dxa"/>
          </w:tcPr>
          <w:p w14:paraId="180CA5E9" w14:textId="75B0DB77" w:rsidR="00BC06A6" w:rsidRDefault="008D2438" w:rsidP="00872A8E">
            <w:pPr>
              <w:rPr>
                <w:rFonts w:ascii="Arial" w:eastAsia="Malgun Gothic" w:hAnsi="Arial" w:cs="Arial"/>
                <w:sz w:val="20"/>
                <w:szCs w:val="20"/>
              </w:rPr>
            </w:pPr>
            <w:r>
              <w:rPr>
                <w:rFonts w:ascii="Arial" w:eastAsia="Malgun Gothic"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Malgun Gothic" w:hAnsi="Arial" w:cs="Arial"/>
                <w:sz w:val="20"/>
                <w:szCs w:val="20"/>
              </w:rPr>
            </w:pPr>
            <w:r>
              <w:rPr>
                <w:rFonts w:ascii="Arial" w:eastAsia="Malgun Gothic" w:hAnsi="Arial" w:cs="Arial"/>
                <w:sz w:val="20"/>
                <w:szCs w:val="20"/>
              </w:rPr>
              <w:t>Morever, this is what will allow the network to know that the reported measurements for other frequencies are possibly outdated, so it seems better that it is specified.</w:t>
            </w:r>
          </w:p>
          <w:p w14:paraId="0C542143" w14:textId="4C2315D3" w:rsidR="008D2438" w:rsidRPr="0091117B" w:rsidRDefault="008D2438" w:rsidP="00872A8E">
            <w:pPr>
              <w:rPr>
                <w:rFonts w:ascii="Arial" w:eastAsia="Malgun Gothic" w:hAnsi="Arial" w:cs="Arial"/>
                <w:sz w:val="20"/>
                <w:szCs w:val="20"/>
              </w:rPr>
            </w:pPr>
            <w:r>
              <w:rPr>
                <w:rFonts w:ascii="Arial" w:eastAsia="Malgun Gothic" w:hAnsi="Arial" w:cs="Arial"/>
                <w:sz w:val="20"/>
                <w:szCs w:val="20"/>
              </w:rPr>
              <w:t>If it is not needed to specify this for the serving cell, why is it needed to specify it for the interfrequency neighbour cell?</w:t>
            </w:r>
          </w:p>
        </w:tc>
      </w:tr>
      <w:tr w:rsidR="00CB2461" w14:paraId="29CF7EBF" w14:textId="77777777" w:rsidTr="00E405DA">
        <w:tc>
          <w:tcPr>
            <w:tcW w:w="1948" w:type="dxa"/>
            <w:vAlign w:val="center"/>
          </w:tcPr>
          <w:p w14:paraId="66307A86" w14:textId="2451E52C" w:rsidR="00CB2461" w:rsidRDefault="00CB2461"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6CD954D2" w14:textId="213DE539" w:rsidR="00CB2461" w:rsidRDefault="006A5C38" w:rsidP="008D2438">
            <w:pPr>
              <w:jc w:val="center"/>
              <w:rPr>
                <w:rFonts w:ascii="Arial" w:eastAsia="Malgun Gothic" w:hAnsi="Arial" w:cs="Arial"/>
                <w:sz w:val="20"/>
                <w:szCs w:val="20"/>
              </w:rPr>
            </w:pPr>
            <w:r>
              <w:rPr>
                <w:rFonts w:ascii="Arial" w:eastAsia="Malgun Gothic" w:hAnsi="Arial" w:cs="Arial"/>
                <w:sz w:val="20"/>
                <w:szCs w:val="20"/>
              </w:rPr>
              <w:t>Agree P2, to clarify P3</w:t>
            </w:r>
          </w:p>
        </w:tc>
        <w:tc>
          <w:tcPr>
            <w:tcW w:w="6193" w:type="dxa"/>
          </w:tcPr>
          <w:p w14:paraId="3D1D9CCE" w14:textId="48FEB96B" w:rsidR="00CB2461" w:rsidRDefault="006A5C38" w:rsidP="00872A8E">
            <w:pPr>
              <w:rPr>
                <w:rFonts w:ascii="Arial" w:eastAsia="Malgun Gothic" w:hAnsi="Arial" w:cs="Arial"/>
                <w:sz w:val="20"/>
                <w:szCs w:val="20"/>
              </w:rPr>
            </w:pPr>
            <w:r>
              <w:rPr>
                <w:rFonts w:ascii="Arial" w:eastAsia="Malgun Gothic" w:hAnsi="Arial" w:cs="Arial"/>
                <w:sz w:val="20"/>
                <w:szCs w:val="20"/>
              </w:rPr>
              <w:t>Use simple rule for serving cell reporting (always RSRP and RSRQ) is okay.</w:t>
            </w:r>
          </w:p>
          <w:p w14:paraId="6897FCF0" w14:textId="4B688C1C" w:rsidR="006A5C38" w:rsidRDefault="006A5C38" w:rsidP="00187AD5">
            <w:pPr>
              <w:rPr>
                <w:rFonts w:ascii="Arial" w:eastAsia="Malgun Gothic" w:hAnsi="Arial" w:cs="Arial"/>
                <w:sz w:val="20"/>
                <w:szCs w:val="20"/>
              </w:rPr>
            </w:pPr>
            <w:r>
              <w:rPr>
                <w:rFonts w:ascii="Arial" w:eastAsia="Malgun Gothic" w:hAnsi="Arial" w:cs="Arial"/>
                <w:sz w:val="20"/>
                <w:szCs w:val="20"/>
              </w:rPr>
              <w:t xml:space="preserve">On cell quality derivation, we assume that the UE only </w:t>
            </w:r>
            <w:r w:rsidR="00187AD5">
              <w:rPr>
                <w:rFonts w:ascii="Arial" w:eastAsia="Malgun Gothic" w:hAnsi="Arial" w:cs="Arial"/>
                <w:sz w:val="20"/>
                <w:szCs w:val="20"/>
              </w:rPr>
              <w:t>has to derive once for</w:t>
            </w:r>
            <w:r>
              <w:rPr>
                <w:rFonts w:ascii="Arial" w:eastAsia="Malgun Gothic" w:hAnsi="Arial" w:cs="Arial"/>
                <w:sz w:val="20"/>
                <w:szCs w:val="20"/>
              </w:rPr>
              <w:t xml:space="preserve"> serving cell measurement </w:t>
            </w:r>
            <w:r w:rsidR="00187AD5">
              <w:rPr>
                <w:rFonts w:ascii="Arial" w:eastAsia="Malgun Gothic" w:hAnsi="Arial" w:cs="Arial"/>
                <w:sz w:val="20"/>
                <w:szCs w:val="20"/>
              </w:rPr>
              <w:t xml:space="preserve">result and it should be able to use </w:t>
            </w:r>
            <w:r>
              <w:rPr>
                <w:rFonts w:ascii="Arial" w:eastAsia="Malgun Gothic" w:hAnsi="Arial" w:cs="Arial"/>
                <w:sz w:val="20"/>
                <w:szCs w:val="20"/>
              </w:rPr>
              <w:t xml:space="preserve">for both cell reselection and EMR reporting purpose. So using the parameter in </w:t>
            </w:r>
            <w:r w:rsidR="00187AD5">
              <w:rPr>
                <w:rFonts w:ascii="Arial" w:eastAsia="Malgun Gothic" w:hAnsi="Arial" w:cs="Arial"/>
                <w:sz w:val="20"/>
                <w:szCs w:val="20"/>
              </w:rPr>
              <w:t>SIB2 seems more reasonable.</w:t>
            </w:r>
          </w:p>
        </w:tc>
      </w:tr>
      <w:tr w:rsidR="00B642E4" w14:paraId="38FC95D2" w14:textId="77777777" w:rsidTr="00E405DA">
        <w:tc>
          <w:tcPr>
            <w:tcW w:w="1948" w:type="dxa"/>
            <w:vAlign w:val="center"/>
          </w:tcPr>
          <w:p w14:paraId="2C3A14E2" w14:textId="5149BCAB"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4B3FE217" w14:textId="2175B6A5" w:rsidR="00B642E4" w:rsidRDefault="00B642E4" w:rsidP="008D2438">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6CD16AD6" w14:textId="77777777" w:rsidR="00B642E4" w:rsidRDefault="00B642E4" w:rsidP="00872A8E">
            <w:pPr>
              <w:rPr>
                <w:rFonts w:ascii="Arial" w:eastAsia="Malgun Gothic" w:hAnsi="Arial" w:cs="Arial"/>
                <w:szCs w:val="20"/>
              </w:rPr>
            </w:pPr>
          </w:p>
        </w:tc>
      </w:tr>
      <w:tr w:rsidR="00293D42" w14:paraId="71402C3F" w14:textId="77777777" w:rsidTr="00E405DA">
        <w:tc>
          <w:tcPr>
            <w:tcW w:w="1948" w:type="dxa"/>
            <w:vAlign w:val="center"/>
          </w:tcPr>
          <w:p w14:paraId="157D73D8" w14:textId="4DD2F607" w:rsidR="00293D42" w:rsidRDefault="00293D42" w:rsidP="00293D42">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62" w:type="dxa"/>
            <w:vAlign w:val="center"/>
          </w:tcPr>
          <w:p w14:paraId="08D1E875" w14:textId="31353A45" w:rsidR="00293D42" w:rsidRDefault="00293D42" w:rsidP="00293D42">
            <w:pPr>
              <w:jc w:val="center"/>
              <w:rPr>
                <w:rFonts w:ascii="Arial" w:eastAsia="Malgun Gothic" w:hAnsi="Arial" w:cs="Arial"/>
                <w:szCs w:val="20"/>
              </w:rPr>
            </w:pPr>
            <w:r>
              <w:rPr>
                <w:rFonts w:ascii="Arial" w:hAnsi="Arial" w:cs="Arial"/>
                <w:sz w:val="20"/>
                <w:szCs w:val="20"/>
              </w:rPr>
              <w:t xml:space="preserve">Agree </w:t>
            </w:r>
          </w:p>
        </w:tc>
        <w:tc>
          <w:tcPr>
            <w:tcW w:w="6193" w:type="dxa"/>
          </w:tcPr>
          <w:p w14:paraId="77CF92D0" w14:textId="77777777" w:rsidR="00293D42" w:rsidRDefault="00293D42" w:rsidP="00293D42">
            <w:pPr>
              <w:rPr>
                <w:rFonts w:ascii="Arial" w:eastAsia="Malgun Gothic" w:hAnsi="Arial" w:cs="Arial"/>
                <w:szCs w:val="20"/>
              </w:rPr>
            </w:pPr>
          </w:p>
        </w:tc>
      </w:tr>
      <w:tr w:rsidR="00E405DA" w14:paraId="00CB4BA5" w14:textId="77777777" w:rsidTr="00E405DA">
        <w:tc>
          <w:tcPr>
            <w:tcW w:w="1948" w:type="dxa"/>
            <w:vAlign w:val="center"/>
          </w:tcPr>
          <w:p w14:paraId="26C0CC23" w14:textId="6FEC136B" w:rsidR="00E405DA" w:rsidRDefault="00E405DA" w:rsidP="00E405DA">
            <w:pPr>
              <w:jc w:val="center"/>
              <w:rPr>
                <w:rFonts w:ascii="Arial"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4D6428B7" w14:textId="4EB1E4CC" w:rsidR="00E405DA" w:rsidRDefault="00E405DA" w:rsidP="00E405DA">
            <w:pPr>
              <w:jc w:val="center"/>
              <w:rPr>
                <w:rFonts w:ascii="Arial" w:hAnsi="Arial" w:cs="Arial"/>
                <w:sz w:val="20"/>
                <w:szCs w:val="20"/>
              </w:rPr>
            </w:pPr>
            <w:r>
              <w:rPr>
                <w:rFonts w:ascii="Arial" w:eastAsia="Malgun Gothic" w:hAnsi="Arial" w:cs="Arial"/>
                <w:sz w:val="20"/>
                <w:szCs w:val="20"/>
              </w:rPr>
              <w:t>Agree</w:t>
            </w:r>
          </w:p>
        </w:tc>
        <w:tc>
          <w:tcPr>
            <w:tcW w:w="6193" w:type="dxa"/>
          </w:tcPr>
          <w:p w14:paraId="167AD1B2" w14:textId="77777777" w:rsidR="00E405DA" w:rsidRDefault="00E405DA" w:rsidP="00E405DA">
            <w:pPr>
              <w:rPr>
                <w:rFonts w:ascii="Arial" w:eastAsia="Malgun Gothic" w:hAnsi="Arial" w:cs="Arial"/>
                <w:szCs w:val="20"/>
              </w:rPr>
            </w:pPr>
          </w:p>
        </w:tc>
      </w:tr>
    </w:tbl>
    <w:p w14:paraId="2DD8A866" w14:textId="34156A98" w:rsidR="00E003EB" w:rsidRDefault="00E003EB" w:rsidP="00D0476F">
      <w:pPr>
        <w:spacing w:line="276" w:lineRule="auto"/>
        <w:rPr>
          <w:rFonts w:ascii="Arial" w:hAnsi="Arial"/>
          <w:lang w:eastAsia="en-GB"/>
        </w:rPr>
      </w:pPr>
    </w:p>
    <w:p w14:paraId="5187F11A" w14:textId="77777777" w:rsidR="00774671" w:rsidRPr="00774671" w:rsidRDefault="00774671" w:rsidP="00774671">
      <w:pPr>
        <w:ind w:left="1985" w:hanging="1985"/>
        <w:rPr>
          <w:rFonts w:ascii="Arial" w:hAnsi="Arial" w:cs="Arial"/>
          <w:sz w:val="20"/>
          <w:szCs w:val="20"/>
          <w:highlight w:val="yellow"/>
          <w:lang w:eastAsia="en-GB"/>
        </w:rPr>
      </w:pPr>
      <w:r w:rsidRPr="00774671">
        <w:rPr>
          <w:rFonts w:ascii="Arial" w:hAnsi="Arial" w:cs="Arial"/>
          <w:sz w:val="20"/>
          <w:szCs w:val="20"/>
          <w:highlight w:val="yellow"/>
          <w:lang w:eastAsia="en-GB"/>
        </w:rPr>
        <w:t>Summary:</w:t>
      </w:r>
    </w:p>
    <w:p w14:paraId="47B19B59" w14:textId="73016A4F" w:rsidR="00774671" w:rsidRPr="00774671" w:rsidRDefault="00774671" w:rsidP="00774671">
      <w:pPr>
        <w:ind w:left="1985" w:hanging="1985"/>
        <w:rPr>
          <w:rFonts w:ascii="Arial" w:hAnsi="Arial" w:cs="Arial"/>
          <w:sz w:val="20"/>
          <w:szCs w:val="20"/>
          <w:highlight w:val="yellow"/>
          <w:lang w:eastAsia="en-GB"/>
        </w:rPr>
      </w:pPr>
      <w:r w:rsidRPr="00774671">
        <w:rPr>
          <w:rFonts w:ascii="Arial" w:hAnsi="Arial" w:cs="Arial"/>
          <w:sz w:val="20"/>
          <w:szCs w:val="20"/>
          <w:highlight w:val="yellow"/>
          <w:lang w:eastAsia="en-GB"/>
        </w:rPr>
        <w:t>For Rapp’s Proposal 2: (9) agree; (2) disagree;</w:t>
      </w:r>
    </w:p>
    <w:p w14:paraId="67395187" w14:textId="2945BA1B" w:rsidR="00774671" w:rsidRPr="00B330C4" w:rsidRDefault="00774671" w:rsidP="00774671">
      <w:pPr>
        <w:ind w:left="1985" w:hanging="1985"/>
        <w:rPr>
          <w:rFonts w:ascii="Arial" w:hAnsi="Arial" w:cs="Arial"/>
          <w:sz w:val="20"/>
          <w:szCs w:val="20"/>
          <w:highlight w:val="yellow"/>
          <w:lang w:eastAsia="en-GB"/>
        </w:rPr>
      </w:pPr>
      <w:r w:rsidRPr="00B330C4">
        <w:rPr>
          <w:rFonts w:ascii="Arial" w:hAnsi="Arial" w:cs="Arial"/>
          <w:sz w:val="20"/>
          <w:szCs w:val="20"/>
          <w:highlight w:val="yellow"/>
          <w:lang w:eastAsia="en-GB"/>
        </w:rPr>
        <w:t>For Rapp’s Proposal 3: (9) agree; (2) suggest to clarify:</w:t>
      </w:r>
    </w:p>
    <w:p w14:paraId="18584400" w14:textId="4156F5AB" w:rsidR="00774671" w:rsidRPr="00B330C4" w:rsidRDefault="00774671" w:rsidP="00774671">
      <w:pPr>
        <w:rPr>
          <w:rFonts w:ascii="Arial" w:hAnsi="Arial" w:cs="Arial"/>
          <w:iCs/>
          <w:sz w:val="20"/>
          <w:szCs w:val="20"/>
          <w:highlight w:val="yellow"/>
          <w:lang w:val="en-GB"/>
        </w:rPr>
      </w:pPr>
      <w:r w:rsidRPr="00B330C4">
        <w:rPr>
          <w:rFonts w:ascii="Arial" w:hAnsi="Arial" w:cs="Arial"/>
          <w:sz w:val="20"/>
          <w:szCs w:val="20"/>
          <w:highlight w:val="yellow"/>
          <w:lang w:eastAsia="en-GB"/>
        </w:rPr>
        <w:t xml:space="preserve">For Rapp’s Proposal 2, 2 companies show concern on LTE EMR scenario, because they think LTE UE is not mandate to report RSRP/RSRQ results for serving cell, while one company responded that in </w:t>
      </w:r>
      <w:r w:rsidRPr="00B330C4">
        <w:rPr>
          <w:rFonts w:ascii="Arial" w:hAnsi="Arial" w:cs="Arial"/>
          <w:sz w:val="20"/>
          <w:szCs w:val="20"/>
          <w:highlight w:val="yellow"/>
          <w:lang w:val="en-GB"/>
        </w:rPr>
        <w:t xml:space="preserve">LTE (Rel-15 and Rel-16) the UE will always report both RSRP and RSRQ, because both are mandatory in </w:t>
      </w:r>
      <w:r w:rsidRPr="00B330C4">
        <w:rPr>
          <w:rFonts w:ascii="Arial" w:hAnsi="Arial" w:cs="Arial"/>
          <w:i/>
          <w:iCs/>
          <w:sz w:val="20"/>
          <w:szCs w:val="20"/>
          <w:highlight w:val="yellow"/>
          <w:lang w:val="en-GB"/>
        </w:rPr>
        <w:t>MeasResultIdle-r15</w:t>
      </w:r>
      <w:r w:rsidRPr="00B330C4">
        <w:rPr>
          <w:rFonts w:ascii="Arial" w:hAnsi="Arial" w:cs="Arial"/>
          <w:iCs/>
          <w:sz w:val="20"/>
          <w:szCs w:val="20"/>
          <w:highlight w:val="yellow"/>
          <w:lang w:val="en-GB"/>
        </w:rPr>
        <w:t>. Rapporteur think th</w:t>
      </w:r>
      <w:r w:rsidR="00B330C4" w:rsidRPr="00B330C4">
        <w:rPr>
          <w:rFonts w:ascii="Arial" w:hAnsi="Arial" w:cs="Arial"/>
          <w:iCs/>
          <w:sz w:val="20"/>
          <w:szCs w:val="20"/>
          <w:highlight w:val="yellow"/>
          <w:lang w:val="en-GB"/>
        </w:rPr>
        <w:t xml:space="preserve">e concern should be resolved. </w:t>
      </w:r>
    </w:p>
    <w:p w14:paraId="3C1E05C1" w14:textId="3F897C8E" w:rsidR="00B330C4" w:rsidRDefault="00B330C4" w:rsidP="00774671">
      <w:pPr>
        <w:rPr>
          <w:rFonts w:ascii="Arial" w:hAnsi="Arial" w:cs="Arial"/>
          <w:iCs/>
          <w:sz w:val="20"/>
          <w:szCs w:val="20"/>
          <w:highlight w:val="yellow"/>
          <w:lang w:val="en-GB"/>
        </w:rPr>
      </w:pPr>
      <w:r w:rsidRPr="00B330C4">
        <w:rPr>
          <w:rFonts w:ascii="Arial" w:hAnsi="Arial" w:cs="Arial"/>
          <w:iCs/>
          <w:sz w:val="20"/>
          <w:szCs w:val="20"/>
          <w:highlight w:val="yellow"/>
          <w:lang w:val="en-GB"/>
        </w:rPr>
        <w:t>For Rapp’s Proposal 3, the intention is that we don’t need to specify the details in specification (</w:t>
      </w:r>
      <w:r>
        <w:rPr>
          <w:rFonts w:ascii="Arial" w:hAnsi="Arial" w:cs="Arial"/>
          <w:iCs/>
          <w:sz w:val="20"/>
          <w:szCs w:val="20"/>
          <w:highlight w:val="yellow"/>
          <w:lang w:val="en-GB"/>
        </w:rPr>
        <w:t xml:space="preserve">for </w:t>
      </w:r>
      <w:r w:rsidRPr="00B330C4">
        <w:rPr>
          <w:rFonts w:ascii="Arial" w:hAnsi="Arial" w:cs="Arial"/>
          <w:iCs/>
          <w:sz w:val="20"/>
          <w:szCs w:val="20"/>
          <w:highlight w:val="yellow"/>
          <w:lang w:val="en-GB"/>
        </w:rPr>
        <w:t xml:space="preserve">EMR related clause). </w:t>
      </w:r>
      <w:r>
        <w:rPr>
          <w:rFonts w:ascii="Arial" w:hAnsi="Arial" w:cs="Arial"/>
          <w:iCs/>
          <w:sz w:val="20"/>
          <w:szCs w:val="20"/>
          <w:highlight w:val="yellow"/>
          <w:lang w:val="en-GB"/>
        </w:rPr>
        <w:t>As company mentioned, the UE can derive once for serving cell results, and used for both cell reselection and EMR. So for simplicity, we can simply capture e.g. “UE report RSRP and RSRQ for serving cell …” in SPEC. Regarding the comment on why is it needed to specify inter-freq neighbour cells. Rapporteur think inter-freq carrier may not be configured for cell reselection</w:t>
      </w:r>
      <w:r w:rsidR="006C20E7">
        <w:rPr>
          <w:rFonts w:ascii="Arial" w:hAnsi="Arial" w:cs="Arial"/>
          <w:iCs/>
          <w:sz w:val="20"/>
          <w:szCs w:val="20"/>
          <w:highlight w:val="yellow"/>
          <w:lang w:val="en-GB"/>
        </w:rPr>
        <w:t xml:space="preserve">, so the UE behaviour should be specified in EMR related procedure text. </w:t>
      </w:r>
    </w:p>
    <w:p w14:paraId="187C3A3E" w14:textId="2EFBA42C" w:rsidR="006C20E7" w:rsidRPr="00B330C4" w:rsidRDefault="006C20E7" w:rsidP="00774671">
      <w:pPr>
        <w:rPr>
          <w:rFonts w:ascii="Arial" w:hAnsi="Arial" w:cs="Arial"/>
          <w:sz w:val="20"/>
          <w:szCs w:val="20"/>
          <w:highlight w:val="yellow"/>
          <w:lang w:eastAsia="en-GB"/>
        </w:rPr>
      </w:pPr>
      <w:r>
        <w:rPr>
          <w:rFonts w:ascii="Arial" w:hAnsi="Arial" w:cs="Arial"/>
          <w:iCs/>
          <w:sz w:val="20"/>
          <w:szCs w:val="20"/>
          <w:highlight w:val="yellow"/>
          <w:lang w:val="en-GB"/>
        </w:rPr>
        <w:t>So, rapporteur would propose:</w:t>
      </w:r>
    </w:p>
    <w:p w14:paraId="1CF99524" w14:textId="4AFF553C" w:rsidR="00774671" w:rsidRPr="00774671" w:rsidRDefault="00774671" w:rsidP="006C20E7">
      <w:pPr>
        <w:spacing w:before="156" w:line="276" w:lineRule="auto"/>
        <w:ind w:left="1276" w:hanging="1276"/>
        <w:rPr>
          <w:rFonts w:ascii="Arial" w:hAnsi="Arial" w:cs="Arial"/>
          <w:b/>
        </w:rPr>
      </w:pPr>
      <w:r w:rsidRPr="00B330C4">
        <w:rPr>
          <w:rFonts w:ascii="Arial" w:hAnsi="Arial" w:cs="Arial"/>
          <w:b/>
          <w:highlight w:val="yellow"/>
        </w:rPr>
        <w:t xml:space="preserve">Proposal </w:t>
      </w:r>
      <w:r w:rsidR="006C20E7">
        <w:rPr>
          <w:rFonts w:ascii="Arial" w:hAnsi="Arial" w:cs="Arial"/>
          <w:b/>
          <w:highlight w:val="yellow"/>
        </w:rPr>
        <w:t>4</w:t>
      </w:r>
      <w:r w:rsidRPr="00B330C4">
        <w:rPr>
          <w:rFonts w:ascii="Arial" w:hAnsi="Arial" w:cs="Arial"/>
          <w:b/>
          <w:highlight w:val="yellow"/>
        </w:rPr>
        <w:t xml:space="preserve">: </w:t>
      </w:r>
      <w:r w:rsidR="006C20E7" w:rsidRPr="006C20E7">
        <w:rPr>
          <w:rFonts w:ascii="Arial" w:hAnsi="Arial"/>
          <w:b/>
          <w:highlight w:val="yellow"/>
          <w:lang w:eastAsia="en-GB"/>
        </w:rPr>
        <w:t xml:space="preserve">Irrespective of </w:t>
      </w:r>
      <w:r w:rsidR="006C20E7" w:rsidRPr="006C20E7">
        <w:rPr>
          <w:rFonts w:ascii="Arial" w:hAnsi="Arial"/>
          <w:b/>
          <w:i/>
          <w:highlight w:val="yellow"/>
          <w:lang w:eastAsia="en-GB"/>
        </w:rPr>
        <w:t>reportQuantities</w:t>
      </w:r>
      <w:r w:rsidR="006C20E7" w:rsidRPr="006C20E7">
        <w:rPr>
          <w:rFonts w:ascii="Arial" w:hAnsi="Arial"/>
          <w:b/>
          <w:highlight w:val="yellow"/>
          <w:lang w:eastAsia="en-GB"/>
        </w:rPr>
        <w:t xml:space="preserve"> configuration, UE reports both RSRP and RSRQ results of serving cell in EMR</w:t>
      </w:r>
      <w:r w:rsidRPr="006C20E7">
        <w:rPr>
          <w:rFonts w:ascii="Arial" w:hAnsi="Arial"/>
          <w:b/>
          <w:highlight w:val="yellow"/>
          <w:lang w:eastAsia="en-GB"/>
        </w:rPr>
        <w:t>.</w:t>
      </w:r>
    </w:p>
    <w:p w14:paraId="06D94361" w14:textId="7F55D597" w:rsidR="006C20E7" w:rsidRPr="006C20E7" w:rsidRDefault="006C20E7" w:rsidP="006C20E7">
      <w:pPr>
        <w:spacing w:before="156" w:line="276" w:lineRule="auto"/>
        <w:ind w:left="1276" w:hanging="1276"/>
        <w:rPr>
          <w:rFonts w:ascii="Arial" w:hAnsi="Arial" w:cs="Arial"/>
          <w:b/>
          <w:highlight w:val="yellow"/>
        </w:rPr>
      </w:pPr>
      <w:r w:rsidRPr="006C20E7">
        <w:rPr>
          <w:rFonts w:ascii="Arial" w:hAnsi="Arial" w:cs="Arial"/>
          <w:b/>
          <w:highlight w:val="yellow"/>
        </w:rPr>
        <w:lastRenderedPageBreak/>
        <w:t xml:space="preserve">Proposal </w:t>
      </w:r>
      <w:r>
        <w:rPr>
          <w:rFonts w:ascii="Arial" w:hAnsi="Arial" w:cs="Arial"/>
          <w:b/>
          <w:highlight w:val="yellow"/>
        </w:rPr>
        <w:t>5</w:t>
      </w:r>
      <w:r w:rsidRPr="006C20E7">
        <w:rPr>
          <w:rFonts w:ascii="Arial" w:hAnsi="Arial" w:cs="Arial"/>
          <w:b/>
          <w:highlight w:val="yellow"/>
        </w:rPr>
        <w:t xml:space="preserve">: No need to capture in SPEC how UE performs cell level serving cell measurement derivation for EMR case. </w:t>
      </w:r>
    </w:p>
    <w:p w14:paraId="0B932C56" w14:textId="77777777" w:rsidR="00774671" w:rsidRDefault="00774671" w:rsidP="00D0476F">
      <w:pPr>
        <w:spacing w:line="276" w:lineRule="auto"/>
        <w:rPr>
          <w:rFonts w:ascii="Arial" w:hAnsi="Arial"/>
          <w:lang w:eastAsia="en-GB"/>
        </w:rPr>
      </w:pPr>
    </w:p>
    <w:p w14:paraId="28189139" w14:textId="77777777" w:rsidR="00774671" w:rsidRDefault="00774671" w:rsidP="00D0476F">
      <w:pPr>
        <w:spacing w:line="276" w:lineRule="auto"/>
        <w:rPr>
          <w:rFonts w:ascii="Arial" w:hAnsi="Arial"/>
          <w:lang w:eastAsia="en-GB"/>
        </w:rPr>
      </w:pPr>
    </w:p>
    <w:p w14:paraId="54CFC122" w14:textId="5275AC0A" w:rsidR="00E003EB" w:rsidRPr="00D0476F" w:rsidRDefault="00E003EB"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a"/>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af7"/>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af7"/>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w:t>
      </w:r>
      <w:r w:rsidRPr="0041217C">
        <w:rPr>
          <w:rFonts w:ascii="Arial" w:hAnsi="Arial"/>
          <w:b/>
          <w:lang w:eastAsia="en-GB"/>
        </w:rPr>
        <w:lastRenderedPageBreak/>
        <w:t xml:space="preserve">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a"/>
        <w:tblW w:w="9403" w:type="dxa"/>
        <w:tblInd w:w="452" w:type="dxa"/>
        <w:tblLayout w:type="fixed"/>
        <w:tblLook w:val="04A0" w:firstRow="1" w:lastRow="0" w:firstColumn="1" w:lastColumn="0" w:noHBand="0" w:noVBand="1"/>
      </w:tblPr>
      <w:tblGrid>
        <w:gridCol w:w="1948"/>
        <w:gridCol w:w="1262"/>
        <w:gridCol w:w="6193"/>
      </w:tblGrid>
      <w:tr w:rsidR="00F62930" w14:paraId="39C84971" w14:textId="77777777" w:rsidTr="00BF306B">
        <w:tc>
          <w:tcPr>
            <w:tcW w:w="1948" w:type="dxa"/>
            <w:shd w:val="clear" w:color="auto" w:fill="BFBFBF" w:themeFill="background1" w:themeFillShade="BF"/>
            <w:vAlign w:val="center"/>
          </w:tcPr>
          <w:p w14:paraId="2CF8CC2D" w14:textId="77777777" w:rsidR="00F62930" w:rsidRPr="006934EF" w:rsidRDefault="00F62930"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a2"/>
              <w:jc w:val="center"/>
              <w:rPr>
                <w:sz w:val="20"/>
                <w:szCs w:val="20"/>
              </w:rPr>
            </w:pPr>
            <w:r>
              <w:rPr>
                <w:sz w:val="20"/>
                <w:szCs w:val="20"/>
              </w:rPr>
              <w:t>Agree?</w:t>
            </w:r>
          </w:p>
          <w:p w14:paraId="0B51CBA4" w14:textId="77777777" w:rsidR="00F62930" w:rsidRPr="006934EF" w:rsidRDefault="00F62930"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a2"/>
              <w:jc w:val="center"/>
            </w:pPr>
            <w:r w:rsidRPr="006934EF">
              <w:rPr>
                <w:sz w:val="20"/>
                <w:szCs w:val="20"/>
              </w:rPr>
              <w:t>Comments</w:t>
            </w:r>
          </w:p>
        </w:tc>
      </w:tr>
      <w:tr w:rsidR="00F62930" w14:paraId="43F62109" w14:textId="77777777" w:rsidTr="00BF306B">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BF306B">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BF306B">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BF306B">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BF306B">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BF306B">
        <w:tc>
          <w:tcPr>
            <w:tcW w:w="1948" w:type="dxa"/>
            <w:vAlign w:val="center"/>
          </w:tcPr>
          <w:p w14:paraId="568A267D" w14:textId="5DF78173"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Malgun Gothic"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BF306B">
        <w:tc>
          <w:tcPr>
            <w:tcW w:w="1948" w:type="dxa"/>
            <w:vAlign w:val="center"/>
          </w:tcPr>
          <w:p w14:paraId="2B57092F" w14:textId="42EAB095" w:rsidR="008D2438" w:rsidRDefault="008D2438" w:rsidP="00AC3084">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45081F59" w14:textId="40850DB5" w:rsidR="008D2438" w:rsidRDefault="008D2438" w:rsidP="00AC3084">
            <w:pPr>
              <w:jc w:val="center"/>
              <w:rPr>
                <w:rFonts w:ascii="Arial" w:eastAsia="Malgun Gothic" w:hAnsi="Arial" w:cs="Arial"/>
                <w:szCs w:val="20"/>
              </w:rPr>
            </w:pPr>
            <w:r>
              <w:rPr>
                <w:rFonts w:ascii="Arial" w:eastAsia="Malgun Gothic"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r w:rsidR="00187AD5" w:rsidRPr="00AF7D6E" w14:paraId="4D4E726A" w14:textId="77777777" w:rsidTr="00BF306B">
        <w:tc>
          <w:tcPr>
            <w:tcW w:w="1948" w:type="dxa"/>
            <w:vAlign w:val="center"/>
          </w:tcPr>
          <w:p w14:paraId="7A61251E" w14:textId="59AD6E39" w:rsidR="00187AD5" w:rsidRDefault="00CC38CB" w:rsidP="00AC3084">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7BD9E036" w14:textId="2517B369" w:rsidR="00187AD5" w:rsidRDefault="00CC38CB" w:rsidP="00CC38CB">
            <w:pPr>
              <w:rPr>
                <w:rFonts w:ascii="Arial" w:eastAsia="Malgun Gothic" w:hAnsi="Arial" w:cs="Arial"/>
                <w:szCs w:val="20"/>
              </w:rPr>
            </w:pPr>
            <w:r>
              <w:rPr>
                <w:rFonts w:ascii="Arial" w:eastAsia="Malgun Gothic" w:hAnsi="Arial" w:cs="Arial"/>
                <w:szCs w:val="20"/>
              </w:rPr>
              <w:t>Both way seems fine</w:t>
            </w:r>
          </w:p>
        </w:tc>
        <w:tc>
          <w:tcPr>
            <w:tcW w:w="6193" w:type="dxa"/>
          </w:tcPr>
          <w:p w14:paraId="707B829B" w14:textId="58269539" w:rsidR="00187AD5" w:rsidRDefault="00CC38CB" w:rsidP="00AC3084">
            <w:pPr>
              <w:rPr>
                <w:rFonts w:ascii="Arial" w:hAnsi="Arial" w:cs="Arial"/>
                <w:szCs w:val="20"/>
              </w:rPr>
            </w:pPr>
            <w:r>
              <w:rPr>
                <w:rFonts w:ascii="Arial" w:hAnsi="Arial" w:cs="Arial"/>
                <w:szCs w:val="20"/>
              </w:rPr>
              <w:t xml:space="preserve">We slightly prefer to follow the </w:t>
            </w:r>
            <w:r w:rsidRPr="00CC38CB">
              <w:rPr>
                <w:rFonts w:ascii="Arial" w:hAnsi="Arial" w:cs="Arial"/>
                <w:i/>
                <w:szCs w:val="20"/>
              </w:rPr>
              <w:t>beamMeasConfigIdle-r16</w:t>
            </w:r>
            <w:r>
              <w:rPr>
                <w:rFonts w:ascii="Arial" w:hAnsi="Arial" w:cs="Arial"/>
                <w:szCs w:val="20"/>
              </w:rPr>
              <w:t xml:space="preserve"> for serving frequency.</w:t>
            </w:r>
          </w:p>
        </w:tc>
      </w:tr>
      <w:tr w:rsidR="00B642E4" w:rsidRPr="00AF7D6E" w14:paraId="6E3F6636" w14:textId="77777777" w:rsidTr="00BF306B">
        <w:tc>
          <w:tcPr>
            <w:tcW w:w="1948" w:type="dxa"/>
            <w:vAlign w:val="center"/>
          </w:tcPr>
          <w:p w14:paraId="6BF97024" w14:textId="00804106" w:rsidR="00B642E4" w:rsidRDefault="00B642E4" w:rsidP="00AC3084">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5B501295" w14:textId="18DB1D48" w:rsidR="00B642E4" w:rsidRDefault="00B642E4" w:rsidP="00CC38CB">
            <w:pPr>
              <w:rPr>
                <w:rFonts w:ascii="Arial" w:eastAsia="Malgun Gothic" w:hAnsi="Arial" w:cs="Arial"/>
                <w:szCs w:val="20"/>
              </w:rPr>
            </w:pPr>
            <w:r>
              <w:rPr>
                <w:rFonts w:ascii="Arial" w:eastAsia="Malgun Gothic" w:hAnsi="Arial" w:cs="Arial" w:hint="eastAsia"/>
                <w:szCs w:val="20"/>
              </w:rPr>
              <w:t>Agree</w:t>
            </w:r>
          </w:p>
        </w:tc>
        <w:tc>
          <w:tcPr>
            <w:tcW w:w="6193" w:type="dxa"/>
          </w:tcPr>
          <w:p w14:paraId="29E5C18F" w14:textId="77777777" w:rsidR="00B642E4" w:rsidRDefault="00B642E4" w:rsidP="00AC3084">
            <w:pPr>
              <w:rPr>
                <w:rFonts w:ascii="Arial" w:hAnsi="Arial" w:cs="Arial"/>
                <w:szCs w:val="20"/>
              </w:rPr>
            </w:pPr>
          </w:p>
        </w:tc>
      </w:tr>
      <w:tr w:rsidR="00293D42" w:rsidRPr="00AF7D6E" w14:paraId="2124D6D4" w14:textId="77777777" w:rsidTr="00BF306B">
        <w:tc>
          <w:tcPr>
            <w:tcW w:w="1948" w:type="dxa"/>
            <w:vAlign w:val="center"/>
          </w:tcPr>
          <w:p w14:paraId="29C2FDE5" w14:textId="36A703CC" w:rsidR="00293D42" w:rsidRDefault="00293D42" w:rsidP="00293D42">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62" w:type="dxa"/>
            <w:vAlign w:val="center"/>
          </w:tcPr>
          <w:p w14:paraId="3892F35D" w14:textId="40497ED4" w:rsidR="00293D42" w:rsidRDefault="00293D42" w:rsidP="00293D42">
            <w:pPr>
              <w:rPr>
                <w:rFonts w:ascii="Arial" w:eastAsia="Malgun Gothic" w:hAnsi="Arial" w:cs="Arial"/>
                <w:szCs w:val="20"/>
              </w:rPr>
            </w:pPr>
            <w:r>
              <w:rPr>
                <w:rFonts w:ascii="Arial" w:hAnsi="Arial" w:cs="Arial"/>
                <w:szCs w:val="20"/>
              </w:rPr>
              <w:t xml:space="preserve">Agree </w:t>
            </w:r>
          </w:p>
        </w:tc>
        <w:tc>
          <w:tcPr>
            <w:tcW w:w="6193" w:type="dxa"/>
          </w:tcPr>
          <w:p w14:paraId="788F00F6" w14:textId="77777777" w:rsidR="00293D42" w:rsidRDefault="00293D42" w:rsidP="00293D42">
            <w:pPr>
              <w:rPr>
                <w:rFonts w:ascii="Arial" w:hAnsi="Arial" w:cs="Arial"/>
                <w:szCs w:val="20"/>
              </w:rPr>
            </w:pPr>
          </w:p>
        </w:tc>
      </w:tr>
      <w:tr w:rsidR="00BF306B" w:rsidRPr="00AF7D6E" w14:paraId="67F03DD5" w14:textId="77777777" w:rsidTr="00BF306B">
        <w:tc>
          <w:tcPr>
            <w:tcW w:w="1948" w:type="dxa"/>
            <w:vAlign w:val="center"/>
          </w:tcPr>
          <w:p w14:paraId="23354160" w14:textId="2C1A32D9" w:rsidR="00BF306B" w:rsidRDefault="00BF306B" w:rsidP="00BF306B">
            <w:pPr>
              <w:jc w:val="center"/>
              <w:rPr>
                <w:rFonts w:ascii="Arial"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4D19CDE0" w14:textId="041D7AE3" w:rsidR="00BF306B" w:rsidRDefault="00BF306B" w:rsidP="00BF306B">
            <w:pPr>
              <w:rPr>
                <w:rFonts w:ascii="Arial" w:hAnsi="Arial" w:cs="Arial"/>
                <w:szCs w:val="20"/>
              </w:rPr>
            </w:pPr>
            <w:r>
              <w:rPr>
                <w:rFonts w:ascii="Arial" w:eastAsia="Malgun Gothic" w:hAnsi="Arial" w:cs="Arial"/>
                <w:sz w:val="20"/>
                <w:szCs w:val="20"/>
              </w:rPr>
              <w:t>Agree</w:t>
            </w:r>
          </w:p>
        </w:tc>
        <w:tc>
          <w:tcPr>
            <w:tcW w:w="6193" w:type="dxa"/>
          </w:tcPr>
          <w:p w14:paraId="71FBE795" w14:textId="77777777" w:rsidR="00BF306B" w:rsidRDefault="00BF306B" w:rsidP="00BF306B">
            <w:pPr>
              <w:rPr>
                <w:rFonts w:ascii="Arial" w:hAnsi="Arial" w:cs="Arial"/>
                <w:szCs w:val="20"/>
              </w:rPr>
            </w:pPr>
          </w:p>
        </w:tc>
      </w:tr>
    </w:tbl>
    <w:p w14:paraId="69EDB289" w14:textId="77777777" w:rsidR="00F62930" w:rsidRDefault="00F62930" w:rsidP="00D0476F">
      <w:pPr>
        <w:spacing w:line="276" w:lineRule="auto"/>
        <w:rPr>
          <w:rFonts w:ascii="Arial" w:hAnsi="Arial"/>
          <w:lang w:eastAsia="en-GB"/>
        </w:rPr>
      </w:pPr>
    </w:p>
    <w:p w14:paraId="1AEFFEC3" w14:textId="3D5D4602" w:rsidR="006C20E7" w:rsidRPr="006C20E7" w:rsidRDefault="006C20E7" w:rsidP="00D0476F">
      <w:pPr>
        <w:spacing w:line="276" w:lineRule="auto"/>
        <w:rPr>
          <w:rFonts w:ascii="Arial" w:hAnsi="Arial"/>
          <w:highlight w:val="yellow"/>
          <w:lang w:eastAsia="en-GB"/>
        </w:rPr>
      </w:pPr>
      <w:r w:rsidRPr="006C20E7">
        <w:rPr>
          <w:rFonts w:ascii="Arial" w:hAnsi="Arial"/>
          <w:highlight w:val="yellow"/>
          <w:lang w:eastAsia="en-GB"/>
        </w:rPr>
        <w:t>Summary:</w:t>
      </w:r>
    </w:p>
    <w:p w14:paraId="1D7B2B35" w14:textId="6A2571E8" w:rsidR="006C20E7" w:rsidRPr="006C20E7" w:rsidRDefault="006C20E7" w:rsidP="00D0476F">
      <w:pPr>
        <w:spacing w:line="276" w:lineRule="auto"/>
        <w:rPr>
          <w:rFonts w:ascii="Arial" w:hAnsi="Arial"/>
          <w:highlight w:val="yellow"/>
          <w:lang w:eastAsia="en-GB"/>
        </w:rPr>
      </w:pPr>
      <w:r w:rsidRPr="006C20E7">
        <w:rPr>
          <w:rFonts w:ascii="Arial" w:hAnsi="Arial"/>
          <w:highlight w:val="yellow"/>
          <w:lang w:eastAsia="en-GB"/>
        </w:rPr>
        <w:t>9 companies agree with Rapp’s Proposal 4, 2 companies think we can associate serving cell beam reporting with UE’s capability, which means UE supports beam reporting should always report beams for serving cell. Since majority prefer to rely on the beam reporting configuration of serving frequency, so:</w:t>
      </w:r>
    </w:p>
    <w:p w14:paraId="3E538907" w14:textId="3566A0AC" w:rsidR="006C20E7" w:rsidRPr="004266F4" w:rsidRDefault="006C20E7" w:rsidP="004266F4">
      <w:pPr>
        <w:spacing w:before="156" w:line="276" w:lineRule="auto"/>
        <w:ind w:left="1276" w:hanging="1276"/>
        <w:rPr>
          <w:rFonts w:ascii="Arial" w:hAnsi="Arial" w:cs="Arial"/>
          <w:b/>
          <w:highlight w:val="yellow"/>
        </w:rPr>
      </w:pPr>
      <w:r w:rsidRPr="006C20E7">
        <w:rPr>
          <w:rFonts w:ascii="Arial" w:hAnsi="Arial" w:cs="Arial"/>
          <w:b/>
          <w:highlight w:val="yellow"/>
        </w:rPr>
        <w:t xml:space="preserve">Proposal 6: The UE includes beam level reporting for the serving cell only if there is a configuration for the serving frequency, which includes </w:t>
      </w:r>
      <w:r w:rsidRPr="006C20E7">
        <w:rPr>
          <w:rFonts w:ascii="Arial" w:hAnsi="Arial" w:cs="Arial"/>
          <w:b/>
          <w:i/>
          <w:highlight w:val="yellow"/>
        </w:rPr>
        <w:t>beamMeasConfigIdle</w:t>
      </w:r>
      <w:r w:rsidRPr="006C20E7">
        <w:rPr>
          <w:rFonts w:ascii="Arial" w:hAnsi="Arial" w:cs="Arial"/>
          <w:b/>
          <w:highlight w:val="yellow"/>
        </w:rPr>
        <w:t xml:space="preserve">, in </w:t>
      </w:r>
      <w:r w:rsidRPr="006C20E7">
        <w:rPr>
          <w:rFonts w:ascii="Arial" w:hAnsi="Arial" w:cs="Arial"/>
          <w:b/>
          <w:i/>
          <w:highlight w:val="yellow"/>
        </w:rPr>
        <w:t>measIdleCarrierListNR</w:t>
      </w:r>
      <w:r w:rsidRPr="006C20E7">
        <w:rPr>
          <w:rFonts w:ascii="Arial" w:hAnsi="Arial" w:cs="Arial"/>
          <w:b/>
          <w:highlight w:val="yellow"/>
        </w:rPr>
        <w:t xml:space="preserve"> in </w:t>
      </w:r>
      <w:r w:rsidRPr="006C20E7">
        <w:rPr>
          <w:rFonts w:ascii="Arial" w:hAnsi="Arial" w:cs="Arial"/>
          <w:b/>
          <w:i/>
          <w:highlight w:val="yellow"/>
        </w:rPr>
        <w:t>VarMeasIdleConfig</w:t>
      </w:r>
      <w:r w:rsidRPr="006C20E7">
        <w:rPr>
          <w:rFonts w:ascii="Arial" w:hAnsi="Arial" w:cs="Arial"/>
          <w:b/>
          <w:highlight w:val="yellow"/>
        </w:rPr>
        <w:t xml:space="preserve">. In that case the reporting is based on the corresponding configuration in </w:t>
      </w:r>
      <w:r w:rsidRPr="006C20E7">
        <w:rPr>
          <w:rFonts w:ascii="Arial" w:hAnsi="Arial" w:cs="Arial"/>
          <w:b/>
          <w:i/>
          <w:highlight w:val="yellow"/>
        </w:rPr>
        <w:t>beamMeasConfigIdle</w:t>
      </w:r>
      <w:r w:rsidR="004266F4">
        <w:rPr>
          <w:rFonts w:ascii="Arial" w:hAnsi="Arial" w:cs="Arial"/>
          <w:b/>
          <w:highlight w:val="yellow"/>
        </w:rPr>
        <w:t xml:space="preserve">. </w:t>
      </w:r>
    </w:p>
    <w:p w14:paraId="040D50E4" w14:textId="77777777" w:rsidR="006C20E7" w:rsidRPr="00AF7D6E" w:rsidRDefault="006C20E7" w:rsidP="00D0476F">
      <w:pPr>
        <w:spacing w:line="276" w:lineRule="auto"/>
        <w:rPr>
          <w:rFonts w:ascii="Arial" w:hAnsi="Arial"/>
          <w:lang w:eastAsia="en-GB"/>
        </w:rPr>
      </w:pPr>
    </w:p>
    <w:p w14:paraId="4D410853" w14:textId="64879F62" w:rsidR="00B24CA6" w:rsidRPr="00305EE3" w:rsidRDefault="00B24CA6" w:rsidP="00B24CA6">
      <w:pPr>
        <w:spacing w:line="276" w:lineRule="auto"/>
        <w:outlineLvl w:val="2"/>
        <w:rPr>
          <w:rFonts w:ascii="Arial" w:hAnsi="Arial"/>
          <w:b/>
          <w:sz w:val="24"/>
          <w:lang w:eastAsia="en-GB"/>
        </w:rPr>
      </w:pPr>
      <w:r w:rsidRPr="00305EE3">
        <w:rPr>
          <w:rFonts w:ascii="Arial" w:hAnsi="Arial"/>
          <w:b/>
          <w:sz w:val="24"/>
          <w:highlight w:val="yellow"/>
          <w:lang w:eastAsia="en-GB"/>
        </w:rPr>
        <w:t>D</w:t>
      </w:r>
      <w:r w:rsidRPr="00305EE3">
        <w:rPr>
          <w:rFonts w:ascii="Arial" w:hAnsi="Arial" w:hint="eastAsia"/>
          <w:b/>
          <w:sz w:val="24"/>
          <w:highlight w:val="yellow"/>
        </w:rPr>
        <w:t>iscussion</w:t>
      </w:r>
      <w:r w:rsidRPr="00305EE3">
        <w:rPr>
          <w:rFonts w:ascii="Arial" w:hAnsi="Arial"/>
          <w:b/>
          <w:sz w:val="24"/>
          <w:highlight w:val="yellow"/>
        </w:rPr>
        <w:t xml:space="preserve"> </w:t>
      </w:r>
      <w:r w:rsidRPr="00305EE3">
        <w:rPr>
          <w:rFonts w:ascii="Arial" w:hAnsi="Arial" w:hint="eastAsia"/>
          <w:b/>
          <w:sz w:val="24"/>
          <w:highlight w:val="yellow"/>
        </w:rPr>
        <w:t>on</w:t>
      </w:r>
      <w:r w:rsidRPr="00305EE3">
        <w:rPr>
          <w:rFonts w:ascii="Arial" w:hAnsi="Arial"/>
          <w:b/>
          <w:sz w:val="24"/>
          <w:highlight w:val="yellow"/>
        </w:rPr>
        <w:t xml:space="preserve"> </w:t>
      </w:r>
      <w:r w:rsidRPr="00305EE3">
        <w:rPr>
          <w:rFonts w:ascii="Arial" w:hAnsi="Arial"/>
          <w:b/>
          <w:sz w:val="24"/>
          <w:highlight w:val="yellow"/>
          <w:lang w:eastAsia="en-GB"/>
        </w:rPr>
        <w:t>CR</w:t>
      </w:r>
      <w:bookmarkStart w:id="4" w:name="_GoBack"/>
      <w:bookmarkEnd w:id="4"/>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lastRenderedPageBreak/>
        <w:t>CR-3: R2-2101073.(Nokia)</w:t>
      </w:r>
    </w:p>
    <w:p w14:paraId="4AC2740C" w14:textId="2D23106A" w:rsidR="00A50FCC" w:rsidRP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a2"/>
              <w:jc w:val="center"/>
              <w:rPr>
                <w:sz w:val="20"/>
                <w:szCs w:val="20"/>
              </w:rPr>
            </w:pPr>
            <w:r>
              <w:rPr>
                <w:sz w:val="20"/>
                <w:szCs w:val="20"/>
              </w:rPr>
              <w:t>Agree?</w:t>
            </w:r>
          </w:p>
          <w:p w14:paraId="3459DEA9" w14:textId="77777777" w:rsidR="00A50FCC" w:rsidRPr="006934EF" w:rsidRDefault="00A50FCC"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a2"/>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00FF22EF" w:rsidR="00A50FCC" w:rsidRPr="007C2686" w:rsidRDefault="00F43789" w:rsidP="006F34B3">
            <w:pPr>
              <w:jc w:val="center"/>
              <w:rPr>
                <w:rFonts w:ascii="Arial" w:hAnsi="Arial" w:cs="Arial"/>
                <w:sz w:val="20"/>
                <w:szCs w:val="20"/>
              </w:rPr>
            </w:pPr>
            <w:r>
              <w:rPr>
                <w:rFonts w:ascii="Arial" w:hAnsi="Arial" w:cs="Arial"/>
                <w:sz w:val="20"/>
                <w:szCs w:val="20"/>
              </w:rPr>
              <w:t>MediaTek</w:t>
            </w:r>
          </w:p>
        </w:tc>
        <w:tc>
          <w:tcPr>
            <w:tcW w:w="1262" w:type="dxa"/>
            <w:vAlign w:val="center"/>
          </w:tcPr>
          <w:p w14:paraId="5390E86B" w14:textId="7F0430CF" w:rsidR="00A50FCC" w:rsidRPr="007C2686" w:rsidRDefault="00C25F1A" w:rsidP="006F34B3">
            <w:pPr>
              <w:jc w:val="center"/>
              <w:rPr>
                <w:rFonts w:ascii="Arial" w:hAnsi="Arial" w:cs="Arial"/>
                <w:sz w:val="20"/>
                <w:szCs w:val="20"/>
              </w:rPr>
            </w:pPr>
            <w:r>
              <w:rPr>
                <w:rFonts w:ascii="Arial" w:hAnsi="Arial" w:cs="Arial"/>
                <w:sz w:val="20"/>
                <w:szCs w:val="20"/>
              </w:rPr>
              <w:t>Maybe</w:t>
            </w:r>
          </w:p>
        </w:tc>
        <w:tc>
          <w:tcPr>
            <w:tcW w:w="6193" w:type="dxa"/>
          </w:tcPr>
          <w:p w14:paraId="318D0ED2" w14:textId="41E163C5" w:rsidR="00F43789" w:rsidRDefault="00F43789" w:rsidP="006F34B3">
            <w:pPr>
              <w:rPr>
                <w:rFonts w:ascii="Arial" w:hAnsi="Arial" w:cs="Arial"/>
                <w:sz w:val="20"/>
                <w:szCs w:val="20"/>
              </w:rPr>
            </w:pPr>
            <w:r>
              <w:rPr>
                <w:rFonts w:ascii="Arial" w:hAnsi="Arial" w:cs="Arial"/>
                <w:sz w:val="20"/>
                <w:szCs w:val="20"/>
              </w:rPr>
              <w:t>Further updated may be needed based on previous discussion.</w:t>
            </w:r>
            <w:r w:rsidR="00C25F1A">
              <w:rPr>
                <w:rFonts w:ascii="Arial" w:hAnsi="Arial" w:cs="Arial"/>
                <w:sz w:val="20"/>
                <w:szCs w:val="20"/>
              </w:rPr>
              <w:t xml:space="preserve"> But maybe could any</w:t>
            </w:r>
            <w:r w:rsidR="000A220F">
              <w:rPr>
                <w:rFonts w:ascii="Arial" w:hAnsi="Arial" w:cs="Arial"/>
                <w:sz w:val="20"/>
                <w:szCs w:val="20"/>
              </w:rPr>
              <w:t>way</w:t>
            </w:r>
            <w:r w:rsidR="00C25F1A">
              <w:rPr>
                <w:rFonts w:ascii="Arial" w:hAnsi="Arial" w:cs="Arial"/>
                <w:sz w:val="20"/>
                <w:szCs w:val="20"/>
              </w:rPr>
              <w:t xml:space="preserve"> find a baseline to start.</w:t>
            </w:r>
          </w:p>
          <w:p w14:paraId="79314588" w14:textId="7EBD4804" w:rsidR="00F43789" w:rsidRPr="007C2686" w:rsidRDefault="00C25F1A" w:rsidP="006F34B3">
            <w:pPr>
              <w:rPr>
                <w:rFonts w:ascii="Arial" w:hAnsi="Arial" w:cs="Arial"/>
                <w:sz w:val="20"/>
                <w:szCs w:val="20"/>
              </w:rPr>
            </w:pPr>
            <w:r>
              <w:rPr>
                <w:rFonts w:ascii="Arial" w:hAnsi="Arial" w:cs="Arial"/>
                <w:sz w:val="20"/>
                <w:szCs w:val="20"/>
              </w:rPr>
              <w:t xml:space="preserve">In 36.331 CR, we </w:t>
            </w:r>
            <w:r w:rsidRPr="00C25F1A">
              <w:rPr>
                <w:rFonts w:ascii="Arial" w:hAnsi="Arial" w:cs="Arial"/>
                <w:sz w:val="20"/>
                <w:szCs w:val="20"/>
              </w:rPr>
              <w:t>should delete the original text on serving cell result stored</w:t>
            </w:r>
            <w:r>
              <w:rPr>
                <w:rFonts w:ascii="Arial" w:hAnsi="Arial" w:cs="Arial"/>
                <w:sz w:val="20"/>
                <w:szCs w:val="20"/>
              </w:rPr>
              <w:t xml:space="preserve"> if follow the proposals. Note that this would be an NBC change.</w:t>
            </w:r>
          </w:p>
        </w:tc>
      </w:tr>
    </w:tbl>
    <w:p w14:paraId="398FC2E0" w14:textId="77777777" w:rsidR="006C20E7" w:rsidRDefault="006C20E7" w:rsidP="00D0476F">
      <w:pPr>
        <w:spacing w:line="276" w:lineRule="auto"/>
        <w:rPr>
          <w:rFonts w:ascii="Arial" w:hAnsi="Arial"/>
          <w:lang w:eastAsia="en-GB"/>
        </w:rPr>
      </w:pPr>
    </w:p>
    <w:p w14:paraId="64BD38D9" w14:textId="77777777" w:rsidR="006C20E7" w:rsidRPr="006C20E7" w:rsidRDefault="006C20E7" w:rsidP="006C20E7">
      <w:pPr>
        <w:spacing w:line="276" w:lineRule="auto"/>
        <w:rPr>
          <w:rFonts w:ascii="Arial" w:hAnsi="Arial"/>
          <w:highlight w:val="yellow"/>
          <w:lang w:eastAsia="en-GB"/>
        </w:rPr>
      </w:pPr>
      <w:r w:rsidRPr="006C20E7">
        <w:rPr>
          <w:rFonts w:ascii="Arial" w:hAnsi="Arial"/>
          <w:highlight w:val="yellow"/>
          <w:lang w:eastAsia="en-GB"/>
        </w:rPr>
        <w:t>Summary:</w:t>
      </w:r>
    </w:p>
    <w:p w14:paraId="4A3AD025" w14:textId="73EDDEE5" w:rsidR="006C20E7" w:rsidRPr="006C20E7" w:rsidRDefault="006C20E7" w:rsidP="006C20E7">
      <w:pPr>
        <w:spacing w:line="276" w:lineRule="auto"/>
        <w:rPr>
          <w:rFonts w:ascii="Arial" w:hAnsi="Arial"/>
          <w:highlight w:val="yellow"/>
          <w:lang w:eastAsia="en-GB"/>
        </w:rPr>
      </w:pPr>
      <w:r>
        <w:rPr>
          <w:rFonts w:ascii="Arial" w:hAnsi="Arial"/>
          <w:highlight w:val="yellow"/>
          <w:lang w:eastAsia="en-GB"/>
        </w:rPr>
        <w:t xml:space="preserve">Regarding the CR, so far only Ericsson provides CR for both TS36.331 and TS38.331, </w:t>
      </w:r>
      <w:r w:rsidR="004E76CD">
        <w:rPr>
          <w:rFonts w:ascii="Arial" w:hAnsi="Arial"/>
          <w:highlight w:val="yellow"/>
          <w:lang w:eastAsia="en-GB"/>
        </w:rPr>
        <w:t>so rapporteur would suggest to use them as a baseline, and update the CRs based on previous Proposals(once agreed). The updated CRs can be further discussed during phase II (next week).</w:t>
      </w:r>
    </w:p>
    <w:p w14:paraId="4D500A2F" w14:textId="38BA9A86" w:rsidR="006C20E7" w:rsidRPr="006C20E7" w:rsidRDefault="006C20E7" w:rsidP="006C20E7">
      <w:pPr>
        <w:spacing w:before="156" w:line="276" w:lineRule="auto"/>
        <w:ind w:left="1276" w:hanging="1276"/>
        <w:rPr>
          <w:rFonts w:ascii="Arial" w:hAnsi="Arial" w:cs="Arial"/>
          <w:b/>
          <w:highlight w:val="yellow"/>
        </w:rPr>
      </w:pPr>
      <w:r w:rsidRPr="006C20E7">
        <w:rPr>
          <w:rFonts w:ascii="Arial" w:hAnsi="Arial" w:cs="Arial"/>
          <w:b/>
          <w:highlight w:val="yellow"/>
        </w:rPr>
        <w:t xml:space="preserve">Proposal </w:t>
      </w:r>
      <w:r w:rsidR="004E76CD">
        <w:rPr>
          <w:rFonts w:ascii="Arial" w:hAnsi="Arial" w:cs="Arial"/>
          <w:b/>
          <w:highlight w:val="yellow"/>
        </w:rPr>
        <w:t>7</w:t>
      </w:r>
      <w:r w:rsidRPr="006C20E7">
        <w:rPr>
          <w:rFonts w:ascii="Arial" w:hAnsi="Arial" w:cs="Arial"/>
          <w:b/>
          <w:highlight w:val="yellow"/>
        </w:rPr>
        <w:t xml:space="preserve">: </w:t>
      </w:r>
      <w:r w:rsidR="004E76CD">
        <w:rPr>
          <w:rFonts w:ascii="Arial" w:hAnsi="Arial" w:cs="Arial"/>
          <w:b/>
          <w:highlight w:val="yellow"/>
        </w:rPr>
        <w:t xml:space="preserve"> Update TS 36.331, TS 38.331 CRs (provided in R2-2101090) based on Proposal 3~6 for phase 2 discussion</w:t>
      </w:r>
      <w:r w:rsidRPr="006C20E7">
        <w:rPr>
          <w:rFonts w:ascii="Arial" w:hAnsi="Arial" w:cs="Arial"/>
          <w:b/>
          <w:highlight w:val="yellow"/>
        </w:rPr>
        <w:t xml:space="preserve">. </w:t>
      </w:r>
    </w:p>
    <w:p w14:paraId="6D49EA8D" w14:textId="77777777" w:rsidR="006C20E7" w:rsidRDefault="006C20E7" w:rsidP="00D0476F">
      <w:pPr>
        <w:spacing w:line="276" w:lineRule="auto"/>
        <w:rPr>
          <w:rFonts w:ascii="Arial" w:hAnsi="Arial"/>
          <w:lang w:eastAsia="en-GB"/>
        </w:rPr>
      </w:pPr>
    </w:p>
    <w:p w14:paraId="5B33CCF0" w14:textId="77777777" w:rsidR="006C20E7" w:rsidRDefault="006C20E7" w:rsidP="00D0476F">
      <w:pPr>
        <w:spacing w:line="276" w:lineRule="auto"/>
        <w:rPr>
          <w:rFonts w:ascii="Arial" w:hAnsi="Arial"/>
          <w:lang w:eastAsia="en-GB"/>
        </w:rPr>
      </w:pPr>
    </w:p>
    <w:p w14:paraId="477C03C7" w14:textId="45D0EAA1" w:rsidR="00DD3DB9" w:rsidRDefault="005D0EDB" w:rsidP="00D0476F">
      <w:pPr>
        <w:pStyle w:val="21"/>
      </w:pPr>
      <w:r>
        <w:t xml:space="preserve">3.3 </w:t>
      </w:r>
      <w:r w:rsidR="00D0476F" w:rsidRPr="00D0476F">
        <w:t xml:space="preserve">Clarification on beam measurement and reporting </w:t>
      </w:r>
    </w:p>
    <w:p w14:paraId="1683C11E" w14:textId="77777777" w:rsidR="00D0476F" w:rsidRPr="0041217C" w:rsidRDefault="00BF306B" w:rsidP="00D0476F">
      <w:pPr>
        <w:spacing w:before="60"/>
        <w:ind w:left="1259" w:hanging="1259"/>
        <w:rPr>
          <w:rFonts w:ascii="Arial" w:eastAsia="MS Mincho" w:hAnsi="Arial" w:cs="Times New Roman"/>
          <w:noProof/>
          <w:lang w:eastAsia="en-GB"/>
        </w:rPr>
      </w:pPr>
      <w:hyperlink r:id="rId40"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lastRenderedPageBreak/>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a"/>
        <w:tblW w:w="9350" w:type="dxa"/>
        <w:tblInd w:w="505" w:type="dxa"/>
        <w:tblLayout w:type="fixed"/>
        <w:tblLook w:val="04A0" w:firstRow="1" w:lastRow="0" w:firstColumn="1" w:lastColumn="0" w:noHBand="0" w:noVBand="1"/>
      </w:tblPr>
      <w:tblGrid>
        <w:gridCol w:w="1701"/>
        <w:gridCol w:w="1559"/>
        <w:gridCol w:w="1134"/>
        <w:gridCol w:w="4956"/>
      </w:tblGrid>
      <w:tr w:rsidR="004B2550" w14:paraId="1F14E589" w14:textId="77777777" w:rsidTr="00BF306B">
        <w:tc>
          <w:tcPr>
            <w:tcW w:w="1701" w:type="dxa"/>
            <w:shd w:val="clear" w:color="auto" w:fill="BFBFBF" w:themeFill="background1" w:themeFillShade="BF"/>
            <w:vAlign w:val="center"/>
          </w:tcPr>
          <w:p w14:paraId="4AC584F4" w14:textId="77777777" w:rsidR="004B2550" w:rsidRPr="006934EF" w:rsidRDefault="004B2550" w:rsidP="00906E6E">
            <w:pPr>
              <w:pStyle w:val="a2"/>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a2"/>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a2"/>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a2"/>
              <w:jc w:val="center"/>
              <w:rPr>
                <w:sz w:val="20"/>
                <w:szCs w:val="20"/>
              </w:rPr>
            </w:pPr>
            <w:r w:rsidRPr="006934EF">
              <w:rPr>
                <w:sz w:val="20"/>
                <w:szCs w:val="20"/>
              </w:rPr>
              <w:t>Comments</w:t>
            </w:r>
          </w:p>
        </w:tc>
      </w:tr>
      <w:tr w:rsidR="004B2550" w:rsidRPr="0041217C" w14:paraId="1ED581C1" w14:textId="77777777" w:rsidTr="00BF306B">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BF306B">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BF306B">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BF306B">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BF306B">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BF306B">
        <w:tc>
          <w:tcPr>
            <w:tcW w:w="1701" w:type="dxa"/>
            <w:vAlign w:val="center"/>
          </w:tcPr>
          <w:p w14:paraId="2019200D" w14:textId="20B792CD"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Malgun Gothic"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Malgun Gothic" w:hAnsi="Arial" w:cs="Arial"/>
                <w:sz w:val="20"/>
                <w:szCs w:val="20"/>
              </w:rPr>
              <w:t xml:space="preserve">We understand the intention of this CR, </w:t>
            </w:r>
            <w:r>
              <w:rPr>
                <w:rFonts w:ascii="Arial" w:eastAsia="Malgun Gothic"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BF306B">
        <w:tc>
          <w:tcPr>
            <w:tcW w:w="1701" w:type="dxa"/>
            <w:vAlign w:val="center"/>
          </w:tcPr>
          <w:p w14:paraId="5534871C" w14:textId="4BA19EE7"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559" w:type="dxa"/>
            <w:vAlign w:val="center"/>
          </w:tcPr>
          <w:p w14:paraId="5B30204D" w14:textId="0D0F2A14"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1134" w:type="dxa"/>
            <w:vAlign w:val="center"/>
          </w:tcPr>
          <w:p w14:paraId="60540FB9" w14:textId="0B1B6418" w:rsidR="00E36739" w:rsidRDefault="00E36739"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33D3D94F" w14:textId="4C14652F" w:rsidR="00E36739" w:rsidRDefault="00E36739" w:rsidP="00AC3084">
            <w:pPr>
              <w:rPr>
                <w:rFonts w:ascii="Arial" w:eastAsia="Malgun Gothic" w:hAnsi="Arial" w:cs="Arial"/>
                <w:sz w:val="20"/>
                <w:szCs w:val="20"/>
              </w:rPr>
            </w:pPr>
            <w:r>
              <w:rPr>
                <w:rFonts w:ascii="Arial" w:eastAsia="Malgun Gothic"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Malgun Gothic" w:hAnsi="Arial" w:cs="Arial"/>
                <w:sz w:val="20"/>
                <w:szCs w:val="20"/>
              </w:rPr>
            </w:pPr>
            <w:r>
              <w:rPr>
                <w:rFonts w:ascii="Arial" w:eastAsia="Malgun Gothic"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Malgun Gothic" w:hAnsi="Arial" w:cs="Arial"/>
                <w:sz w:val="20"/>
                <w:szCs w:val="20"/>
              </w:rPr>
            </w:pPr>
            <w:r>
              <w:rPr>
                <w:rFonts w:ascii="Arial" w:eastAsia="Malgun Gothic" w:hAnsi="Arial" w:cs="Arial"/>
                <w:sz w:val="20"/>
                <w:szCs w:val="20"/>
              </w:rPr>
              <w:lastRenderedPageBreak/>
              <w:t>Effectively, this means that it is not possible to configure eam reporting in SIB4.</w:t>
            </w:r>
          </w:p>
        </w:tc>
      </w:tr>
      <w:tr w:rsidR="00F642B2" w14:paraId="6B70EEFD" w14:textId="77777777" w:rsidTr="00BF306B">
        <w:tc>
          <w:tcPr>
            <w:tcW w:w="1701" w:type="dxa"/>
            <w:vAlign w:val="center"/>
          </w:tcPr>
          <w:p w14:paraId="0103D7CB" w14:textId="0BA9927C" w:rsidR="00F642B2" w:rsidRDefault="00F642B2" w:rsidP="00AC3084">
            <w:pPr>
              <w:jc w:val="center"/>
              <w:rPr>
                <w:rFonts w:ascii="Arial" w:eastAsia="Malgun Gothic" w:hAnsi="Arial" w:cs="Arial"/>
                <w:szCs w:val="20"/>
              </w:rPr>
            </w:pPr>
            <w:r>
              <w:rPr>
                <w:rFonts w:ascii="Arial" w:eastAsia="Malgun Gothic" w:hAnsi="Arial" w:cs="Arial"/>
                <w:szCs w:val="20"/>
              </w:rPr>
              <w:lastRenderedPageBreak/>
              <w:t>MediaTek</w:t>
            </w:r>
          </w:p>
        </w:tc>
        <w:tc>
          <w:tcPr>
            <w:tcW w:w="1559" w:type="dxa"/>
            <w:vAlign w:val="center"/>
          </w:tcPr>
          <w:p w14:paraId="0B7A270B" w14:textId="0AC34DD7" w:rsidR="00F642B2" w:rsidRDefault="00E83E77" w:rsidP="00AC3084">
            <w:pPr>
              <w:jc w:val="center"/>
              <w:rPr>
                <w:rFonts w:ascii="Arial" w:eastAsia="Malgun Gothic" w:hAnsi="Arial" w:cs="Arial"/>
                <w:szCs w:val="20"/>
              </w:rPr>
            </w:pPr>
            <w:r>
              <w:rPr>
                <w:rFonts w:ascii="Arial" w:eastAsia="Malgun Gothic" w:hAnsi="Arial" w:cs="Arial"/>
                <w:szCs w:val="20"/>
              </w:rPr>
              <w:t>No strong need, but ok to clarify</w:t>
            </w:r>
          </w:p>
        </w:tc>
        <w:tc>
          <w:tcPr>
            <w:tcW w:w="1134" w:type="dxa"/>
            <w:vAlign w:val="center"/>
          </w:tcPr>
          <w:p w14:paraId="68388F7C" w14:textId="57261BDF" w:rsidR="00F642B2" w:rsidRDefault="00F642B2"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5CE5801E" w14:textId="77777777" w:rsidR="00F642B2" w:rsidRDefault="00F642B2" w:rsidP="00AC3084">
            <w:pPr>
              <w:rPr>
                <w:rFonts w:ascii="Arial" w:eastAsia="Malgun Gothic" w:hAnsi="Arial" w:cs="Arial"/>
                <w:sz w:val="20"/>
                <w:szCs w:val="20"/>
              </w:rPr>
            </w:pPr>
          </w:p>
        </w:tc>
      </w:tr>
      <w:tr w:rsidR="00B642E4" w14:paraId="1062EFA5" w14:textId="77777777" w:rsidTr="00BF306B">
        <w:tc>
          <w:tcPr>
            <w:tcW w:w="1701" w:type="dxa"/>
            <w:vAlign w:val="center"/>
          </w:tcPr>
          <w:p w14:paraId="6CCB772D" w14:textId="052A1D7C" w:rsidR="00B642E4" w:rsidRDefault="00B642E4" w:rsidP="00AC3084">
            <w:pPr>
              <w:jc w:val="center"/>
              <w:rPr>
                <w:rFonts w:ascii="Arial" w:eastAsia="Malgun Gothic" w:hAnsi="Arial" w:cs="Arial"/>
                <w:szCs w:val="20"/>
              </w:rPr>
            </w:pPr>
            <w:r>
              <w:rPr>
                <w:rFonts w:ascii="Arial" w:eastAsia="Malgun Gothic" w:hAnsi="Arial" w:cs="Arial" w:hint="eastAsia"/>
                <w:szCs w:val="20"/>
              </w:rPr>
              <w:t>Samsung</w:t>
            </w:r>
          </w:p>
        </w:tc>
        <w:tc>
          <w:tcPr>
            <w:tcW w:w="1559" w:type="dxa"/>
            <w:vAlign w:val="center"/>
          </w:tcPr>
          <w:p w14:paraId="54A7EE9C" w14:textId="3E520D0A" w:rsidR="00B642E4" w:rsidRDefault="00B642E4" w:rsidP="00AC3084">
            <w:pPr>
              <w:jc w:val="center"/>
              <w:rPr>
                <w:rFonts w:ascii="Arial" w:eastAsia="Malgun Gothic" w:hAnsi="Arial" w:cs="Arial"/>
                <w:szCs w:val="20"/>
              </w:rPr>
            </w:pPr>
            <w:r>
              <w:rPr>
                <w:rFonts w:ascii="Arial" w:eastAsia="Malgun Gothic" w:hAnsi="Arial" w:cs="Arial" w:hint="eastAsia"/>
                <w:szCs w:val="20"/>
              </w:rPr>
              <w:t>No strong view</w:t>
            </w:r>
          </w:p>
        </w:tc>
        <w:tc>
          <w:tcPr>
            <w:tcW w:w="1134" w:type="dxa"/>
            <w:vAlign w:val="center"/>
          </w:tcPr>
          <w:p w14:paraId="4979BADA" w14:textId="754873D6" w:rsidR="00B642E4" w:rsidRDefault="00B642E4" w:rsidP="00AC3084">
            <w:pPr>
              <w:jc w:val="center"/>
              <w:rPr>
                <w:rFonts w:ascii="Arial" w:eastAsia="Malgun Gothic" w:hAnsi="Arial" w:cs="Arial"/>
                <w:szCs w:val="20"/>
              </w:rPr>
            </w:pPr>
            <w:r>
              <w:rPr>
                <w:rFonts w:ascii="Arial" w:eastAsia="Malgun Gothic" w:hAnsi="Arial" w:cs="Arial" w:hint="eastAsia"/>
                <w:szCs w:val="20"/>
              </w:rPr>
              <w:t>Alt2</w:t>
            </w:r>
          </w:p>
        </w:tc>
        <w:tc>
          <w:tcPr>
            <w:tcW w:w="4956" w:type="dxa"/>
          </w:tcPr>
          <w:p w14:paraId="5E02116A" w14:textId="77777777" w:rsidR="00B642E4" w:rsidRDefault="00B642E4" w:rsidP="00AC3084">
            <w:pPr>
              <w:rPr>
                <w:rFonts w:ascii="Arial" w:eastAsia="Malgun Gothic" w:hAnsi="Arial" w:cs="Arial"/>
                <w:szCs w:val="20"/>
              </w:rPr>
            </w:pPr>
          </w:p>
        </w:tc>
      </w:tr>
      <w:tr w:rsidR="00293D42" w14:paraId="519D2D85" w14:textId="77777777" w:rsidTr="00BF306B">
        <w:tc>
          <w:tcPr>
            <w:tcW w:w="1701" w:type="dxa"/>
            <w:vAlign w:val="center"/>
          </w:tcPr>
          <w:p w14:paraId="11FF612D" w14:textId="3A97D954" w:rsidR="00293D42" w:rsidRDefault="00293D42" w:rsidP="00293D42">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559" w:type="dxa"/>
            <w:vAlign w:val="center"/>
          </w:tcPr>
          <w:p w14:paraId="0D3FAEC0" w14:textId="6E792D3A" w:rsidR="00293D42" w:rsidRDefault="00293D42" w:rsidP="00293D42">
            <w:pPr>
              <w:jc w:val="center"/>
              <w:rPr>
                <w:rFonts w:ascii="Arial" w:eastAsia="Malgun Gothic" w:hAnsi="Arial" w:cs="Arial"/>
                <w:szCs w:val="20"/>
              </w:rPr>
            </w:pPr>
            <w:r>
              <w:rPr>
                <w:rFonts w:ascii="Arial" w:hAnsi="Arial" w:cs="Arial"/>
                <w:szCs w:val="20"/>
              </w:rPr>
              <w:t>No strong view</w:t>
            </w:r>
          </w:p>
        </w:tc>
        <w:tc>
          <w:tcPr>
            <w:tcW w:w="1134" w:type="dxa"/>
            <w:vAlign w:val="center"/>
          </w:tcPr>
          <w:p w14:paraId="5F1FC674" w14:textId="39C8FAD7" w:rsidR="00293D42" w:rsidRDefault="00293D42" w:rsidP="00293D42">
            <w:pPr>
              <w:jc w:val="center"/>
              <w:rPr>
                <w:rFonts w:ascii="Arial" w:eastAsia="Malgun Gothic" w:hAnsi="Arial" w:cs="Arial"/>
                <w:szCs w:val="20"/>
              </w:rPr>
            </w:pPr>
            <w:r>
              <w:rPr>
                <w:rFonts w:ascii="Arial" w:eastAsia="Malgun Gothic" w:hAnsi="Arial" w:cs="Arial"/>
                <w:szCs w:val="20"/>
              </w:rPr>
              <w:t>Alt 2</w:t>
            </w:r>
          </w:p>
        </w:tc>
        <w:tc>
          <w:tcPr>
            <w:tcW w:w="4956" w:type="dxa"/>
          </w:tcPr>
          <w:p w14:paraId="610D2DA6" w14:textId="77777777" w:rsidR="00293D42" w:rsidRDefault="00293D42" w:rsidP="00293D42">
            <w:pPr>
              <w:rPr>
                <w:rFonts w:ascii="Arial" w:eastAsia="Malgun Gothic" w:hAnsi="Arial" w:cs="Arial"/>
                <w:szCs w:val="20"/>
              </w:rPr>
            </w:pPr>
          </w:p>
        </w:tc>
      </w:tr>
      <w:tr w:rsidR="00BF306B" w14:paraId="63943C3E" w14:textId="77777777" w:rsidTr="00BF306B">
        <w:tc>
          <w:tcPr>
            <w:tcW w:w="1701" w:type="dxa"/>
            <w:vAlign w:val="center"/>
          </w:tcPr>
          <w:p w14:paraId="52C2FF37" w14:textId="66CC5B44" w:rsidR="00BF306B" w:rsidRDefault="00BF306B" w:rsidP="00BF306B">
            <w:pPr>
              <w:jc w:val="center"/>
              <w:rPr>
                <w:rFonts w:ascii="Arial" w:hAnsi="Arial" w:cs="Arial" w:hint="eastAsia"/>
                <w:szCs w:val="20"/>
              </w:rPr>
            </w:pPr>
            <w:r>
              <w:rPr>
                <w:rFonts w:ascii="Arial" w:hAnsi="Arial" w:cs="Arial" w:hint="eastAsia"/>
                <w:szCs w:val="20"/>
              </w:rPr>
              <w:t>v</w:t>
            </w:r>
            <w:r>
              <w:rPr>
                <w:rFonts w:ascii="Arial" w:hAnsi="Arial" w:cs="Arial"/>
                <w:szCs w:val="20"/>
              </w:rPr>
              <w:t>ivo</w:t>
            </w:r>
          </w:p>
        </w:tc>
        <w:tc>
          <w:tcPr>
            <w:tcW w:w="1559" w:type="dxa"/>
            <w:vAlign w:val="center"/>
          </w:tcPr>
          <w:p w14:paraId="1DC5BEB8" w14:textId="48D622AF" w:rsidR="00BF306B" w:rsidRDefault="00BF306B" w:rsidP="00BF306B">
            <w:pPr>
              <w:jc w:val="center"/>
              <w:rPr>
                <w:rFonts w:ascii="Arial" w:hAnsi="Arial" w:cs="Arial"/>
                <w:szCs w:val="20"/>
              </w:rPr>
            </w:pPr>
            <w:r>
              <w:rPr>
                <w:rFonts w:ascii="Arial" w:hAnsi="Arial" w:cs="Arial"/>
                <w:sz w:val="20"/>
                <w:szCs w:val="20"/>
              </w:rPr>
              <w:t>No</w:t>
            </w:r>
          </w:p>
        </w:tc>
        <w:tc>
          <w:tcPr>
            <w:tcW w:w="1134" w:type="dxa"/>
            <w:vAlign w:val="center"/>
          </w:tcPr>
          <w:p w14:paraId="4632553C" w14:textId="59FD6B64" w:rsidR="00BF306B" w:rsidRDefault="00BF306B" w:rsidP="00BF306B">
            <w:pPr>
              <w:jc w:val="center"/>
              <w:rPr>
                <w:rFonts w:ascii="Arial" w:eastAsia="Malgun Gothic" w:hAnsi="Arial" w:cs="Arial"/>
                <w:szCs w:val="20"/>
              </w:rPr>
            </w:pPr>
            <w:r>
              <w:rPr>
                <w:rFonts w:ascii="Arial" w:hAnsi="Arial" w:cs="Arial"/>
                <w:sz w:val="20"/>
                <w:szCs w:val="20"/>
              </w:rPr>
              <w:t>Alt 2</w:t>
            </w:r>
          </w:p>
        </w:tc>
        <w:tc>
          <w:tcPr>
            <w:tcW w:w="4956" w:type="dxa"/>
          </w:tcPr>
          <w:p w14:paraId="13FCC813" w14:textId="77777777" w:rsidR="00BF306B" w:rsidRDefault="00BF306B" w:rsidP="00BF306B">
            <w:pPr>
              <w:rPr>
                <w:rFonts w:ascii="Arial" w:eastAsia="Malgun Gothic" w:hAnsi="Arial" w:cs="Arial"/>
                <w:szCs w:val="20"/>
              </w:rPr>
            </w:pPr>
          </w:p>
        </w:tc>
      </w:tr>
    </w:tbl>
    <w:p w14:paraId="433CC376" w14:textId="61446A6A" w:rsidR="00C12EC4" w:rsidRDefault="00C12EC4" w:rsidP="00A042E1">
      <w:pPr>
        <w:pStyle w:val="Doc-text2"/>
        <w:ind w:left="0" w:firstLine="0"/>
        <w:rPr>
          <w:lang w:val="en-US" w:eastAsia="en-GB"/>
        </w:rPr>
      </w:pPr>
    </w:p>
    <w:p w14:paraId="2B56B8A8" w14:textId="182A21F4" w:rsidR="006520A6" w:rsidRPr="00EF46D0" w:rsidRDefault="006520A6" w:rsidP="00A042E1">
      <w:pPr>
        <w:pStyle w:val="Doc-text2"/>
        <w:ind w:left="0" w:firstLine="0"/>
        <w:rPr>
          <w:highlight w:val="yellow"/>
          <w:lang w:val="en-US" w:eastAsia="en-GB"/>
        </w:rPr>
      </w:pPr>
      <w:r w:rsidRPr="00EF46D0">
        <w:rPr>
          <w:highlight w:val="yellow"/>
          <w:lang w:val="en-US" w:eastAsia="en-GB"/>
        </w:rPr>
        <w:t>Summary:</w:t>
      </w:r>
    </w:p>
    <w:p w14:paraId="2A20A710" w14:textId="4777320E" w:rsidR="006520A6" w:rsidRPr="00EF46D0" w:rsidRDefault="006520A6" w:rsidP="00A042E1">
      <w:pPr>
        <w:pStyle w:val="Doc-text2"/>
        <w:ind w:left="0" w:firstLine="0"/>
        <w:rPr>
          <w:highlight w:val="yellow"/>
          <w:lang w:val="en-US" w:eastAsia="en-GB"/>
        </w:rPr>
      </w:pPr>
      <w:r w:rsidRPr="00EF46D0">
        <w:rPr>
          <w:highlight w:val="yellow"/>
          <w:lang w:val="en-US" w:eastAsia="en-GB"/>
        </w:rPr>
        <w:t xml:space="preserve">Regarding the necessity of the clarification, 1 company agree, 5 companies disagree, and 5 companies have no strong view. Regarding the comment from HW, rapporteur think companies have the same understanding that UE does not support </w:t>
      </w:r>
      <w:r w:rsidR="00EF46D0" w:rsidRPr="00EF46D0">
        <w:rPr>
          <w:highlight w:val="yellow"/>
          <w:lang w:val="en-US" w:eastAsia="en-GB"/>
        </w:rPr>
        <w:t xml:space="preserve">beam reporting is not required to report such information in EMR report, this does not imply the network cannot configure beam reporting in SIB4.  </w:t>
      </w:r>
    </w:p>
    <w:p w14:paraId="67A3E122" w14:textId="2D29BDFD" w:rsidR="00EF46D0" w:rsidRDefault="00EF46D0" w:rsidP="00A042E1">
      <w:pPr>
        <w:pStyle w:val="Doc-text2"/>
        <w:ind w:left="0" w:firstLine="0"/>
        <w:rPr>
          <w:lang w:val="en-US" w:eastAsia="en-GB"/>
        </w:rPr>
      </w:pPr>
      <w:r>
        <w:rPr>
          <w:highlight w:val="yellow"/>
          <w:lang w:val="en-US" w:eastAsia="en-GB"/>
        </w:rPr>
        <w:t>Due to the weak support and nearly half disagree. Rapporteur would suggest</w:t>
      </w:r>
      <w:r>
        <w:rPr>
          <w:lang w:val="en-US" w:eastAsia="en-GB"/>
        </w:rPr>
        <w:t>:</w:t>
      </w:r>
    </w:p>
    <w:p w14:paraId="5D83974D" w14:textId="5F507C25" w:rsidR="006520A6" w:rsidRPr="005B240E" w:rsidRDefault="00EF46D0" w:rsidP="005B240E">
      <w:pPr>
        <w:spacing w:before="156" w:line="276" w:lineRule="auto"/>
        <w:ind w:left="1276" w:hanging="1276"/>
        <w:rPr>
          <w:rFonts w:ascii="Arial" w:hAnsi="Arial" w:cs="Arial"/>
          <w:b/>
          <w:highlight w:val="yellow"/>
        </w:rPr>
      </w:pPr>
      <w:r w:rsidRPr="006C20E7">
        <w:rPr>
          <w:rFonts w:ascii="Arial" w:hAnsi="Arial" w:cs="Arial"/>
          <w:b/>
          <w:highlight w:val="yellow"/>
        </w:rPr>
        <w:t xml:space="preserve">Proposal </w:t>
      </w:r>
      <w:r>
        <w:rPr>
          <w:rFonts w:ascii="Arial" w:hAnsi="Arial" w:cs="Arial"/>
          <w:b/>
          <w:highlight w:val="yellow"/>
        </w:rPr>
        <w:t>8</w:t>
      </w:r>
      <w:r w:rsidRPr="006C20E7">
        <w:rPr>
          <w:rFonts w:ascii="Arial" w:hAnsi="Arial" w:cs="Arial"/>
          <w:b/>
          <w:highlight w:val="yellow"/>
        </w:rPr>
        <w:t xml:space="preserve">: </w:t>
      </w:r>
      <w:r>
        <w:rPr>
          <w:rFonts w:ascii="Arial" w:hAnsi="Arial" w:cs="Arial"/>
          <w:b/>
          <w:highlight w:val="yellow"/>
        </w:rPr>
        <w:t xml:space="preserve">RAN2 understands </w:t>
      </w:r>
      <w:r w:rsidRPr="00EF46D0">
        <w:rPr>
          <w:rFonts w:ascii="Arial" w:hAnsi="Arial" w:cs="Arial"/>
          <w:b/>
          <w:highlight w:val="yellow"/>
        </w:rPr>
        <w:t>UE only includes beam level measurement results when it supports the beam level idle/inactive measurement and reporting capability</w:t>
      </w:r>
      <w:r>
        <w:rPr>
          <w:rFonts w:ascii="Arial" w:hAnsi="Arial" w:cs="Arial"/>
          <w:b/>
          <w:highlight w:val="yellow"/>
        </w:rPr>
        <w:t>, but no SPEC change is needed</w:t>
      </w:r>
      <w:r w:rsidRPr="006C20E7">
        <w:rPr>
          <w:rFonts w:ascii="Arial" w:hAnsi="Arial" w:cs="Arial"/>
          <w:b/>
          <w:highlight w:val="yellow"/>
        </w:rPr>
        <w:t xml:space="preserve">. </w:t>
      </w: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a"/>
        <w:tblW w:w="9379" w:type="dxa"/>
        <w:tblInd w:w="476" w:type="dxa"/>
        <w:tblLayout w:type="fixed"/>
        <w:tblLook w:val="04A0" w:firstRow="1" w:lastRow="0" w:firstColumn="1" w:lastColumn="0" w:noHBand="0" w:noVBand="1"/>
      </w:tblPr>
      <w:tblGrid>
        <w:gridCol w:w="1872"/>
        <w:gridCol w:w="1292"/>
        <w:gridCol w:w="6215"/>
      </w:tblGrid>
      <w:tr w:rsidR="006726A9" w14:paraId="1FB7BC96" w14:textId="77777777" w:rsidTr="00BF306B">
        <w:tc>
          <w:tcPr>
            <w:tcW w:w="1872" w:type="dxa"/>
            <w:shd w:val="clear" w:color="auto" w:fill="BFBFBF" w:themeFill="background1" w:themeFillShade="BF"/>
            <w:vAlign w:val="center"/>
          </w:tcPr>
          <w:p w14:paraId="6B1F82C3" w14:textId="77777777" w:rsidR="006726A9" w:rsidRPr="006934EF" w:rsidRDefault="006726A9" w:rsidP="00F1768B">
            <w:pPr>
              <w:pStyle w:val="a2"/>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a2"/>
              <w:jc w:val="center"/>
              <w:rPr>
                <w:sz w:val="20"/>
                <w:szCs w:val="20"/>
              </w:rPr>
            </w:pPr>
            <w:r>
              <w:rPr>
                <w:sz w:val="20"/>
                <w:szCs w:val="20"/>
              </w:rPr>
              <w:t>Agree</w:t>
            </w:r>
          </w:p>
          <w:p w14:paraId="32E85153" w14:textId="0930F70F" w:rsidR="00F128FA" w:rsidRPr="006934EF" w:rsidRDefault="00F128FA" w:rsidP="00063B48">
            <w:pPr>
              <w:pStyle w:val="a2"/>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a2"/>
              <w:jc w:val="center"/>
              <w:rPr>
                <w:sz w:val="20"/>
                <w:szCs w:val="20"/>
              </w:rPr>
            </w:pPr>
            <w:r w:rsidRPr="006934EF">
              <w:rPr>
                <w:sz w:val="20"/>
                <w:szCs w:val="20"/>
              </w:rPr>
              <w:t>Comments</w:t>
            </w:r>
          </w:p>
        </w:tc>
      </w:tr>
      <w:tr w:rsidR="006726A9" w14:paraId="78A2B1B8" w14:textId="77777777" w:rsidTr="00BF306B">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BF306B">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BF306B">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BF306B">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BF306B">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BF306B">
        <w:tc>
          <w:tcPr>
            <w:tcW w:w="1872" w:type="dxa"/>
            <w:vAlign w:val="center"/>
          </w:tcPr>
          <w:p w14:paraId="068E1652" w14:textId="52BD1AFB"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Malgun Gothic" w:hAnsi="Arial" w:cs="Arial" w:hint="eastAsia"/>
                <w:szCs w:val="20"/>
              </w:rPr>
              <w:t>Same view with Ericsson.</w:t>
            </w:r>
          </w:p>
        </w:tc>
      </w:tr>
      <w:tr w:rsidR="00E36739" w:rsidRPr="00AF7D6E" w14:paraId="22CB14B9" w14:textId="77777777" w:rsidTr="00BF306B">
        <w:tc>
          <w:tcPr>
            <w:tcW w:w="1872" w:type="dxa"/>
            <w:vAlign w:val="center"/>
          </w:tcPr>
          <w:p w14:paraId="6C2603AF" w14:textId="63E6D4CC"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292" w:type="dxa"/>
            <w:vAlign w:val="center"/>
          </w:tcPr>
          <w:p w14:paraId="0968544D" w14:textId="297E93EA"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0276CE0A" w14:textId="27F0F2AB" w:rsidR="00E36739" w:rsidRDefault="00E36739" w:rsidP="00AC3084">
            <w:pPr>
              <w:rPr>
                <w:rFonts w:ascii="Arial" w:eastAsia="Malgun Gothic" w:hAnsi="Arial" w:cs="Arial"/>
                <w:szCs w:val="20"/>
              </w:rPr>
            </w:pPr>
            <w:r>
              <w:rPr>
                <w:rFonts w:ascii="Arial" w:eastAsia="Malgun Gothic" w:hAnsi="Arial" w:cs="Arial"/>
                <w:szCs w:val="20"/>
              </w:rPr>
              <w:t>We explain above why Nokia's reasoning is correct in general but not here.</w:t>
            </w:r>
            <w:r w:rsidR="00910E62">
              <w:rPr>
                <w:rFonts w:ascii="Arial" w:eastAsia="Malgun Gothic" w:hAnsi="Arial" w:cs="Arial"/>
                <w:szCs w:val="20"/>
              </w:rPr>
              <w:t xml:space="preserve"> We think our point was missed.</w:t>
            </w:r>
          </w:p>
        </w:tc>
      </w:tr>
      <w:tr w:rsidR="00663D0F" w:rsidRPr="00AF7D6E" w14:paraId="31122D43" w14:textId="77777777" w:rsidTr="00BF306B">
        <w:tc>
          <w:tcPr>
            <w:tcW w:w="1872" w:type="dxa"/>
            <w:vAlign w:val="center"/>
          </w:tcPr>
          <w:p w14:paraId="6B3B676B" w14:textId="4F7210A5" w:rsidR="00663D0F" w:rsidRDefault="00663D0F" w:rsidP="00AC3084">
            <w:pPr>
              <w:jc w:val="center"/>
              <w:rPr>
                <w:rFonts w:ascii="Arial" w:eastAsia="Malgun Gothic" w:hAnsi="Arial" w:cs="Arial"/>
                <w:szCs w:val="20"/>
              </w:rPr>
            </w:pPr>
            <w:r>
              <w:rPr>
                <w:rFonts w:ascii="Arial" w:eastAsia="Malgun Gothic" w:hAnsi="Arial" w:cs="Arial"/>
                <w:szCs w:val="20"/>
              </w:rPr>
              <w:t>MediaTek</w:t>
            </w:r>
          </w:p>
        </w:tc>
        <w:tc>
          <w:tcPr>
            <w:tcW w:w="1292" w:type="dxa"/>
            <w:vAlign w:val="center"/>
          </w:tcPr>
          <w:p w14:paraId="60FB689C" w14:textId="4453CF27" w:rsidR="00663D0F" w:rsidRDefault="00663D0F"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27E90283" w14:textId="77777777" w:rsidR="00663D0F" w:rsidRDefault="00663D0F" w:rsidP="00AC3084">
            <w:pPr>
              <w:rPr>
                <w:rFonts w:ascii="Arial" w:eastAsia="Malgun Gothic" w:hAnsi="Arial" w:cs="Arial"/>
                <w:szCs w:val="20"/>
              </w:rPr>
            </w:pPr>
          </w:p>
        </w:tc>
      </w:tr>
      <w:tr w:rsidR="00293D42" w:rsidRPr="00AF7D6E" w14:paraId="125D8959" w14:textId="77777777" w:rsidTr="00BF306B">
        <w:tc>
          <w:tcPr>
            <w:tcW w:w="1872" w:type="dxa"/>
            <w:vAlign w:val="center"/>
          </w:tcPr>
          <w:p w14:paraId="5A36DE1C" w14:textId="754C3809" w:rsidR="00293D42" w:rsidRPr="00293D42" w:rsidRDefault="00293D42" w:rsidP="00AC3084">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92" w:type="dxa"/>
            <w:vAlign w:val="center"/>
          </w:tcPr>
          <w:p w14:paraId="05F3C053" w14:textId="451C180A" w:rsidR="00293D42" w:rsidRPr="00293D42" w:rsidRDefault="00293D42" w:rsidP="00AC3084">
            <w:pPr>
              <w:jc w:val="center"/>
              <w:rPr>
                <w:rFonts w:ascii="Arial" w:hAnsi="Arial" w:cs="Arial"/>
                <w:szCs w:val="20"/>
              </w:rPr>
            </w:pPr>
            <w:r>
              <w:rPr>
                <w:rFonts w:ascii="Arial" w:hAnsi="Arial" w:cs="Arial"/>
                <w:szCs w:val="20"/>
              </w:rPr>
              <w:t xml:space="preserve">Yes </w:t>
            </w:r>
          </w:p>
        </w:tc>
        <w:tc>
          <w:tcPr>
            <w:tcW w:w="6215" w:type="dxa"/>
          </w:tcPr>
          <w:p w14:paraId="7325F60F" w14:textId="77777777" w:rsidR="00293D42" w:rsidRDefault="00293D42" w:rsidP="00AC3084">
            <w:pPr>
              <w:rPr>
                <w:rFonts w:ascii="Arial" w:eastAsia="Malgun Gothic" w:hAnsi="Arial" w:cs="Arial"/>
                <w:szCs w:val="20"/>
              </w:rPr>
            </w:pPr>
          </w:p>
        </w:tc>
      </w:tr>
      <w:tr w:rsidR="00BF306B" w:rsidRPr="00AF7D6E" w14:paraId="0AFB3CD9" w14:textId="77777777" w:rsidTr="00BF306B">
        <w:tc>
          <w:tcPr>
            <w:tcW w:w="1872" w:type="dxa"/>
            <w:vAlign w:val="center"/>
          </w:tcPr>
          <w:p w14:paraId="28D1874A" w14:textId="22FE8F7D" w:rsidR="00BF306B" w:rsidRDefault="00BF306B" w:rsidP="00BF306B">
            <w:pPr>
              <w:jc w:val="center"/>
              <w:rPr>
                <w:rFonts w:ascii="Arial" w:hAnsi="Arial" w:cs="Arial" w:hint="eastAsia"/>
                <w:szCs w:val="20"/>
              </w:rPr>
            </w:pPr>
            <w:r>
              <w:rPr>
                <w:rFonts w:ascii="Arial" w:hAnsi="Arial" w:cs="Arial" w:hint="eastAsia"/>
                <w:szCs w:val="20"/>
              </w:rPr>
              <w:lastRenderedPageBreak/>
              <w:t>v</w:t>
            </w:r>
            <w:r>
              <w:rPr>
                <w:rFonts w:ascii="Arial" w:hAnsi="Arial" w:cs="Arial"/>
                <w:szCs w:val="20"/>
              </w:rPr>
              <w:t>ivo</w:t>
            </w:r>
          </w:p>
        </w:tc>
        <w:tc>
          <w:tcPr>
            <w:tcW w:w="1292" w:type="dxa"/>
            <w:vAlign w:val="center"/>
          </w:tcPr>
          <w:p w14:paraId="093FF462" w14:textId="1AD3767E" w:rsidR="00BF306B" w:rsidRDefault="00BF306B" w:rsidP="00BF306B">
            <w:pPr>
              <w:jc w:val="center"/>
              <w:rPr>
                <w:rFonts w:ascii="Arial" w:hAnsi="Arial" w:cs="Arial"/>
                <w:szCs w:val="20"/>
              </w:rPr>
            </w:pPr>
            <w:r>
              <w:rPr>
                <w:rFonts w:ascii="Arial" w:eastAsia="Malgun Gothic" w:hAnsi="Arial" w:cs="Arial"/>
                <w:szCs w:val="20"/>
              </w:rPr>
              <w:t>Yes</w:t>
            </w:r>
          </w:p>
        </w:tc>
        <w:tc>
          <w:tcPr>
            <w:tcW w:w="6215" w:type="dxa"/>
          </w:tcPr>
          <w:p w14:paraId="758F068D" w14:textId="77777777" w:rsidR="00BF306B" w:rsidRDefault="00BF306B" w:rsidP="00BF306B">
            <w:pPr>
              <w:rPr>
                <w:rFonts w:ascii="Arial" w:eastAsia="Malgun Gothic" w:hAnsi="Arial" w:cs="Arial"/>
                <w:szCs w:val="20"/>
              </w:rPr>
            </w:pPr>
          </w:p>
        </w:tc>
      </w:tr>
    </w:tbl>
    <w:p w14:paraId="0145BEEF" w14:textId="6E606BCC" w:rsidR="006726A9" w:rsidRDefault="006726A9" w:rsidP="006726A9">
      <w:pPr>
        <w:pStyle w:val="Doc-text2"/>
        <w:ind w:left="0" w:firstLine="0"/>
        <w:rPr>
          <w:lang w:val="en-GB" w:eastAsia="en-GB"/>
        </w:rPr>
      </w:pPr>
    </w:p>
    <w:p w14:paraId="087102E9" w14:textId="77777777" w:rsidR="006F38A7" w:rsidRPr="00B15290" w:rsidRDefault="006F38A7" w:rsidP="006F38A7">
      <w:pPr>
        <w:pStyle w:val="a2"/>
        <w:rPr>
          <w:rFonts w:ascii="Arial" w:hAnsi="Arial" w:cs="Arial"/>
          <w:sz w:val="20"/>
          <w:highlight w:val="yellow"/>
        </w:rPr>
      </w:pPr>
      <w:r w:rsidRPr="00B15290">
        <w:rPr>
          <w:rFonts w:ascii="Arial" w:hAnsi="Arial" w:cs="Arial"/>
          <w:sz w:val="20"/>
          <w:highlight w:val="yellow"/>
        </w:rPr>
        <w:t>Summary:</w:t>
      </w:r>
    </w:p>
    <w:p w14:paraId="72895E09" w14:textId="7321A5BD" w:rsidR="006F38A7" w:rsidRPr="00B53E16" w:rsidRDefault="006F38A7" w:rsidP="006F38A7">
      <w:pPr>
        <w:pStyle w:val="a2"/>
        <w:rPr>
          <w:rFonts w:ascii="Arial" w:hAnsi="Arial" w:cs="Arial"/>
          <w:sz w:val="20"/>
        </w:rPr>
      </w:pPr>
      <w:r w:rsidRPr="00B53E16">
        <w:rPr>
          <w:rFonts w:ascii="Arial" w:hAnsi="Arial" w:cs="Arial"/>
          <w:sz w:val="20"/>
          <w:highlight w:val="yellow"/>
        </w:rPr>
        <w:t xml:space="preserve">Based on Proposal </w:t>
      </w:r>
      <w:r w:rsidR="00E453CC">
        <w:rPr>
          <w:rFonts w:ascii="Arial" w:hAnsi="Arial" w:cs="Arial"/>
          <w:sz w:val="20"/>
          <w:highlight w:val="yellow"/>
        </w:rPr>
        <w:t>8</w:t>
      </w:r>
      <w:r w:rsidRPr="00B53E16">
        <w:rPr>
          <w:rFonts w:ascii="Arial" w:hAnsi="Arial" w:cs="Arial"/>
          <w:sz w:val="20"/>
          <w:highlight w:val="yellow"/>
        </w:rPr>
        <w:t>, no proposal will be provided for this question.</w:t>
      </w:r>
      <w:r w:rsidRPr="00B53E16">
        <w:rPr>
          <w:rFonts w:ascii="Arial" w:hAnsi="Arial" w:cs="Arial"/>
          <w:sz w:val="20"/>
        </w:rPr>
        <w:t xml:space="preserve"> </w:t>
      </w:r>
    </w:p>
    <w:p w14:paraId="160CE9C6" w14:textId="77777777" w:rsidR="006F38A7" w:rsidRPr="00C54E69" w:rsidRDefault="006F38A7" w:rsidP="006726A9">
      <w:pPr>
        <w:pStyle w:val="Doc-text2"/>
        <w:ind w:left="0" w:firstLine="0"/>
        <w:rPr>
          <w:lang w:val="en-GB" w:eastAsia="en-GB"/>
        </w:rPr>
      </w:pPr>
    </w:p>
    <w:p w14:paraId="4DFDAC86" w14:textId="15D5F211" w:rsidR="00C01F33" w:rsidRPr="00CE0424" w:rsidRDefault="005D0EDB" w:rsidP="00CE0424">
      <w:pPr>
        <w:pStyle w:val="1"/>
      </w:pPr>
      <w:r>
        <w:t xml:space="preserve">4 </w:t>
      </w:r>
      <w:r w:rsidR="00C01F33" w:rsidRPr="00CE0424">
        <w:t>Conclusion</w:t>
      </w:r>
    </w:p>
    <w:p w14:paraId="2328FD59" w14:textId="77777777" w:rsidR="002A0991" w:rsidRDefault="002A0991" w:rsidP="002A0991">
      <w:pPr>
        <w:pStyle w:val="a2"/>
      </w:pPr>
      <w:r>
        <w:t>Rapporteur would like to thank all companies participating in the email discussion. In summary, based on the discussion the following is proposed:</w:t>
      </w:r>
    </w:p>
    <w:p w14:paraId="57F89E83" w14:textId="09756909" w:rsidR="002A0991" w:rsidRPr="002A0991" w:rsidRDefault="002A0991" w:rsidP="002A0991">
      <w:pPr>
        <w:pStyle w:val="a2"/>
        <w:rPr>
          <w:i/>
        </w:rPr>
      </w:pPr>
      <w:r>
        <w:rPr>
          <w:i/>
        </w:rPr>
        <w:t>On</w:t>
      </w:r>
      <w:r w:rsidRPr="002A0991">
        <w:rPr>
          <w:i/>
        </w:rPr>
        <w:t xml:space="preserve"> RAN4 EMR requirement:</w:t>
      </w:r>
    </w:p>
    <w:p w14:paraId="30DFA778" w14:textId="77777777" w:rsidR="002A0991" w:rsidRPr="002A0991" w:rsidRDefault="002A0991" w:rsidP="002A0991">
      <w:pPr>
        <w:spacing w:before="156" w:line="276" w:lineRule="auto"/>
        <w:ind w:left="993" w:hanging="993"/>
        <w:rPr>
          <w:rFonts w:ascii="Arial" w:hAnsi="Arial" w:cs="Arial"/>
          <w:b/>
        </w:rPr>
      </w:pPr>
      <w:r w:rsidRPr="002A0991">
        <w:rPr>
          <w:rFonts w:ascii="Arial" w:hAnsi="Arial" w:cs="Arial"/>
          <w:b/>
        </w:rPr>
        <w:t>Proposal 1: CRs in R2-2101074, R2-2100564 and R2-2100565 are not pursued.</w:t>
      </w:r>
    </w:p>
    <w:p w14:paraId="77DE4466" w14:textId="77777777" w:rsidR="002A0991" w:rsidRPr="002A0991" w:rsidRDefault="002A0991" w:rsidP="002A0991">
      <w:pPr>
        <w:spacing w:before="156" w:line="276" w:lineRule="auto"/>
        <w:ind w:left="993" w:hanging="993"/>
        <w:rPr>
          <w:rFonts w:ascii="Arial" w:hAnsi="Arial" w:cs="Arial"/>
          <w:b/>
        </w:rPr>
      </w:pPr>
      <w:r w:rsidRPr="002A0991">
        <w:rPr>
          <w:rFonts w:ascii="Arial" w:hAnsi="Arial" w:cs="Arial"/>
          <w:b/>
        </w:rPr>
        <w:t>Proposal 2: RAN2 understands based on RAN4 defined EMR requirement, UE will not report out-of-date measurement results in EMR report. (Thus no LS is needed)</w:t>
      </w:r>
    </w:p>
    <w:p w14:paraId="768BF4FA" w14:textId="236DEDEF" w:rsidR="002A0991" w:rsidRPr="002A0991" w:rsidRDefault="002A0991" w:rsidP="006B4E9D">
      <w:pPr>
        <w:pStyle w:val="a2"/>
        <w:rPr>
          <w:i/>
        </w:rPr>
      </w:pPr>
      <w:r w:rsidRPr="002A0991">
        <w:rPr>
          <w:i/>
        </w:rPr>
        <w:t>On serving cell reporting for EMR</w:t>
      </w:r>
      <w:r w:rsidRPr="002A0991">
        <w:rPr>
          <w:i/>
        </w:rPr>
        <w:t>:</w:t>
      </w:r>
    </w:p>
    <w:p w14:paraId="1886032D" w14:textId="77777777" w:rsidR="002A0991" w:rsidRPr="002A0991" w:rsidRDefault="002A0991" w:rsidP="002A0991">
      <w:pPr>
        <w:spacing w:before="156" w:line="276" w:lineRule="auto"/>
        <w:ind w:left="1276" w:hanging="1276"/>
        <w:rPr>
          <w:rFonts w:ascii="Arial" w:hAnsi="Arial" w:cs="Arial"/>
          <w:b/>
        </w:rPr>
      </w:pPr>
      <w:r w:rsidRPr="002A0991">
        <w:rPr>
          <w:rFonts w:ascii="Arial" w:hAnsi="Arial" w:cs="Arial"/>
          <w:b/>
        </w:rPr>
        <w:t xml:space="preserve">Proposal 3: </w:t>
      </w:r>
      <w:r w:rsidRPr="002A0991">
        <w:rPr>
          <w:rFonts w:ascii="Arial" w:hAnsi="Arial"/>
          <w:b/>
          <w:lang w:eastAsia="en-GB"/>
        </w:rPr>
        <w:t>UE can report serving cell results in EMR report, even if only NR inter frequencies or E-UTRAN frequencies are configured for EMR.</w:t>
      </w:r>
    </w:p>
    <w:p w14:paraId="1FDD2DAB" w14:textId="77777777" w:rsidR="002A0991" w:rsidRPr="002A0991" w:rsidRDefault="002A0991" w:rsidP="002A0991">
      <w:pPr>
        <w:spacing w:before="156" w:line="276" w:lineRule="auto"/>
        <w:ind w:left="1276" w:hanging="1276"/>
        <w:rPr>
          <w:rFonts w:ascii="Arial" w:hAnsi="Arial" w:cs="Arial"/>
          <w:b/>
        </w:rPr>
      </w:pPr>
      <w:r w:rsidRPr="002A0991">
        <w:rPr>
          <w:rFonts w:ascii="Arial" w:hAnsi="Arial" w:cs="Arial"/>
          <w:b/>
        </w:rPr>
        <w:t xml:space="preserve">Proposal 4: </w:t>
      </w:r>
      <w:r w:rsidRPr="002A0991">
        <w:rPr>
          <w:rFonts w:ascii="Arial" w:hAnsi="Arial"/>
          <w:b/>
          <w:lang w:eastAsia="en-GB"/>
        </w:rPr>
        <w:t xml:space="preserve">Irrespective of </w:t>
      </w:r>
      <w:r w:rsidRPr="002A0991">
        <w:rPr>
          <w:rFonts w:ascii="Arial" w:hAnsi="Arial"/>
          <w:b/>
          <w:i/>
          <w:lang w:eastAsia="en-GB"/>
        </w:rPr>
        <w:t>reportQuantities</w:t>
      </w:r>
      <w:r w:rsidRPr="002A0991">
        <w:rPr>
          <w:rFonts w:ascii="Arial" w:hAnsi="Arial"/>
          <w:b/>
          <w:lang w:eastAsia="en-GB"/>
        </w:rPr>
        <w:t xml:space="preserve"> configuration, UE reports both RSRP and RSRQ results of serving cell in EMR.</w:t>
      </w:r>
    </w:p>
    <w:p w14:paraId="032DBD63" w14:textId="77777777" w:rsidR="002A0991" w:rsidRPr="002A0991" w:rsidRDefault="002A0991" w:rsidP="002A0991">
      <w:pPr>
        <w:spacing w:before="156" w:line="276" w:lineRule="auto"/>
        <w:ind w:left="1276" w:hanging="1276"/>
        <w:rPr>
          <w:rFonts w:ascii="Arial" w:hAnsi="Arial" w:cs="Arial"/>
          <w:b/>
        </w:rPr>
      </w:pPr>
      <w:r w:rsidRPr="002A0991">
        <w:rPr>
          <w:rFonts w:ascii="Arial" w:hAnsi="Arial" w:cs="Arial"/>
          <w:b/>
        </w:rPr>
        <w:t xml:space="preserve">Proposal 5: No need to capture in SPEC how UE performs cell level serving cell measurement derivation for EMR case. </w:t>
      </w:r>
    </w:p>
    <w:p w14:paraId="4DE1AD83" w14:textId="77777777" w:rsidR="002A0991" w:rsidRPr="002A0991" w:rsidRDefault="002A0991" w:rsidP="002A0991">
      <w:pPr>
        <w:spacing w:before="156" w:line="276" w:lineRule="auto"/>
        <w:ind w:left="1276" w:hanging="1276"/>
        <w:rPr>
          <w:rFonts w:ascii="Arial" w:hAnsi="Arial" w:cs="Arial"/>
          <w:b/>
        </w:rPr>
      </w:pPr>
      <w:r w:rsidRPr="002A0991">
        <w:rPr>
          <w:rFonts w:ascii="Arial" w:hAnsi="Arial" w:cs="Arial"/>
          <w:b/>
        </w:rPr>
        <w:t xml:space="preserve">Proposal 6: The UE includes beam level reporting for the serving cell only if there is a configuration for the serving frequency, which includes </w:t>
      </w:r>
      <w:r w:rsidRPr="002A0991">
        <w:rPr>
          <w:rFonts w:ascii="Arial" w:hAnsi="Arial" w:cs="Arial"/>
          <w:b/>
          <w:i/>
        </w:rPr>
        <w:t>beamMeasConfigIdle</w:t>
      </w:r>
      <w:r w:rsidRPr="002A0991">
        <w:rPr>
          <w:rFonts w:ascii="Arial" w:hAnsi="Arial" w:cs="Arial"/>
          <w:b/>
        </w:rPr>
        <w:t xml:space="preserve">, in </w:t>
      </w:r>
      <w:r w:rsidRPr="002A0991">
        <w:rPr>
          <w:rFonts w:ascii="Arial" w:hAnsi="Arial" w:cs="Arial"/>
          <w:b/>
          <w:i/>
        </w:rPr>
        <w:t>measIdleCarrierListNR</w:t>
      </w:r>
      <w:r w:rsidRPr="002A0991">
        <w:rPr>
          <w:rFonts w:ascii="Arial" w:hAnsi="Arial" w:cs="Arial"/>
          <w:b/>
        </w:rPr>
        <w:t xml:space="preserve"> in </w:t>
      </w:r>
      <w:r w:rsidRPr="002A0991">
        <w:rPr>
          <w:rFonts w:ascii="Arial" w:hAnsi="Arial" w:cs="Arial"/>
          <w:b/>
          <w:i/>
        </w:rPr>
        <w:t>VarMeasIdleConfig</w:t>
      </w:r>
      <w:r w:rsidRPr="002A0991">
        <w:rPr>
          <w:rFonts w:ascii="Arial" w:hAnsi="Arial" w:cs="Arial"/>
          <w:b/>
        </w:rPr>
        <w:t xml:space="preserve">. In that case the reporting is based on the corresponding configuration in </w:t>
      </w:r>
      <w:r w:rsidRPr="002A0991">
        <w:rPr>
          <w:rFonts w:ascii="Arial" w:hAnsi="Arial" w:cs="Arial"/>
          <w:b/>
          <w:i/>
        </w:rPr>
        <w:t>beamMeasConfigIdle</w:t>
      </w:r>
      <w:r w:rsidRPr="002A0991">
        <w:rPr>
          <w:rFonts w:ascii="Arial" w:hAnsi="Arial" w:cs="Arial"/>
          <w:b/>
        </w:rPr>
        <w:t xml:space="preserve">. </w:t>
      </w:r>
    </w:p>
    <w:p w14:paraId="20DE558D" w14:textId="77777777" w:rsidR="002A0991" w:rsidRPr="002A0991" w:rsidRDefault="002A0991" w:rsidP="002A0991">
      <w:pPr>
        <w:spacing w:before="156" w:line="276" w:lineRule="auto"/>
        <w:ind w:left="1276" w:hanging="1276"/>
        <w:rPr>
          <w:rFonts w:ascii="Arial" w:hAnsi="Arial" w:cs="Arial"/>
          <w:b/>
        </w:rPr>
      </w:pPr>
      <w:r w:rsidRPr="002A0991">
        <w:rPr>
          <w:rFonts w:ascii="Arial" w:hAnsi="Arial" w:cs="Arial"/>
          <w:b/>
        </w:rPr>
        <w:t xml:space="preserve">Proposal 7:  Update TS 36.331, TS 38.331 CRs (provided in R2-2101090) based on Proposal 3~6 for phase 2 discussion. </w:t>
      </w:r>
    </w:p>
    <w:p w14:paraId="50FB6904" w14:textId="45F18A4F" w:rsidR="002A0991" w:rsidRPr="002A0991" w:rsidRDefault="002A0991" w:rsidP="002A0991">
      <w:pPr>
        <w:pStyle w:val="a2"/>
        <w:rPr>
          <w:i/>
        </w:rPr>
      </w:pPr>
      <w:r w:rsidRPr="002A0991">
        <w:rPr>
          <w:i/>
        </w:rPr>
        <w:t>Clarification on beam reporting</w:t>
      </w:r>
      <w:r w:rsidRPr="002A0991">
        <w:rPr>
          <w:i/>
        </w:rPr>
        <w:t>:</w:t>
      </w:r>
    </w:p>
    <w:p w14:paraId="69077639" w14:textId="165AA611" w:rsidR="00C01F33" w:rsidRPr="00D47AC0" w:rsidRDefault="002A0991" w:rsidP="00D47AC0">
      <w:pPr>
        <w:spacing w:before="156" w:line="276" w:lineRule="auto"/>
        <w:ind w:left="1276" w:hanging="1276"/>
        <w:rPr>
          <w:rFonts w:ascii="Arial" w:hAnsi="Arial" w:cs="Arial"/>
          <w:b/>
        </w:rPr>
      </w:pPr>
      <w:r w:rsidRPr="002A0991">
        <w:rPr>
          <w:rFonts w:ascii="Arial" w:hAnsi="Arial" w:cs="Arial"/>
          <w:b/>
        </w:rPr>
        <w:t xml:space="preserve">Proposal 8: RAN2 understands UE only includes beam level measurement results when it supports the beam level idle/inactive measurement and reporting capability, but no SPEC change is needed. </w:t>
      </w:r>
    </w:p>
    <w:p w14:paraId="5E4F4E88" w14:textId="588F4A45" w:rsidR="00F507D1" w:rsidRPr="00CE0424" w:rsidRDefault="005D0EDB" w:rsidP="00CE0424">
      <w:pPr>
        <w:pStyle w:val="1"/>
      </w:pPr>
      <w:bookmarkStart w:id="5" w:name="_In-sequence_SDU_delivery"/>
      <w:bookmarkEnd w:id="5"/>
      <w:r>
        <w:t xml:space="preserve">5 </w:t>
      </w:r>
      <w:r w:rsidR="00F507D1"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2"/>
      </w:pPr>
    </w:p>
    <w:sectPr w:rsidR="003A7EF3" w:rsidRPr="00CE0424" w:rsidSect="00C473A5">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D3F46" w14:textId="77777777" w:rsidR="00E63F3F" w:rsidRDefault="00E63F3F">
      <w:r>
        <w:separator/>
      </w:r>
    </w:p>
  </w:endnote>
  <w:endnote w:type="continuationSeparator" w:id="0">
    <w:p w14:paraId="6EED685F" w14:textId="77777777" w:rsidR="00E63F3F" w:rsidRDefault="00E63F3F">
      <w:r>
        <w:continuationSeparator/>
      </w:r>
    </w:p>
  </w:endnote>
  <w:endnote w:type="continuationNotice" w:id="1">
    <w:p w14:paraId="739CC3D0" w14:textId="77777777" w:rsidR="00E63F3F" w:rsidRDefault="00E6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FA9C4" w14:textId="77777777" w:rsidR="005B240E" w:rsidRDefault="005B240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612AB847" w:rsidR="005B240E" w:rsidRDefault="005B240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05EE3">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05EE3">
      <w:rPr>
        <w:rStyle w:val="ae"/>
      </w:rPr>
      <w:t>21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5536" w14:textId="77777777" w:rsidR="005B240E" w:rsidRDefault="005B240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4628" w14:textId="77777777" w:rsidR="00E63F3F" w:rsidRDefault="00E63F3F">
      <w:r>
        <w:separator/>
      </w:r>
    </w:p>
  </w:footnote>
  <w:footnote w:type="continuationSeparator" w:id="0">
    <w:p w14:paraId="7D52ABD4" w14:textId="77777777" w:rsidR="00E63F3F" w:rsidRDefault="00E63F3F">
      <w:r>
        <w:continuationSeparator/>
      </w:r>
    </w:p>
  </w:footnote>
  <w:footnote w:type="continuationNotice" w:id="1">
    <w:p w14:paraId="22A9EAEC" w14:textId="77777777" w:rsidR="00E63F3F" w:rsidRDefault="00E63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B240E" w:rsidRDefault="005B24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810C1" w14:textId="77777777" w:rsidR="005B240E" w:rsidRDefault="005B240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01378" w14:textId="77777777" w:rsidR="005B240E" w:rsidRDefault="005B240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75965B6"/>
    <w:multiLevelType w:val="hybridMultilevel"/>
    <w:tmpl w:val="3036F760"/>
    <w:lvl w:ilvl="0" w:tplc="D9427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4402ED"/>
    <w:multiLevelType w:val="hybridMultilevel"/>
    <w:tmpl w:val="FEC2E698"/>
    <w:lvl w:ilvl="0" w:tplc="72ACB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7069C8"/>
    <w:multiLevelType w:val="hybridMultilevel"/>
    <w:tmpl w:val="BF5E2028"/>
    <w:lvl w:ilvl="0" w:tplc="F2C4E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584DB3"/>
    <w:multiLevelType w:val="hybridMultilevel"/>
    <w:tmpl w:val="932224EA"/>
    <w:lvl w:ilvl="0" w:tplc="370AE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6">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21"/>
  </w:num>
  <w:num w:numId="4">
    <w:abstractNumId w:val="23"/>
  </w:num>
  <w:num w:numId="5">
    <w:abstractNumId w:val="16"/>
  </w:num>
  <w:num w:numId="6">
    <w:abstractNumId w:val="29"/>
  </w:num>
  <w:num w:numId="7">
    <w:abstractNumId w:val="36"/>
  </w:num>
  <w:num w:numId="8">
    <w:abstractNumId w:val="17"/>
  </w:num>
  <w:num w:numId="9">
    <w:abstractNumId w:val="14"/>
  </w:num>
  <w:num w:numId="10">
    <w:abstractNumId w:val="2"/>
  </w:num>
  <w:num w:numId="11">
    <w:abstractNumId w:val="1"/>
  </w:num>
  <w:num w:numId="12">
    <w:abstractNumId w:val="0"/>
  </w:num>
  <w:num w:numId="13">
    <w:abstractNumId w:val="32"/>
  </w:num>
  <w:num w:numId="14">
    <w:abstractNumId w:val="34"/>
  </w:num>
  <w:num w:numId="15">
    <w:abstractNumId w:val="27"/>
  </w:num>
  <w:num w:numId="16">
    <w:abstractNumId w:val="39"/>
  </w:num>
  <w:num w:numId="17">
    <w:abstractNumId w:val="10"/>
  </w:num>
  <w:num w:numId="18">
    <w:abstractNumId w:val="11"/>
  </w:num>
  <w:num w:numId="19">
    <w:abstractNumId w:val="6"/>
  </w:num>
  <w:num w:numId="20">
    <w:abstractNumId w:val="44"/>
  </w:num>
  <w:num w:numId="21">
    <w:abstractNumId w:val="18"/>
  </w:num>
  <w:num w:numId="22">
    <w:abstractNumId w:val="43"/>
  </w:num>
  <w:num w:numId="23">
    <w:abstractNumId w:val="40"/>
  </w:num>
  <w:num w:numId="24">
    <w:abstractNumId w:val="7"/>
  </w:num>
  <w:num w:numId="25">
    <w:abstractNumId w:val="45"/>
  </w:num>
  <w:num w:numId="26">
    <w:abstractNumId w:val="31"/>
  </w:num>
  <w:num w:numId="27">
    <w:abstractNumId w:val="12"/>
  </w:num>
  <w:num w:numId="28">
    <w:abstractNumId w:val="24"/>
  </w:num>
  <w:num w:numId="29">
    <w:abstractNumId w:val="20"/>
  </w:num>
  <w:num w:numId="30">
    <w:abstractNumId w:val="13"/>
  </w:num>
  <w:num w:numId="31">
    <w:abstractNumId w:val="9"/>
  </w:num>
  <w:num w:numId="32">
    <w:abstractNumId w:val="33"/>
  </w:num>
  <w:num w:numId="33">
    <w:abstractNumId w:val="46"/>
  </w:num>
  <w:num w:numId="34">
    <w:abstractNumId w:val="22"/>
  </w:num>
  <w:num w:numId="35">
    <w:abstractNumId w:val="38"/>
  </w:num>
  <w:num w:numId="36">
    <w:abstractNumId w:val="15"/>
  </w:num>
  <w:num w:numId="37">
    <w:abstractNumId w:val="35"/>
  </w:num>
  <w:num w:numId="38">
    <w:abstractNumId w:val="28"/>
  </w:num>
  <w:num w:numId="39">
    <w:abstractNumId w:val="4"/>
  </w:num>
  <w:num w:numId="40">
    <w:abstractNumId w:val="19"/>
  </w:num>
  <w:num w:numId="41">
    <w:abstractNumId w:val="42"/>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8"/>
  </w:num>
  <w:num w:numId="45">
    <w:abstractNumId w:val="41"/>
  </w:num>
  <w:num w:numId="46">
    <w:abstractNumId w:val="37"/>
  </w:num>
  <w:num w:numId="4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displayBackgroundShap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45B87"/>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220F"/>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87AD5"/>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3D42"/>
    <w:rsid w:val="00296227"/>
    <w:rsid w:val="00296F44"/>
    <w:rsid w:val="0029777D"/>
    <w:rsid w:val="002A055E"/>
    <w:rsid w:val="002A0991"/>
    <w:rsid w:val="002A1D4E"/>
    <w:rsid w:val="002A2869"/>
    <w:rsid w:val="002B24D6"/>
    <w:rsid w:val="002B422B"/>
    <w:rsid w:val="002B438A"/>
    <w:rsid w:val="002B4509"/>
    <w:rsid w:val="002C41E6"/>
    <w:rsid w:val="002D03CC"/>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5EE3"/>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315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6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CD"/>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2952"/>
    <w:rsid w:val="0058798C"/>
    <w:rsid w:val="005900FA"/>
    <w:rsid w:val="005935A4"/>
    <w:rsid w:val="005948C2"/>
    <w:rsid w:val="00595DCA"/>
    <w:rsid w:val="0059779B"/>
    <w:rsid w:val="005A1A03"/>
    <w:rsid w:val="005A209A"/>
    <w:rsid w:val="005A400E"/>
    <w:rsid w:val="005A662D"/>
    <w:rsid w:val="005A7753"/>
    <w:rsid w:val="005B1409"/>
    <w:rsid w:val="005B240E"/>
    <w:rsid w:val="005B35D7"/>
    <w:rsid w:val="005B392A"/>
    <w:rsid w:val="005B3AA3"/>
    <w:rsid w:val="005B4E08"/>
    <w:rsid w:val="005B6F83"/>
    <w:rsid w:val="005C6D5C"/>
    <w:rsid w:val="005C74FB"/>
    <w:rsid w:val="005D02F8"/>
    <w:rsid w:val="005D0EDB"/>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20A6"/>
    <w:rsid w:val="00655733"/>
    <w:rsid w:val="00655ACD"/>
    <w:rsid w:val="00656A92"/>
    <w:rsid w:val="00656DDE"/>
    <w:rsid w:val="0066011D"/>
    <w:rsid w:val="006607C0"/>
    <w:rsid w:val="006613A6"/>
    <w:rsid w:val="006627A2"/>
    <w:rsid w:val="006634E6"/>
    <w:rsid w:val="00663D0F"/>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C38"/>
    <w:rsid w:val="006A5E28"/>
    <w:rsid w:val="006A697B"/>
    <w:rsid w:val="006A7AFF"/>
    <w:rsid w:val="006B1816"/>
    <w:rsid w:val="006B2099"/>
    <w:rsid w:val="006B4E9D"/>
    <w:rsid w:val="006B50CF"/>
    <w:rsid w:val="006C03B8"/>
    <w:rsid w:val="006C0B4C"/>
    <w:rsid w:val="006C20E7"/>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8A7"/>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6210"/>
    <w:rsid w:val="007571E1"/>
    <w:rsid w:val="00757A16"/>
    <w:rsid w:val="00757E11"/>
    <w:rsid w:val="00760087"/>
    <w:rsid w:val="007604B2"/>
    <w:rsid w:val="0076224B"/>
    <w:rsid w:val="00765281"/>
    <w:rsid w:val="00766BAD"/>
    <w:rsid w:val="007729A2"/>
    <w:rsid w:val="00773EF0"/>
    <w:rsid w:val="00774671"/>
    <w:rsid w:val="00775242"/>
    <w:rsid w:val="007755F2"/>
    <w:rsid w:val="00776971"/>
    <w:rsid w:val="00780A80"/>
    <w:rsid w:val="0078177E"/>
    <w:rsid w:val="00782B4A"/>
    <w:rsid w:val="0078304C"/>
    <w:rsid w:val="00783673"/>
    <w:rsid w:val="00785490"/>
    <w:rsid w:val="0079204C"/>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1640"/>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8EE"/>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0D8"/>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15FC"/>
    <w:rsid w:val="00B02AA9"/>
    <w:rsid w:val="00B02FA3"/>
    <w:rsid w:val="00B05084"/>
    <w:rsid w:val="00B072A0"/>
    <w:rsid w:val="00B12567"/>
    <w:rsid w:val="00B15290"/>
    <w:rsid w:val="00B157F9"/>
    <w:rsid w:val="00B170FA"/>
    <w:rsid w:val="00B20256"/>
    <w:rsid w:val="00B20D09"/>
    <w:rsid w:val="00B24CA6"/>
    <w:rsid w:val="00B2763F"/>
    <w:rsid w:val="00B27AAC"/>
    <w:rsid w:val="00B30929"/>
    <w:rsid w:val="00B330C4"/>
    <w:rsid w:val="00B3355D"/>
    <w:rsid w:val="00B372AA"/>
    <w:rsid w:val="00B40445"/>
    <w:rsid w:val="00B409E0"/>
    <w:rsid w:val="00B41888"/>
    <w:rsid w:val="00B45A52"/>
    <w:rsid w:val="00B46175"/>
    <w:rsid w:val="00B5127C"/>
    <w:rsid w:val="00B53E16"/>
    <w:rsid w:val="00B540CA"/>
    <w:rsid w:val="00B548B7"/>
    <w:rsid w:val="00B56504"/>
    <w:rsid w:val="00B6282A"/>
    <w:rsid w:val="00B63EB9"/>
    <w:rsid w:val="00B642E4"/>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2154"/>
    <w:rsid w:val="00BD48AC"/>
    <w:rsid w:val="00BD5F1A"/>
    <w:rsid w:val="00BE1234"/>
    <w:rsid w:val="00BE2FA6"/>
    <w:rsid w:val="00BE333F"/>
    <w:rsid w:val="00BE6E26"/>
    <w:rsid w:val="00BE7406"/>
    <w:rsid w:val="00BE7603"/>
    <w:rsid w:val="00BF306B"/>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5F1A"/>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2461"/>
    <w:rsid w:val="00CB3004"/>
    <w:rsid w:val="00CB7170"/>
    <w:rsid w:val="00CC040E"/>
    <w:rsid w:val="00CC111F"/>
    <w:rsid w:val="00CC1278"/>
    <w:rsid w:val="00CC2011"/>
    <w:rsid w:val="00CC38CB"/>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47AC0"/>
    <w:rsid w:val="00D546FF"/>
    <w:rsid w:val="00D55AD5"/>
    <w:rsid w:val="00D576CA"/>
    <w:rsid w:val="00D6178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14FB"/>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20C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05DA"/>
    <w:rsid w:val="00E446F1"/>
    <w:rsid w:val="00E453CC"/>
    <w:rsid w:val="00E46886"/>
    <w:rsid w:val="00E47AEF"/>
    <w:rsid w:val="00E53B75"/>
    <w:rsid w:val="00E54E3B"/>
    <w:rsid w:val="00E57565"/>
    <w:rsid w:val="00E63838"/>
    <w:rsid w:val="00E63F3F"/>
    <w:rsid w:val="00E64434"/>
    <w:rsid w:val="00E67C51"/>
    <w:rsid w:val="00E70E82"/>
    <w:rsid w:val="00E72EFC"/>
    <w:rsid w:val="00E746C2"/>
    <w:rsid w:val="00E758EC"/>
    <w:rsid w:val="00E8234C"/>
    <w:rsid w:val="00E83AA9"/>
    <w:rsid w:val="00E83E77"/>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46D0"/>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3789"/>
    <w:rsid w:val="00F4766C"/>
    <w:rsid w:val="00F5060E"/>
    <w:rsid w:val="00F507D1"/>
    <w:rsid w:val="00F519CE"/>
    <w:rsid w:val="00F51ADA"/>
    <w:rsid w:val="00F51F7C"/>
    <w:rsid w:val="00F527A9"/>
    <w:rsid w:val="00F60203"/>
    <w:rsid w:val="00F607C5"/>
    <w:rsid w:val="00F60C51"/>
    <w:rsid w:val="00F60DEA"/>
    <w:rsid w:val="00F62930"/>
    <w:rsid w:val="00F6302A"/>
    <w:rsid w:val="00F63950"/>
    <w:rsid w:val="00F642B2"/>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18"/>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405DA"/>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pBdr>
        <w:top w:val="none" w:sz="0" w:space="0" w:color="auto"/>
      </w:pBdr>
      <w:spacing w:before="180"/>
      <w:ind w:left="576" w:hanging="576"/>
      <w:outlineLvl w:val="1"/>
    </w:pPr>
    <w:rPr>
      <w:sz w:val="32"/>
    </w:rPr>
  </w:style>
  <w:style w:type="paragraph" w:styleId="31">
    <w:name w:val="heading 3"/>
    <w:basedOn w:val="21"/>
    <w:next w:val="a1"/>
    <w:link w:val="3Char"/>
    <w:qFormat/>
    <w:rsid w:val="008D00A5"/>
    <w:pPr>
      <w:spacing w:before="120"/>
      <w:ind w:left="720" w:hanging="720"/>
      <w:outlineLvl w:val="2"/>
    </w:pPr>
    <w:rPr>
      <w:sz w:val="28"/>
    </w:rPr>
  </w:style>
  <w:style w:type="paragraph" w:styleId="40">
    <w:name w:val="heading 4"/>
    <w:aliases w:val="h4"/>
    <w:basedOn w:val="31"/>
    <w:next w:val="a1"/>
    <w:link w:val="4Char"/>
    <w:qFormat/>
    <w:rsid w:val="008D00A5"/>
    <w:pPr>
      <w:outlineLvl w:val="3"/>
    </w:pPr>
    <w:rPr>
      <w:sz w:val="24"/>
    </w:rPr>
  </w:style>
  <w:style w:type="paragraph" w:styleId="50">
    <w:name w:val="heading 5"/>
    <w:basedOn w:val="40"/>
    <w:next w:val="a1"/>
    <w:link w:val="5Char"/>
    <w:qFormat/>
    <w:rsid w:val="008D00A5"/>
    <w:pPr>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8B13CC"/>
    <w:pPr>
      <w:numPr>
        <w:ilvl w:val="7"/>
        <w:numId w:val="25"/>
      </w:numPr>
      <w:overflowPunct w:val="0"/>
      <w:adjustRightInd w:val="0"/>
      <w:outlineLvl w:val="7"/>
    </w:pPr>
    <w:rPr>
      <w:rFonts w:ascii="Times New Roman" w:eastAsia="宋体" w:hAnsi="Times New Roman" w:cs="Times New Roman"/>
      <w:color w:val="000000"/>
      <w:szCs w:val="20"/>
      <w:lang w:eastAsia="ja-JP"/>
    </w:rPr>
  </w:style>
  <w:style w:type="paragraph" w:styleId="9">
    <w:name w:val="heading 9"/>
    <w:basedOn w:val="8"/>
    <w:next w:val="a1"/>
    <w:link w:val="9Char"/>
    <w:qFormat/>
    <w:rsid w:val="008D00A5"/>
    <w:pPr>
      <w:numPr>
        <w:ilvl w:val="0"/>
        <w:numId w:val="0"/>
      </w:numPr>
      <w:ind w:left="1584" w:hanging="1584"/>
      <w:outlineLvl w:val="8"/>
    </w:pPr>
  </w:style>
  <w:style w:type="character" w:default="1" w:styleId="a3">
    <w:name w:val="Default Paragraph Font"/>
    <w:uiPriority w:val="1"/>
    <w:unhideWhenUsed/>
    <w:rsid w:val="00E405DA"/>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E405D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8B13CC"/>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正文文本 Char"/>
    <w:basedOn w:val="a3"/>
    <w:link w:val="a2"/>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8B13CC"/>
    <w:rPr>
      <w:rFonts w:ascii="Times New Roman" w:hAnsi="Times New Roman"/>
      <w:color w:val="000000"/>
      <w:lang w:val="en-US" w:eastAsia="ja-JP"/>
    </w:rPr>
  </w:style>
  <w:style w:type="character" w:customStyle="1" w:styleId="9Char">
    <w:name w:val="标题 9 Char"/>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11"/>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12">
    <w:name w:val="未处理的提及1"/>
    <w:basedOn w:val="a3"/>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 w:id="833689237">
      <w:bodyDiv w:val="1"/>
      <w:marLeft w:val="0"/>
      <w:marRight w:val="0"/>
      <w:marTop w:val="0"/>
      <w:marBottom w:val="0"/>
      <w:divBdr>
        <w:top w:val="none" w:sz="0" w:space="0" w:color="auto"/>
        <w:left w:val="none" w:sz="0" w:space="0" w:color="auto"/>
        <w:bottom w:val="none" w:sz="0" w:space="0" w:color="auto"/>
        <w:right w:val="none" w:sz="0" w:space="0" w:color="auto"/>
      </w:divBdr>
    </w:div>
    <w:div w:id="179687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3.zip" TargetMode="External"/><Relationship Id="rId39" Type="http://schemas.openxmlformats.org/officeDocument/2006/relationships/hyperlink" Target="https://www.3gpp.org/ftp/TSG_RAN/WG2_RL2/TSGR2_113-e/Docs/R2-2100127.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0566.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9" Type="http://schemas.openxmlformats.org/officeDocument/2006/relationships/hyperlink" Target="https://www.3gpp.org/ftp/TSG_RAN/WG2_RL2/TSGR2_113-e/Docs/R2-21005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image" Target="media/image1.emf"/><Relationship Id="rId37" Type="http://schemas.openxmlformats.org/officeDocument/2006/relationships/hyperlink" Target="https://www.3gpp.org/ftp/TSG_RAN/WG2_RL2/TSGR2_113-e/Docs/R2-2101073.zip" TargetMode="External"/><Relationship Id="rId40" Type="http://schemas.openxmlformats.org/officeDocument/2006/relationships/hyperlink" Target="https://www.3gpp.org/ftp/TSG_RAN/WG2_RL2/TSGR2_113-e/Docs/R2-2101692.zip"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4.zip" TargetMode="External"/><Relationship Id="rId36" Type="http://schemas.openxmlformats.org/officeDocument/2006/relationships/hyperlink" Target="https://www.3gpp.org/ftp/TSG_RAN/WG2_RL2/TSGR2_113-e/Docs/R2-2100567.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hyperlink" Target="https://www.3gpp.org/ftp/TSG_RAN/WG2_RL2/TSGR2_113-e/Docs/R2-210056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1074.zip" TargetMode="External"/><Relationship Id="rId30" Type="http://schemas.openxmlformats.org/officeDocument/2006/relationships/hyperlink" Target="https://www.3gpp.org/ftp/TSG_RAN/WG2_RL2/TSGR2_113-e/Docs/R2-2100563.zip" TargetMode="External"/><Relationship Id="rId35" Type="http://schemas.openxmlformats.org/officeDocument/2006/relationships/hyperlink" Target="https://www.3gpp.org/ftp/TSG_RAN/WG2_RL2/TSGR2_113-e/Docs/R2-2101090.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mailto:david.lecompte@huawei.com" TargetMode="External"/><Relationship Id="rId33" Type="http://schemas.openxmlformats.org/officeDocument/2006/relationships/oleObject" Target="embeddings/oleObject1.bin"/><Relationship Id="rId38" Type="http://schemas.openxmlformats.org/officeDocument/2006/relationships/hyperlink" Target="https://www.3gpp.org/ftp/TSG_RAN/WG2_RL2/TSGR2_113-e/Docs/R2-2101693.zip" TargetMode="External"/><Relationship Id="rId46" Type="http://schemas.openxmlformats.org/officeDocument/2006/relationships/footer" Target="footer3.xml"/><Relationship Id="rId20" Type="http://schemas.openxmlformats.org/officeDocument/2006/relationships/hyperlink" Target="https://www.3gpp.org/ftp/TSG_RAN/WG2_RL2/TSGR2_113-e/Docs/R2-2101693.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D83EC66-78A0-42F8-BA6E-BF0B4528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21</Pages>
  <Words>6915</Words>
  <Characters>39419</Characters>
  <Application>Microsoft Office Word</Application>
  <DocSecurity>0</DocSecurity>
  <Lines>328</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46242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cp:lastModifiedBy>
  <cp:revision>16</cp:revision>
  <cp:lastPrinted>2008-01-31T07:09:00Z</cp:lastPrinted>
  <dcterms:created xsi:type="dcterms:W3CDTF">2021-01-29T03:37:00Z</dcterms:created>
  <dcterms:modified xsi:type="dcterms:W3CDTF">2021-01-29T11:08:00Z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y fmtid="{D5CDD505-2E9C-101B-9397-08002B2CF9AE}" pid="8" name="NSCPROP_SA">
    <vt:lpwstr>C:\Users\s_dg.kim\Downloads\[AT113-e][222][DCCA] Serving cell measurement and EMR requirements- v8_MTK.docx</vt:lpwstr>
  </property>
</Properties>
</file>