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r w:rsidR="00F81422">
        <w:rPr>
          <w:rFonts w:cs="Arial" w:hint="eastAsia"/>
          <w:b/>
          <w:bCs/>
          <w:kern w:val="0"/>
          <w:sz w:val="24"/>
          <w:vertAlign w:val="superscript"/>
        </w:rPr>
        <w:t>th</w:t>
      </w:r>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3" w:tooltip="C:Data3GPPExtractsR2-2100569 Report of Email discussion[155][REDCAP] RRM relaxations.docx" w:history="1">
        <w:r w:rsidRPr="00066886">
          <w:rPr>
            <w:rStyle w:val="aff4"/>
          </w:rPr>
          <w:t>R2-2100569</w:t>
        </w:r>
      </w:hyperlink>
      <w:r>
        <w:rPr>
          <w:rStyle w:val="aff4"/>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66886">
          <w:rPr>
            <w:rStyle w:val="aff4"/>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5"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aff7"/>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Huawei, HiSilicon</w:t>
            </w:r>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lastRenderedPageBreak/>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Malgun Gothic"/>
                <w:lang w:eastAsia="ko-KR"/>
              </w:rPr>
            </w:pPr>
            <w:r w:rsidRPr="00F2018B">
              <w:rPr>
                <w:rFonts w:eastAsia="Malgun Gothic"/>
                <w:lang w:eastAsia="ko-KR"/>
              </w:rPr>
              <w:t>pradeep[dot]jose[at]mediatek[dot]com</w:t>
            </w:r>
          </w:p>
        </w:tc>
      </w:tr>
      <w:tr w:rsidR="00306880" w:rsidRPr="00DC70CB" w14:paraId="15031CC8" w14:textId="77777777" w:rsidTr="004D3510">
        <w:tc>
          <w:tcPr>
            <w:tcW w:w="2547" w:type="dxa"/>
          </w:tcPr>
          <w:p w14:paraId="4220A610" w14:textId="3861FA6B" w:rsidR="00306880" w:rsidRPr="00F2018B" w:rsidRDefault="00306880" w:rsidP="008633C4">
            <w:r>
              <w:t>Futurewei</w:t>
            </w:r>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bl>
    <w:p w14:paraId="691B320A" w14:textId="77777777" w:rsidR="00EE5BDF" w:rsidRPr="00DC70CB" w:rsidRDefault="00EE5BDF" w:rsidP="00EE5BDF">
      <w:pPr>
        <w:rPr>
          <w:lang w:val="fr-FR"/>
        </w:rPr>
      </w:pPr>
    </w:p>
    <w:p w14:paraId="0471FDEC" w14:textId="20B1D1CF" w:rsidR="001065B8" w:rsidRDefault="00E33451"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SsearchDeltaP_stationary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4: Introduce an additional SsearchDeltaP_correction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5: Introduce additional TSearchDeltaP_stationary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lastRenderedPageBreak/>
        <w:t xml:space="preserve">Enhancement 1: UE can stop measurements on neighbor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only perform measurements on a number of dedicated intra-freq, inter-freq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aff7"/>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aff7"/>
        <w:tblW w:w="9526" w:type="dxa"/>
        <w:tblInd w:w="250" w:type="dxa"/>
        <w:tblLook w:val="04A0" w:firstRow="1" w:lastRow="0" w:firstColumn="1" w:lastColumn="0" w:noHBand="0" w:noVBand="1"/>
      </w:tblPr>
      <w:tblGrid>
        <w:gridCol w:w="1884"/>
        <w:gridCol w:w="1442"/>
        <w:gridCol w:w="6200"/>
      </w:tblGrid>
      <w:tr w:rsidR="00FA74EB" w14:paraId="7F5AE8B5" w14:textId="77777777" w:rsidTr="001C2707">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1C2707">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1C2707">
        <w:tc>
          <w:tcPr>
            <w:tcW w:w="1884" w:type="dxa"/>
          </w:tcPr>
          <w:p w14:paraId="11A8F802" w14:textId="2106CA88" w:rsidR="00E33451" w:rsidRPr="00FA74EB" w:rsidRDefault="00BE3B94" w:rsidP="00C92799">
            <w:pPr>
              <w:rPr>
                <w:sz w:val="20"/>
                <w:szCs w:val="20"/>
              </w:rPr>
            </w:pPr>
            <w:r w:rsidRPr="00BE3B94">
              <w:rPr>
                <w:sz w:val="20"/>
                <w:szCs w:val="20"/>
              </w:rPr>
              <w:t>Huawei, HiSilicon</w:t>
            </w:r>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1C2707">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1C2707">
        <w:tc>
          <w:tcPr>
            <w:tcW w:w="1884" w:type="dxa"/>
          </w:tcPr>
          <w:p w14:paraId="5DC1AA0E" w14:textId="568ABF8A" w:rsidR="00637EBD" w:rsidRDefault="00637EBD" w:rsidP="00C92799">
            <w:pPr>
              <w:rPr>
                <w:sz w:val="20"/>
                <w:szCs w:val="20"/>
              </w:rPr>
            </w:pPr>
            <w:r>
              <w:rPr>
                <w:sz w:val="20"/>
                <w:szCs w:val="20"/>
              </w:rPr>
              <w:lastRenderedPageBreak/>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1C2707">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1C2707">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1C2707">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1C2707">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1C2707">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1C2707">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1C2707">
        <w:tc>
          <w:tcPr>
            <w:tcW w:w="1884" w:type="dxa"/>
          </w:tcPr>
          <w:p w14:paraId="0DF20512" w14:textId="07E00687" w:rsidR="00FB0B72" w:rsidRDefault="00FB0B72" w:rsidP="0007297C">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07297C">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1C2707">
        <w:tc>
          <w:tcPr>
            <w:tcW w:w="1884" w:type="dxa"/>
          </w:tcPr>
          <w:p w14:paraId="0C8CEC67" w14:textId="4D93C6C8" w:rsidR="001C2707" w:rsidRDefault="001C2707" w:rsidP="001C2707">
            <w:pPr>
              <w:rPr>
                <w:rFonts w:eastAsia="Malgun Gothic"/>
                <w:sz w:val="20"/>
                <w:szCs w:val="20"/>
                <w:lang w:eastAsia="ko-KR"/>
              </w:rPr>
            </w:pPr>
            <w:r>
              <w:rPr>
                <w:sz w:val="20"/>
                <w:szCs w:val="20"/>
              </w:rPr>
              <w:t>MediaTek</w:t>
            </w:r>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1C2707">
        <w:tc>
          <w:tcPr>
            <w:tcW w:w="1884" w:type="dxa"/>
          </w:tcPr>
          <w:p w14:paraId="7A69D76E" w14:textId="2214FA59" w:rsidR="00306880" w:rsidRDefault="00306880" w:rsidP="001C2707">
            <w:pPr>
              <w:rPr>
                <w:sz w:val="20"/>
                <w:szCs w:val="20"/>
              </w:rPr>
            </w:pPr>
            <w:r>
              <w:rPr>
                <w:sz w:val="20"/>
                <w:szCs w:val="20"/>
              </w:rPr>
              <w:t>Futurewei</w:t>
            </w:r>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1C2707">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1C2707">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bl>
    <w:p w14:paraId="069E9CCC" w14:textId="77777777" w:rsidR="00FB0B72" w:rsidRDefault="00FB0B72"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aff7"/>
        <w:tblW w:w="0" w:type="auto"/>
        <w:tblInd w:w="250" w:type="dxa"/>
        <w:tblLook w:val="04A0" w:firstRow="1" w:lastRow="0" w:firstColumn="1" w:lastColumn="0" w:noHBand="0" w:noVBand="1"/>
      </w:tblPr>
      <w:tblGrid>
        <w:gridCol w:w="1647"/>
        <w:gridCol w:w="1740"/>
        <w:gridCol w:w="6134"/>
      </w:tblGrid>
      <w:tr w:rsidR="00AF6745" w14:paraId="0583E004" w14:textId="77777777" w:rsidTr="00BB5F92">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BB5F92">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Pls note that C-DRX operation is part of RRC_CONNECTED and RedCap UEs can benefit from relaxations here.</w:t>
            </w:r>
          </w:p>
        </w:tc>
      </w:tr>
      <w:tr w:rsidR="00BE3B94" w14:paraId="29DBEE42" w14:textId="77777777" w:rsidTr="00BB5F92">
        <w:tc>
          <w:tcPr>
            <w:tcW w:w="1647" w:type="dxa"/>
          </w:tcPr>
          <w:p w14:paraId="7D52CC97" w14:textId="6C074F61" w:rsidR="00BE3B94" w:rsidRPr="00FA74EB" w:rsidRDefault="00BE3B94" w:rsidP="00BE3B94">
            <w:pPr>
              <w:rPr>
                <w:sz w:val="20"/>
                <w:szCs w:val="20"/>
              </w:rPr>
            </w:pPr>
            <w:r w:rsidRPr="00BE3B94">
              <w:rPr>
                <w:sz w:val="20"/>
                <w:szCs w:val="20"/>
              </w:rPr>
              <w:t>Huawei, HiSilicon</w:t>
            </w:r>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BB5F92">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donot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w:t>
            </w:r>
            <w:r>
              <w:rPr>
                <w:color w:val="C00000"/>
                <w:sz w:val="20"/>
                <w:szCs w:val="20"/>
              </w:rPr>
              <w:lastRenderedPageBreak/>
              <w:t>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BB5F92">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BB5F92">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BB5F92">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Among the three use cases for RedCap,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BB5F92">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RRM relaxation in RRC_CONNECTED has benefits for power saving of RedCap UEs. Seems it may be quite difficult to get consensus on the priority at this stage, then it might be possible to be left to RANP or WI phase.</w:t>
            </w:r>
          </w:p>
        </w:tc>
      </w:tr>
      <w:tr w:rsidR="00395B24" w14:paraId="06B1A6BC" w14:textId="77777777" w:rsidTr="00BB5F92">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BB5F92">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BB5F92">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 xml:space="preserve">If something is agreed to be done for RRC_CONNECTED, the gains </w:t>
            </w:r>
            <w:r>
              <w:rPr>
                <w:sz w:val="20"/>
                <w:szCs w:val="20"/>
              </w:rPr>
              <w:lastRenderedPageBreak/>
              <w:t>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PowSav. </w:t>
            </w:r>
          </w:p>
        </w:tc>
      </w:tr>
      <w:tr w:rsidR="00BB5F92" w14:paraId="01F04F8E" w14:textId="77777777" w:rsidTr="00BB5F92">
        <w:tc>
          <w:tcPr>
            <w:tcW w:w="1647" w:type="dxa"/>
          </w:tcPr>
          <w:p w14:paraId="65DDBC50" w14:textId="725DB4B7" w:rsidR="00BB5F92" w:rsidRDefault="00BB5F92" w:rsidP="0007297C">
            <w:pPr>
              <w:rPr>
                <w:rFonts w:eastAsia="Malgun Gothic"/>
                <w:sz w:val="20"/>
                <w:szCs w:val="20"/>
                <w:lang w:eastAsia="ko-KR"/>
              </w:rPr>
            </w:pPr>
            <w:r>
              <w:rPr>
                <w:sz w:val="20"/>
                <w:szCs w:val="20"/>
              </w:rPr>
              <w:lastRenderedPageBreak/>
              <w:t>Nokia</w:t>
            </w:r>
          </w:p>
        </w:tc>
        <w:tc>
          <w:tcPr>
            <w:tcW w:w="1740" w:type="dxa"/>
          </w:tcPr>
          <w:p w14:paraId="068E399C" w14:textId="0299B4DD" w:rsidR="00BB5F92" w:rsidRDefault="00BB5F92" w:rsidP="0007297C">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RRM relaxations for IDLE/INACTIVE were introduced in Rel-16 and RedCap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BB5F92">
        <w:tc>
          <w:tcPr>
            <w:tcW w:w="1647" w:type="dxa"/>
          </w:tcPr>
          <w:p w14:paraId="48FF81C1" w14:textId="6A089CEC" w:rsidR="003056FE" w:rsidRDefault="003056FE" w:rsidP="003056FE">
            <w:pPr>
              <w:rPr>
                <w:sz w:val="20"/>
                <w:szCs w:val="20"/>
              </w:rPr>
            </w:pPr>
            <w:r>
              <w:rPr>
                <w:sz w:val="20"/>
                <w:szCs w:val="20"/>
              </w:rPr>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BB5F92">
        <w:tc>
          <w:tcPr>
            <w:tcW w:w="1647" w:type="dxa"/>
          </w:tcPr>
          <w:p w14:paraId="36ACFE09" w14:textId="548629E4" w:rsidR="007D47D8" w:rsidRDefault="007D47D8" w:rsidP="007D47D8">
            <w:pPr>
              <w:rPr>
                <w:sz w:val="20"/>
                <w:szCs w:val="20"/>
              </w:rPr>
            </w:pPr>
            <w:r>
              <w:rPr>
                <w:sz w:val="20"/>
                <w:szCs w:val="20"/>
              </w:rPr>
              <w:t>Futurewei</w:t>
            </w:r>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BB5F92">
        <w:tc>
          <w:tcPr>
            <w:tcW w:w="1647" w:type="dxa"/>
          </w:tcPr>
          <w:p w14:paraId="7A15A623" w14:textId="5669B910" w:rsidR="00BB5ED3" w:rsidRDefault="00BB5ED3" w:rsidP="007D47D8">
            <w:pPr>
              <w:rPr>
                <w:sz w:val="20"/>
                <w:szCs w:val="20"/>
              </w:rPr>
            </w:pPr>
            <w:r>
              <w:rPr>
                <w:sz w:val="20"/>
                <w:szCs w:val="20"/>
              </w:rPr>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BB5F92">
        <w:tc>
          <w:tcPr>
            <w:tcW w:w="1647" w:type="dxa"/>
          </w:tcPr>
          <w:p w14:paraId="37FABE82" w14:textId="7CB36244"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bl>
    <w:p w14:paraId="4C43F368" w14:textId="77777777" w:rsidR="00BB5F92" w:rsidRDefault="00BB5F92"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aff7"/>
        <w:tblW w:w="0" w:type="auto"/>
        <w:tblInd w:w="250" w:type="dxa"/>
        <w:tblLook w:val="04A0" w:firstRow="1" w:lastRow="0" w:firstColumn="1" w:lastColumn="0" w:noHBand="0" w:noVBand="1"/>
      </w:tblPr>
      <w:tblGrid>
        <w:gridCol w:w="1647"/>
        <w:gridCol w:w="1740"/>
        <w:gridCol w:w="6134"/>
      </w:tblGrid>
      <w:tr w:rsidR="00AF6745" w14:paraId="5734F790" w14:textId="77777777" w:rsidTr="004B589B">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4B589B">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We would like to bring up another potential property of atleast certain RedCap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4B589B">
        <w:tc>
          <w:tcPr>
            <w:tcW w:w="1647" w:type="dxa"/>
          </w:tcPr>
          <w:p w14:paraId="5FBAE74A" w14:textId="3F01FFDD" w:rsidR="00AF6745" w:rsidRPr="00FA74EB" w:rsidRDefault="001A31A9" w:rsidP="00426E58">
            <w:pPr>
              <w:rPr>
                <w:sz w:val="20"/>
                <w:szCs w:val="20"/>
              </w:rPr>
            </w:pPr>
            <w:r w:rsidRPr="00BE3B94">
              <w:rPr>
                <w:sz w:val="20"/>
                <w:szCs w:val="20"/>
              </w:rPr>
              <w:t>Huawei, HiSilicon</w:t>
            </w:r>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gNB makes the decision.</w:t>
            </w:r>
          </w:p>
        </w:tc>
      </w:tr>
      <w:tr w:rsidR="00AF6745" w14:paraId="4CDC6FD1" w14:textId="77777777" w:rsidTr="004B589B">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lastRenderedPageBreak/>
              <w:t>triggering neighbour RRM relaxation in RRC_CONNECTED.</w:t>
            </w:r>
          </w:p>
        </w:tc>
      </w:tr>
      <w:tr w:rsidR="00637EBD" w14:paraId="69667A45" w14:textId="77777777" w:rsidTr="004B589B">
        <w:tc>
          <w:tcPr>
            <w:tcW w:w="1647" w:type="dxa"/>
          </w:tcPr>
          <w:p w14:paraId="388A787F" w14:textId="0C5F368C" w:rsidR="00637EBD" w:rsidRDefault="00637EBD" w:rsidP="00426E58">
            <w:pPr>
              <w:rPr>
                <w:sz w:val="20"/>
                <w:szCs w:val="20"/>
              </w:rPr>
            </w:pPr>
            <w:r>
              <w:rPr>
                <w:sz w:val="20"/>
                <w:szCs w:val="20"/>
              </w:rPr>
              <w:lastRenderedPageBreak/>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4B589B">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4B589B">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4B589B">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4B589B">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581A826A" w:rsidR="00395B24" w:rsidRDefault="00395B24" w:rsidP="00395B24">
            <w:pPr>
              <w:rPr>
                <w:sz w:val="20"/>
                <w:szCs w:val="20"/>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4B589B">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4B589B">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4B589B">
        <w:tc>
          <w:tcPr>
            <w:tcW w:w="1647" w:type="dxa"/>
          </w:tcPr>
          <w:p w14:paraId="5774CA87" w14:textId="23E6D400" w:rsidR="004B589B" w:rsidRDefault="004B589B" w:rsidP="0007297C">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07297C">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07297C">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e agree that any mechanism should be strictly under NW control.</w:t>
            </w:r>
          </w:p>
        </w:tc>
      </w:tr>
      <w:tr w:rsidR="003056FE" w14:paraId="27D7CAF1" w14:textId="77777777" w:rsidTr="004B589B">
        <w:tc>
          <w:tcPr>
            <w:tcW w:w="1647" w:type="dxa"/>
          </w:tcPr>
          <w:p w14:paraId="11758376" w14:textId="1F4C7CE6" w:rsidR="003056FE" w:rsidRDefault="003056FE" w:rsidP="003056FE">
            <w:pPr>
              <w:rPr>
                <w:rFonts w:eastAsia="Malgun Gothic"/>
                <w:sz w:val="20"/>
                <w:szCs w:val="20"/>
                <w:lang w:eastAsia="ko-KR"/>
              </w:rPr>
            </w:pPr>
            <w:r>
              <w:rPr>
                <w:sz w:val="20"/>
                <w:szCs w:val="20"/>
              </w:rPr>
              <w:t>MediaTek</w:t>
            </w:r>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We should aim to align solutions with the connected mode RLM discussions in Rel-17 power savings, to minimize specification and implementation effort.</w:t>
            </w:r>
          </w:p>
        </w:tc>
      </w:tr>
      <w:tr w:rsidR="007D47D8" w14:paraId="5DB115E8" w14:textId="77777777" w:rsidTr="004B589B">
        <w:tc>
          <w:tcPr>
            <w:tcW w:w="1647" w:type="dxa"/>
          </w:tcPr>
          <w:p w14:paraId="78C2269D" w14:textId="31736257" w:rsidR="007D47D8" w:rsidRDefault="007D47D8" w:rsidP="007D47D8">
            <w:pPr>
              <w:rPr>
                <w:sz w:val="20"/>
                <w:szCs w:val="20"/>
              </w:rPr>
            </w:pPr>
            <w:r>
              <w:rPr>
                <w:sz w:val="20"/>
                <w:szCs w:val="20"/>
              </w:rPr>
              <w:t>Futurewei</w:t>
            </w:r>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4B589B">
        <w:tc>
          <w:tcPr>
            <w:tcW w:w="1647" w:type="dxa"/>
          </w:tcPr>
          <w:p w14:paraId="3E2C07C6" w14:textId="2EB1BF36" w:rsidR="00F56A33" w:rsidRDefault="00F56A33" w:rsidP="007D47D8">
            <w:pPr>
              <w:rPr>
                <w:sz w:val="20"/>
                <w:szCs w:val="20"/>
              </w:rPr>
            </w:pPr>
            <w:r>
              <w:rPr>
                <w:sz w:val="20"/>
                <w:szCs w:val="20"/>
              </w:rPr>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4B589B">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bl>
    <w:p w14:paraId="19A48451" w14:textId="77777777" w:rsidR="004B589B" w:rsidRDefault="004B589B"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 xml:space="preserve">Huawei, </w:t>
            </w:r>
            <w:r w:rsidRPr="00BE3B94">
              <w:rPr>
                <w:sz w:val="20"/>
                <w:szCs w:val="20"/>
              </w:rPr>
              <w:lastRenderedPageBreak/>
              <w:t>HiSilicon</w:t>
            </w:r>
          </w:p>
        </w:tc>
        <w:tc>
          <w:tcPr>
            <w:tcW w:w="1742" w:type="dxa"/>
          </w:tcPr>
          <w:p w14:paraId="63F4C46D" w14:textId="31CC78B2" w:rsidR="00AF6745" w:rsidRPr="00FA74EB" w:rsidRDefault="009124F0" w:rsidP="00426E58">
            <w:pPr>
              <w:rPr>
                <w:sz w:val="20"/>
                <w:szCs w:val="20"/>
                <w:lang w:eastAsia="zh-CN"/>
              </w:rPr>
            </w:pPr>
            <w:r>
              <w:rPr>
                <w:sz w:val="20"/>
                <w:szCs w:val="20"/>
                <w:lang w:eastAsia="zh-CN"/>
              </w:rPr>
              <w:lastRenderedPageBreak/>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07297C">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r>
              <w:rPr>
                <w:sz w:val="20"/>
                <w:szCs w:val="20"/>
              </w:rPr>
              <w:t>MediaTek</w:t>
            </w:r>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r>
              <w:rPr>
                <w:sz w:val="20"/>
                <w:szCs w:val="20"/>
              </w:rPr>
              <w:t>Futurewei</w:t>
            </w:r>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bl>
    <w:p w14:paraId="4E8DD55E" w14:textId="77777777" w:rsidR="00684988" w:rsidRDefault="00684988"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Huawei, HiSilicon</w:t>
            </w:r>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lastRenderedPageBreak/>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RedCap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r w:rsidRPr="003C3557">
              <w:rPr>
                <w:color w:val="008ED3" w:themeColor="text1"/>
                <w:sz w:val="20"/>
                <w:szCs w:val="20"/>
              </w:rPr>
              <w:t>eDRX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legacy eDRX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eDRX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eDRX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donot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afffffffe"/>
              <w:numPr>
                <w:ilvl w:val="0"/>
                <w:numId w:val="41"/>
              </w:numPr>
              <w:ind w:left="215" w:hanging="215"/>
              <w:rPr>
                <w:sz w:val="20"/>
                <w:lang w:eastAsia="en-US"/>
              </w:rPr>
            </w:pPr>
            <w:r w:rsidRPr="00844414">
              <w:rPr>
                <w:sz w:val="20"/>
                <w:lang w:eastAsia="en-US"/>
              </w:rPr>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r w:rsidR="00027799">
              <w:rPr>
                <w:color w:val="C00000"/>
                <w:sz w:val="20"/>
                <w:u w:val="single"/>
                <w:lang w:eastAsia="en-US"/>
              </w:rPr>
              <w:t>eighbor</w:t>
            </w:r>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w:t>
            </w:r>
            <w:r w:rsidRPr="00844414">
              <w:rPr>
                <w:bCs/>
                <w:sz w:val="20"/>
              </w:rPr>
              <w:lastRenderedPageBreak/>
              <w:t xml:space="preserve">power consumption. </w:t>
            </w:r>
            <w:r w:rsidRPr="00844414">
              <w:rPr>
                <w:bCs/>
                <w:color w:val="C00000"/>
                <w:sz w:val="20"/>
              </w:rPr>
              <w:t>By introducing eDRX,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r w:rsidR="00027799">
              <w:rPr>
                <w:sz w:val="20"/>
                <w:lang w:eastAsia="en-US"/>
              </w:rPr>
              <w:t>eighbor</w:t>
            </w:r>
            <w:r w:rsidR="00844414">
              <w:rPr>
                <w:sz w:val="20"/>
                <w:lang w:eastAsia="en-US"/>
              </w:rPr>
              <w:t xml:space="preserve">; </w:t>
            </w:r>
          </w:p>
          <w:p w14:paraId="15420CF3" w14:textId="3BD96500" w:rsidR="008274EA" w:rsidRPr="008274EA" w:rsidRDefault="008274EA" w:rsidP="008274EA">
            <w:pPr>
              <w:pStyle w:val="afffffffe"/>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afffffffe"/>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r w:rsidR="00027799">
              <w:rPr>
                <w:bCs/>
                <w:color w:val="C00000"/>
                <w:sz w:val="20"/>
              </w:rPr>
              <w:t>eighbor</w:t>
            </w:r>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r w:rsidR="00027799">
              <w:rPr>
                <w:bCs/>
                <w:sz w:val="20"/>
              </w:rPr>
              <w:t>eighbor</w:t>
            </w:r>
            <w:r>
              <w:rPr>
                <w:bCs/>
                <w:sz w:val="20"/>
              </w:rPr>
              <w:t xml:space="preserve"> cell measurement, and then serving cell. The condition for triggering serving cell relaxation should be stricter than </w:t>
            </w:r>
            <w:r w:rsidR="00027799">
              <w:rPr>
                <w:bCs/>
                <w:sz w:val="20"/>
              </w:rPr>
              <w:pgNum/>
            </w:r>
            <w:r w:rsidR="00027799">
              <w:rPr>
                <w:bCs/>
                <w:sz w:val="20"/>
              </w:rPr>
              <w:t>eighbor</w:t>
            </w:r>
            <w:r>
              <w:rPr>
                <w:bCs/>
                <w:sz w:val="20"/>
              </w:rPr>
              <w:t xml:space="preserve"> cell). Then o</w:t>
            </w:r>
            <w:r w:rsidRPr="00844414">
              <w:rPr>
                <w:bCs/>
                <w:sz w:val="20"/>
              </w:rPr>
              <w:t xml:space="preserve">nce serving cell degrades rapidly, then </w:t>
            </w:r>
            <w:r w:rsidR="00027799">
              <w:rPr>
                <w:bCs/>
                <w:sz w:val="20"/>
              </w:rPr>
              <w:pgNum/>
            </w:r>
            <w:r w:rsidR="00027799">
              <w:rPr>
                <w:bCs/>
                <w:sz w:val="20"/>
              </w:rPr>
              <w:t>eighbor</w:t>
            </w:r>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afffffffe"/>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afffffffe"/>
              <w:numPr>
                <w:ilvl w:val="0"/>
                <w:numId w:val="41"/>
              </w:numPr>
              <w:ind w:left="215" w:hanging="215"/>
              <w:rPr>
                <w:sz w:val="20"/>
                <w:lang w:eastAsia="en-US"/>
              </w:rPr>
            </w:pPr>
            <w:r>
              <w:rPr>
                <w:sz w:val="20"/>
                <w:lang w:eastAsia="en-US"/>
              </w:rPr>
              <w:t xml:space="preserve">Regarding Vivo’s comment on eDRX, as we explained during online, we shouldn’t mix up “RRM requirement” with “RRM relaxation”. For eDRX, RAN4 will define corresponding RRM requirements for eDRX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afffffffe"/>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relaxation:</w:t>
            </w:r>
          </w:p>
          <w:p w14:paraId="0B6A67AB" w14:textId="77777777" w:rsidR="008274EA" w:rsidRDefault="008274EA" w:rsidP="008274EA">
            <w:pPr>
              <w:pStyle w:val="afffffffe"/>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afffffffe"/>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w:t>
            </w:r>
            <w:r>
              <w:rPr>
                <w:color w:val="008ED3" w:themeColor="text1"/>
                <w:sz w:val="20"/>
                <w:lang w:eastAsia="zh-CN"/>
              </w:rPr>
              <w:lastRenderedPageBreak/>
              <w:t xml:space="preserve">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In NR, we currently do not have RRM requirement for eDRX. If we defined corresponding RRM requirement for eDRX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(eDRXcycle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afffffffe"/>
              <w:ind w:left="215"/>
              <w:rPr>
                <w:sz w:val="20"/>
                <w:lang w:eastAsia="en-US"/>
              </w:rPr>
            </w:pPr>
            <w:r>
              <w:rPr>
                <w:rFonts w:hint="eastAsia"/>
                <w:color w:val="008ED3" w:themeColor="text1"/>
                <w:sz w:val="20"/>
                <w:lang w:eastAsia="zh-CN"/>
              </w:rPr>
              <w:t>I</w:t>
            </w:r>
            <w:r>
              <w:rPr>
                <w:color w:val="008ED3" w:themeColor="text1"/>
                <w:sz w:val="20"/>
                <w:lang w:eastAsia="zh-CN"/>
              </w:rPr>
              <w:t xml:space="preserve"> donot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Yes for RRC_CONNECTED. For RRC_IDLE, we have sympathy on the comments about the serving cell measurement for LTE eDRX. Maybe we can first check whether LTE serving cell measurement rule can be reused for NR if eDRX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We also agree with ZTE explanation w.r.t. RRM requirements during eDRX vs. additional RRM relaxation (i.e. we are talking about the latter here – eDRX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Malgun Gothic"/>
                <w:sz w:val="20"/>
                <w:szCs w:val="20"/>
                <w:lang w:eastAsia="ko-KR"/>
              </w:rPr>
            </w:pPr>
            <w:r>
              <w:rPr>
                <w:rFonts w:eastAsia="Malgun Gothic"/>
                <w:sz w:val="20"/>
                <w:szCs w:val="20"/>
                <w:lang w:eastAsia="ko-KR"/>
              </w:rPr>
              <w:t>Nokia</w:t>
            </w:r>
          </w:p>
        </w:tc>
        <w:tc>
          <w:tcPr>
            <w:tcW w:w="1742" w:type="dxa"/>
          </w:tcPr>
          <w:p w14:paraId="582F4F7F" w14:textId="35C8D45D" w:rsidR="00447D26" w:rsidRDefault="00447D26" w:rsidP="0007297C">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r>
              <w:rPr>
                <w:sz w:val="20"/>
                <w:szCs w:val="20"/>
              </w:rPr>
              <w:t>MediaTek</w:t>
            </w:r>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DRX/eDRX cycle</w:t>
            </w:r>
            <w:r w:rsidRPr="003436B1">
              <w:rPr>
                <w:sz w:val="20"/>
                <w:szCs w:val="20"/>
              </w:rPr>
              <w:t xml:space="preserve">. </w:t>
            </w:r>
          </w:p>
          <w:p w14:paraId="6A729F48" w14:textId="5A268CDE" w:rsidR="003056FE" w:rsidRDefault="003056FE" w:rsidP="003056FE">
            <w:pPr>
              <w:rPr>
                <w:sz w:val="20"/>
                <w:szCs w:val="20"/>
              </w:rPr>
            </w:pPr>
            <w:r>
              <w:rPr>
                <w:sz w:val="20"/>
                <w:szCs w:val="20"/>
              </w:rPr>
              <w:t xml:space="preserve">If we follow LTE baseline, RRM requirements for the serving cell are </w:t>
            </w:r>
            <w:r>
              <w:rPr>
                <w:sz w:val="20"/>
                <w:szCs w:val="20"/>
              </w:rPr>
              <w:lastRenderedPageBreak/>
              <w:t>a function of the eDRX cycle. Our understanding is that these are baseline RRM requirements, whereas we understand from vivo’s comments that they view this as RRM relaxation. Regardless, we both agree that serving cell RRM requirements will be a function of eDRX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r>
              <w:rPr>
                <w:sz w:val="20"/>
                <w:szCs w:val="20"/>
              </w:rPr>
              <w:lastRenderedPageBreak/>
              <w:t>Futurewei</w:t>
            </w:r>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bl>
    <w:p w14:paraId="3286238A" w14:textId="77777777" w:rsidR="00AF6745" w:rsidRDefault="00AF6745" w:rsidP="004D3510"/>
    <w:p w14:paraId="38B7BDF9" w14:textId="41CDB282"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afffffffe"/>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aff7"/>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宋体"/>
                <w:kern w:val="0"/>
                <w:sz w:val="24"/>
                <w:szCs w:val="20"/>
                <w:lang w:val="en-GB"/>
              </w:rPr>
            </w:pPr>
            <w:r w:rsidRPr="00DA3784">
              <w:rPr>
                <w:rFonts w:eastAsia="宋体"/>
                <w:kern w:val="0"/>
                <w:sz w:val="24"/>
                <w:szCs w:val="20"/>
                <w:lang w:val="en-GB"/>
              </w:rPr>
              <w:lastRenderedPageBreak/>
              <w:t>8.4.1.1</w:t>
            </w:r>
            <w:r w:rsidRPr="00DA3784">
              <w:rPr>
                <w:rFonts w:eastAsia="宋体"/>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For triggering neighbour cell RRM relaxation for RedCap UEs in RRC_IDLE and RRC_INACTIVE, based on Rel-16 triggering criterion, following enhancements can be considered</w:t>
            </w:r>
            <w:r w:rsidR="000541FA">
              <w:rPr>
                <w:rFonts w:ascii="Times New Roman" w:eastAsia="宋体"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DA3784">
              <w:rPr>
                <w:rFonts w:ascii="Times" w:eastAsia="宋体" w:hAnsi="Times" w:cs="Times"/>
                <w:b/>
                <w:kern w:val="0"/>
                <w:sz w:val="20"/>
                <w:szCs w:val="20"/>
                <w:lang w:val="en-GB" w:eastAsia="ja-JP"/>
              </w:rPr>
              <w:t>Enhancement 1:</w:t>
            </w:r>
            <w:r w:rsidRPr="00DA3784">
              <w:rPr>
                <w:rFonts w:ascii="Times" w:eastAsia="宋体" w:hAnsi="Times" w:cs="Times"/>
                <w:kern w:val="0"/>
                <w:sz w:val="20"/>
                <w:szCs w:val="20"/>
                <w:lang w:val="en-GB" w:eastAsia="ja-JP"/>
              </w:rPr>
              <w:t xml:space="preserve"> Introduce additional S</w:t>
            </w:r>
            <w:r w:rsidRPr="00DA3784">
              <w:rPr>
                <w:rFonts w:ascii="Times" w:eastAsia="宋体" w:hAnsi="Times" w:cs="Times"/>
                <w:kern w:val="0"/>
                <w:sz w:val="20"/>
                <w:szCs w:val="20"/>
                <w:vertAlign w:val="subscript"/>
                <w:lang w:val="en-GB" w:eastAsia="ja-JP"/>
              </w:rPr>
              <w:t xml:space="preserve">searchDeltaP_stationary </w:t>
            </w:r>
            <w:r w:rsidRPr="00DA3784">
              <w:rPr>
                <w:rFonts w:ascii="Times" w:eastAsia="宋体"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kern w:val="0"/>
                <w:sz w:val="20"/>
                <w:szCs w:val="20"/>
                <w:lang w:val="en-GB"/>
              </w:rPr>
            </w:pPr>
            <w:commentRangeStart w:id="2"/>
            <w:r w:rsidRPr="00DA3784">
              <w:rPr>
                <w:rFonts w:ascii="Times New Roman" w:eastAsia="宋体" w:hAnsi="Times New Roman"/>
                <w:kern w:val="0"/>
                <w:sz w:val="20"/>
                <w:szCs w:val="20"/>
                <w:lang w:val="en-GB"/>
              </w:rPr>
              <w:t>Stationary: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SearchDeltaP_stationary</w:t>
            </w:r>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r w:rsidRPr="00DA3784">
              <w:rPr>
                <w:rFonts w:ascii="Times New Roman" w:eastAsia="宋体" w:hAnsi="Times New Roman"/>
                <w:kern w:val="0"/>
                <w:sz w:val="20"/>
                <w:szCs w:val="20"/>
                <w:lang w:val="en-GB"/>
              </w:rPr>
              <w:t xml:space="preserve"> &lt;=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SearchDeltaP_low_mobility</w:t>
            </w:r>
            <w:commentRangeEnd w:id="2"/>
            <w:r>
              <w:rPr>
                <w:rStyle w:val="aff5"/>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commentRangeStart w:id="3"/>
            <w:r w:rsidRPr="00DA3784">
              <w:rPr>
                <w:rFonts w:ascii="Times" w:eastAsia="宋体" w:hAnsi="Times" w:cs="Times"/>
                <w:b/>
                <w:kern w:val="0"/>
                <w:sz w:val="20"/>
                <w:szCs w:val="20"/>
                <w:lang w:val="en-GB" w:eastAsia="ja-JP"/>
              </w:rPr>
              <w:t>Enhancement 2</w:t>
            </w:r>
            <w:commentRangeEnd w:id="3"/>
            <w:r w:rsidRPr="00DA3784">
              <w:rPr>
                <w:rFonts w:ascii="Times New Roman" w:eastAsia="宋体" w:hAnsi="Times New Roman"/>
                <w:kern w:val="0"/>
                <w:sz w:val="16"/>
                <w:szCs w:val="16"/>
                <w:lang w:val="en-GB"/>
              </w:rPr>
              <w:commentReference w:id="3"/>
            </w:r>
            <w:r w:rsidRPr="00DA3784">
              <w:rPr>
                <w:rFonts w:ascii="Times" w:eastAsia="宋体" w:hAnsi="Times" w:cs="Times"/>
                <w:b/>
                <w:kern w:val="0"/>
                <w:sz w:val="20"/>
                <w:szCs w:val="20"/>
                <w:lang w:val="en-GB" w:eastAsia="ja-JP"/>
              </w:rPr>
              <w:t xml:space="preserve">: </w:t>
            </w:r>
            <w:r w:rsidRPr="00DA3784">
              <w:rPr>
                <w:rFonts w:ascii="Times" w:eastAsia="宋体" w:hAnsi="Times" w:cs="Times"/>
                <w:kern w:val="0"/>
                <w:sz w:val="20"/>
                <w:szCs w:val="20"/>
                <w:lang w:val="en-GB" w:eastAsia="ja-JP"/>
              </w:rPr>
              <w:t>Introduce additional T</w:t>
            </w:r>
            <w:r w:rsidRPr="00DA3784">
              <w:rPr>
                <w:rFonts w:ascii="Times" w:eastAsia="宋体" w:hAnsi="Times" w:cs="Times"/>
                <w:kern w:val="0"/>
                <w:sz w:val="20"/>
                <w:szCs w:val="20"/>
                <w:vertAlign w:val="subscript"/>
                <w:lang w:val="en-GB" w:eastAsia="ja-JP"/>
              </w:rPr>
              <w:t xml:space="preserve">SearchDeltaP_stationary </w:t>
            </w:r>
            <w:r w:rsidRPr="00DA3784">
              <w:rPr>
                <w:rFonts w:ascii="Times" w:eastAsia="宋体"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宋体" w:hAnsi="Times New Roman"/>
                <w:color w:val="0070C0"/>
                <w:kern w:val="0"/>
                <w:sz w:val="20"/>
                <w:szCs w:val="20"/>
                <w:lang w:val="en-GB"/>
              </w:rPr>
            </w:pPr>
            <w:r w:rsidRPr="00DA3784">
              <w:rPr>
                <w:rFonts w:ascii="Times New Roman" w:eastAsia="宋体" w:hAnsi="Times New Roman"/>
                <w:color w:val="0070C0"/>
                <w:kern w:val="0"/>
                <w:sz w:val="20"/>
                <w:szCs w:val="20"/>
                <w:lang w:val="en-GB"/>
              </w:rPr>
              <w:t xml:space="preserve">Note: There can be synergies if Enhancement 1 </w:t>
            </w:r>
            <w:r w:rsidR="009152EC">
              <w:rPr>
                <w:rFonts w:ascii="Times New Roman" w:eastAsia="宋体" w:hAnsi="Times New Roman"/>
                <w:color w:val="0070C0"/>
                <w:kern w:val="0"/>
                <w:sz w:val="20"/>
                <w:szCs w:val="20"/>
                <w:lang w:val="en-GB"/>
              </w:rPr>
              <w:t xml:space="preserve">is combined </w:t>
            </w:r>
            <w:r w:rsidRPr="00DA3784">
              <w:rPr>
                <w:rFonts w:ascii="Times New Roman" w:eastAsia="宋体"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3: </w:t>
            </w:r>
            <w:r w:rsidRPr="00DA3784">
              <w:rPr>
                <w:rFonts w:ascii="Times" w:eastAsia="宋体" w:hAnsi="Times" w:cs="Times"/>
                <w:kern w:val="0"/>
                <w:sz w:val="20"/>
                <w:szCs w:val="20"/>
                <w:lang w:val="en-GB" w:eastAsia="ja-JP"/>
              </w:rPr>
              <w:t>Take into account of beam switching in low mobility evaluation, for example:</w:t>
            </w:r>
            <w:r w:rsidRPr="00DA3784">
              <w:rPr>
                <w:rFonts w:ascii="Times" w:eastAsia="宋体"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commentRangeStart w:id="4"/>
            <w:r w:rsidRPr="00DA3784">
              <w:rPr>
                <w:rFonts w:ascii="Times New Roman" w:eastAsia="宋体"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no beam switch and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SearchDeltaP_stationary</w:t>
            </w:r>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r w:rsidRPr="00DA3784">
              <w:rPr>
                <w:rFonts w:ascii="Times New Roman" w:eastAsia="宋体" w:hAnsi="Times New Roman"/>
                <w:kern w:val="0"/>
                <w:sz w:val="20"/>
                <w:szCs w:val="20"/>
                <w:lang w:val="en-GB"/>
              </w:rPr>
              <w:t xml:space="preserve"> &lt;=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SearchDeltaP_low_mobility</w:t>
            </w:r>
            <w:commentRangeEnd w:id="4"/>
            <w:r>
              <w:rPr>
                <w:rStyle w:val="aff5"/>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宋体"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Potentially good for detecting “circular motion” around base station</w:t>
            </w:r>
            <w:r w:rsidRPr="00DA3784">
              <w:rPr>
                <w:rFonts w:ascii="Times New Roman" w:eastAsia="宋体"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Unclear whether UE’s mobility level can be accurately determined</w:t>
            </w:r>
            <w:r w:rsidRPr="00DA3784">
              <w:rPr>
                <w:rFonts w:ascii="Times New Roman" w:eastAsia="宋体"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lastRenderedPageBreak/>
              <w:t>Beam level measurement results may fluctuate more than cell-level results, so it might cause misjudgement</w:t>
            </w:r>
            <w:r w:rsidRPr="00DA3784">
              <w:rPr>
                <w:rFonts w:ascii="Times New Roman" w:eastAsia="宋体"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4: </w:t>
            </w:r>
            <w:r w:rsidRPr="00DA3784">
              <w:rPr>
                <w:rFonts w:ascii="Times" w:eastAsia="宋体"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It is simpler and faster than evaluating the quality of serving cell</w:t>
            </w:r>
            <w:r w:rsidRPr="00DA3784">
              <w:rPr>
                <w:rFonts w:ascii="Times New Roman" w:eastAsia="宋体"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Only applicable to limited scenarios, e.g. fixed-location devices</w:t>
            </w:r>
            <w:r w:rsidRPr="00DA3784">
              <w:rPr>
                <w:rFonts w:ascii="Times New Roman" w:eastAsia="宋体"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宋体"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5: </w:t>
            </w:r>
            <w:r w:rsidRPr="00DA3784">
              <w:rPr>
                <w:rFonts w:ascii="Times" w:eastAsia="宋体" w:hAnsi="Times" w:cs="Times"/>
                <w:kern w:val="0"/>
                <w:sz w:val="20"/>
                <w:szCs w:val="20"/>
                <w:lang w:val="en-GB" w:eastAsia="ja-JP"/>
              </w:rPr>
              <w:t>Introduce an additional S</w:t>
            </w:r>
            <w:r w:rsidRPr="00DA3784">
              <w:rPr>
                <w:rFonts w:ascii="Times" w:eastAsia="宋体" w:hAnsi="Times" w:cs="Times"/>
                <w:kern w:val="0"/>
                <w:sz w:val="20"/>
                <w:szCs w:val="20"/>
                <w:vertAlign w:val="subscript"/>
                <w:lang w:val="en-GB" w:eastAsia="ja-JP"/>
              </w:rPr>
              <w:t>searchDeltaP_correction</w:t>
            </w:r>
            <w:r w:rsidRPr="00DA3784">
              <w:rPr>
                <w:rFonts w:ascii="Times" w:eastAsia="宋体"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 xml:space="preserve">Covers </w:t>
            </w:r>
            <w:del w:id="5" w:author="Jussi Koskinen" w:date="2021-01-29T15:04:00Z">
              <w:r w:rsidRPr="00DA3784" w:rsidDel="00B10F2F">
                <w:rPr>
                  <w:rFonts w:ascii="Times New Roman" w:eastAsia="宋体" w:hAnsi="Times New Roman"/>
                  <w:kern w:val="0"/>
                  <w:sz w:val="20"/>
                  <w:szCs w:val="20"/>
                  <w:lang w:val="en-GB" w:eastAsia="ja-JP"/>
                </w:rPr>
                <w:delText xml:space="preserve">only a very </w:delText>
              </w:r>
            </w:del>
            <w:r w:rsidRPr="00DA3784">
              <w:rPr>
                <w:rFonts w:ascii="Times New Roman" w:eastAsia="宋体" w:hAnsi="Times New Roman"/>
                <w:kern w:val="0"/>
                <w:sz w:val="20"/>
                <w:szCs w:val="20"/>
                <w:lang w:val="en-GB" w:eastAsia="ja-JP"/>
              </w:rPr>
              <w:t>specific use case</w:t>
            </w:r>
            <w:ins w:id="6" w:author="Jussi Koskinen" w:date="2021-01-29T15:04:00Z">
              <w:r w:rsidR="00B10F2F">
                <w:rPr>
                  <w:rFonts w:ascii="Times New Roman" w:eastAsia="宋体" w:hAnsi="Times New Roman"/>
                  <w:kern w:val="0"/>
                  <w:sz w:val="20"/>
                  <w:szCs w:val="20"/>
                  <w:lang w:val="en-GB" w:eastAsia="ja-JP"/>
                </w:rPr>
                <w:t xml:space="preserve"> where device is </w:t>
              </w:r>
              <w:r w:rsidR="00B10F2F" w:rsidRPr="00DA3784">
                <w:rPr>
                  <w:rFonts w:ascii="Times New Roman" w:eastAsia="宋体" w:hAnsi="Times New Roman"/>
                  <w:kern w:val="0"/>
                  <w:sz w:val="20"/>
                  <w:szCs w:val="20"/>
                  <w:lang w:val="en-GB" w:eastAsia="ja-JP"/>
                </w:rPr>
                <w:t>rotating around itself</w:t>
              </w:r>
            </w:ins>
            <w:r w:rsidRPr="00DA3784">
              <w:rPr>
                <w:rFonts w:ascii="Times New Roman" w:eastAsia="宋体"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aff7"/>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Huawei, HiSilicon</w:t>
            </w:r>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8D6E33D" w14:textId="653733B2" w:rsidR="00B020D9" w:rsidRPr="00FA74EB"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tc>
      </w:tr>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19B17E88" w14:textId="07B081CD"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tc>
      </w:tr>
      <w:tr w:rsidR="004735DC" w14:paraId="1682C329" w14:textId="77777777" w:rsidTr="004735DC">
        <w:tc>
          <w:tcPr>
            <w:tcW w:w="1648" w:type="dxa"/>
          </w:tcPr>
          <w:p w14:paraId="38D1733D" w14:textId="724F817B" w:rsidR="004735DC" w:rsidRDefault="004735DC" w:rsidP="0007297C">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07297C">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42321600" w14:textId="2E918C2C" w:rsidR="004735DC" w:rsidRDefault="00B10F2F" w:rsidP="0007297C">
            <w:pPr>
              <w:rPr>
                <w:sz w:val="20"/>
                <w:szCs w:val="20"/>
              </w:rPr>
            </w:pPr>
            <w:r>
              <w:rPr>
                <w:sz w:val="20"/>
                <w:szCs w:val="20"/>
              </w:rPr>
              <w:t>See proposed modification above for 5</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r>
              <w:rPr>
                <w:sz w:val="20"/>
                <w:szCs w:val="20"/>
              </w:rPr>
              <w:t>MediaTek</w:t>
            </w:r>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70B90B93" w14:textId="5E33CF75" w:rsidR="003056FE" w:rsidRDefault="003056FE" w:rsidP="003056FE">
            <w:pPr>
              <w:rPr>
                <w:sz w:val="20"/>
                <w:szCs w:val="20"/>
              </w:rPr>
            </w:pPr>
            <w:r>
              <w:rPr>
                <w:sz w:val="20"/>
                <w:szCs w:val="20"/>
              </w:rPr>
              <w:t>For enhancement #4, Con #2 (“</w:t>
            </w:r>
            <w:r w:rsidRPr="007524ED">
              <w:rPr>
                <w:sz w:val="20"/>
                <w:szCs w:val="20"/>
              </w:rPr>
              <w:t>Channel or link (RSRP/RSRQ) may change (e.g. may be low) even if UE is fixed-location…”) can be removed.</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tc>
      </w:tr>
      <w:tr w:rsidR="000E4E0E" w14:paraId="6787A393" w14:textId="77777777" w:rsidTr="004735DC">
        <w:tc>
          <w:tcPr>
            <w:tcW w:w="1648" w:type="dxa"/>
          </w:tcPr>
          <w:p w14:paraId="399AFEE7" w14:textId="0DE248A3" w:rsidR="000E4E0E" w:rsidRDefault="000E4E0E" w:rsidP="000E4E0E">
            <w:pPr>
              <w:rPr>
                <w:sz w:val="20"/>
                <w:szCs w:val="20"/>
              </w:rPr>
            </w:pPr>
            <w:r>
              <w:rPr>
                <w:sz w:val="20"/>
                <w:szCs w:val="20"/>
              </w:rPr>
              <w:t>Futurewei</w:t>
            </w:r>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32FE797E" w14:textId="77777777" w:rsidR="000E4E0E" w:rsidRDefault="000E4E0E"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For triggering neighbour cell RRM relaxation for RedCap UEs in RRC_IDLE and RRC_INACTIVE, based on Rel-16 triggering criterion, following enhancements can be considered</w:t>
            </w:r>
            <w:ins w:id="7" w:author="Linhai He (QC)" w:date="2021-01-30T16:43:00Z">
              <w:r>
                <w:rPr>
                  <w:rFonts w:ascii="Times New Roman" w:eastAsia="宋体" w:hAnsi="Times New Roman"/>
                  <w:kern w:val="0"/>
                  <w:sz w:val="20"/>
                  <w:szCs w:val="20"/>
                  <w:lang w:val="en-GB"/>
                </w:rPr>
                <w:t xml:space="preserve"> (</w:t>
              </w:r>
              <w:r w:rsidRPr="00C75ACF">
                <w:rPr>
                  <w:rFonts w:ascii="Times New Roman" w:eastAsia="宋体" w:hAnsi="Times New Roman"/>
                  <w:kern w:val="0"/>
                  <w:sz w:val="20"/>
                  <w:szCs w:val="20"/>
                  <w:lang w:val="en-GB"/>
                </w:rPr>
                <w:t>other solutions are not precluded)</w:t>
              </w:r>
            </w:ins>
            <w:r w:rsidRPr="00C75ACF">
              <w:rPr>
                <w:rFonts w:ascii="Times New Roman" w:eastAsia="宋体" w:hAnsi="Times New Roman"/>
                <w:kern w:val="0"/>
                <w:sz w:val="20"/>
                <w:szCs w:val="20"/>
                <w:lang w:val="en-GB"/>
              </w:rPr>
              <w:t>:</w:t>
            </w:r>
          </w:p>
          <w:p w14:paraId="4E467AFD" w14:textId="2A8CCB8B" w:rsidR="00C75ACF" w:rsidRDefault="00EE2431" w:rsidP="000E4E0E">
            <w:pPr>
              <w:rPr>
                <w:sz w:val="20"/>
                <w:szCs w:val="20"/>
              </w:rPr>
            </w:pPr>
            <w:r>
              <w:rPr>
                <w:sz w:val="20"/>
                <w:szCs w:val="20"/>
              </w:rPr>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bl>
    <w:p w14:paraId="0A176326" w14:textId="77777777" w:rsidR="00FC092D" w:rsidRDefault="00FC092D" w:rsidP="004D3510"/>
    <w:p w14:paraId="4F74A7C7" w14:textId="28B4DE98" w:rsidR="006A0963" w:rsidRPr="001F737D" w:rsidRDefault="006A0963" w:rsidP="006A0963">
      <w:pPr>
        <w:pStyle w:val="afffffffe"/>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aff7"/>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For neighbour cell RRM relaxation methods for RedCap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1:</w:t>
            </w:r>
            <w:r w:rsidRPr="006A0963">
              <w:rPr>
                <w:rFonts w:ascii="Times" w:eastAsia="宋体"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2:</w:t>
            </w:r>
            <w:r w:rsidRPr="006A0963">
              <w:rPr>
                <w:rFonts w:ascii="Times" w:eastAsia="宋体"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3:</w:t>
            </w:r>
            <w:r w:rsidRPr="006A0963">
              <w:rPr>
                <w:rFonts w:ascii="Times" w:eastAsia="宋体"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4:</w:t>
            </w:r>
            <w:r w:rsidRPr="006A0963">
              <w:rPr>
                <w:rFonts w:ascii="Times" w:eastAsia="宋体"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aff7"/>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Huawei, HiSilicon</w:t>
            </w:r>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5</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Expand</w:t>
            </w:r>
            <w:r w:rsidRPr="00D54C39">
              <w:rPr>
                <w:rFonts w:ascii="Times" w:eastAsia="宋体" w:hAnsi="Times" w:cs="Times"/>
                <w:kern w:val="0"/>
                <w:sz w:val="20"/>
                <w:szCs w:val="20"/>
                <w:lang w:val="en-GB" w:eastAsia="ja-JP"/>
              </w:rPr>
              <w:t xml:space="preserve"> the scenario of performing “stop measurement for 1 hour” for stationary UEs</w:t>
            </w:r>
            <w:r w:rsidRPr="006A0963">
              <w:rPr>
                <w:rFonts w:ascii="Times" w:eastAsia="宋体"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53EF4DA" w14:textId="780181B5" w:rsidR="009E04C6" w:rsidRPr="00140D18" w:rsidRDefault="009E04C6" w:rsidP="00140D18">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lastRenderedPageBreak/>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As UE should fulfil the low mobility criterion for a time period of T</w:t>
            </w:r>
            <w:r w:rsidRPr="001D4412">
              <w:rPr>
                <w:rFonts w:eastAsia="Malgun Gothic"/>
                <w:sz w:val="20"/>
                <w:szCs w:val="20"/>
                <w:vertAlign w:val="subscript"/>
                <w:lang w:eastAsia="ko-KR"/>
              </w:rPr>
              <w:t>SearchDeltaP</w:t>
            </w:r>
            <w:r>
              <w:rPr>
                <w:rFonts w:eastAsia="Malgun Gothic"/>
                <w:sz w:val="20"/>
                <w:szCs w:val="20"/>
                <w:lang w:eastAsia="ko-KR"/>
              </w:rPr>
              <w:t xml:space="preserve"> to check that the UE has entirely, but we believe that once RedCap stationary fulfils the low mobility criterion, it is low possibility that UE’s mobility increases rapidly. Therefore, we propose to trigger the measurement relaxation quickly before T</w:t>
            </w:r>
            <w:r w:rsidRPr="001D4412">
              <w:rPr>
                <w:rFonts w:eastAsia="Malgun Gothic"/>
                <w:sz w:val="20"/>
                <w:szCs w:val="20"/>
                <w:vertAlign w:val="subscript"/>
                <w:lang w:eastAsia="ko-KR"/>
              </w:rPr>
              <w:t>SearchDeltaP</w:t>
            </w:r>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宋体" w:hAnsi="Times New Roman"/>
                <w:kern w:val="0"/>
                <w:sz w:val="20"/>
                <w:szCs w:val="20"/>
                <w:lang w:val="en-GB"/>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6</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Upon UE fulfils the criterion, UE can trigger the measurement relaxation on part of configured frequencies before T</w:t>
            </w:r>
            <w:r w:rsidRPr="009C241D">
              <w:rPr>
                <w:rFonts w:ascii="Times" w:eastAsia="宋体" w:hAnsi="Times" w:cs="Times"/>
                <w:kern w:val="0"/>
                <w:sz w:val="20"/>
                <w:szCs w:val="20"/>
                <w:vertAlign w:val="subscript"/>
                <w:lang w:val="en-GB" w:eastAsia="ja-JP"/>
              </w:rPr>
              <w:t>SearchDeltaP</w:t>
            </w:r>
            <w:r>
              <w:rPr>
                <w:rFonts w:ascii="Times" w:eastAsia="宋体"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Pr>
                <w:rFonts w:ascii="Times New Roman" w:eastAsia="宋体"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795C9E9D" w14:textId="77777777" w:rsidR="00395B24" w:rsidRDefault="00395B24" w:rsidP="00395B24">
            <w:pPr>
              <w:rPr>
                <w:sz w:val="20"/>
                <w:szCs w:val="20"/>
              </w:rPr>
            </w:pP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Enhancement 2, cons: Unclear if useful for FR1, potentially more benefit for FR2 UEs, exact gain is not clear (e.g. due to avering</w:t>
            </w:r>
          </w:p>
          <w:p w14:paraId="2AC88C68" w14:textId="77777777" w:rsidR="001A5DB9" w:rsidRDefault="001A5DB9" w:rsidP="001A5DB9">
            <w:pPr>
              <w:rPr>
                <w:sz w:val="20"/>
                <w:szCs w:val="20"/>
              </w:rPr>
            </w:pPr>
            <w:r>
              <w:rPr>
                <w:sz w:val="20"/>
                <w:szCs w:val="20"/>
              </w:rPr>
              <w:t>Enhancement 3 cons: Not clear if RedCap will support all legacy measurements, e.g. inter-cells? Such details need to be sorted out first. Relaxation may require additional efforts for network planning.</w:t>
            </w: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7D7F2D94" w14:textId="47ADE578" w:rsidR="001A5DB9" w:rsidRDefault="001A5DB9" w:rsidP="001A5DB9">
            <w:pPr>
              <w:tabs>
                <w:tab w:val="left" w:pos="1817"/>
              </w:tabs>
              <w:ind w:firstLineChars="50" w:firstLine="100"/>
              <w:rPr>
                <w:rFonts w:eastAsia="Malgun Gothic"/>
                <w:sz w:val="20"/>
                <w:szCs w:val="20"/>
                <w:lang w:eastAsia="ko-KR"/>
              </w:rPr>
            </w:pPr>
            <w:r>
              <w:rPr>
                <w:sz w:val="20"/>
                <w:szCs w:val="20"/>
              </w:rPr>
              <w:t xml:space="preserve">Also for enhancement 4, what does minimize exactly refer to here? Who controls this, even for stationary device some measurements would be needed?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r>
              <w:rPr>
                <w:sz w:val="20"/>
                <w:szCs w:val="20"/>
              </w:rPr>
              <w:t>Futurewei</w:t>
            </w:r>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bl>
    <w:p w14:paraId="6ADC6312" w14:textId="77777777" w:rsidR="006A0963" w:rsidRDefault="006A0963" w:rsidP="004D3510"/>
    <w:p w14:paraId="4DD8D375" w14:textId="58018B84" w:rsidR="001F737D" w:rsidRDefault="001F737D" w:rsidP="001F737D">
      <w:pPr>
        <w:pStyle w:val="afffffffe"/>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aff7"/>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宋体"/>
                <w:kern w:val="0"/>
                <w:sz w:val="24"/>
                <w:szCs w:val="20"/>
                <w:lang w:val="en-GB"/>
              </w:rPr>
            </w:pPr>
            <w:r w:rsidRPr="001F737D">
              <w:rPr>
                <w:rFonts w:eastAsia="宋体"/>
                <w:kern w:val="0"/>
                <w:sz w:val="24"/>
                <w:szCs w:val="20"/>
                <w:lang w:val="en-GB"/>
              </w:rPr>
              <w:lastRenderedPageBreak/>
              <w:t>8.4.1.2</w:t>
            </w:r>
            <w:r w:rsidRPr="001F737D">
              <w:rPr>
                <w:rFonts w:eastAsia="宋体"/>
                <w:kern w:val="0"/>
                <w:sz w:val="24"/>
                <w:szCs w:val="20"/>
                <w:lang w:val="en-GB"/>
              </w:rPr>
              <w:tab/>
              <w:t>RRM relaxation in RRC_CONNECTED</w:t>
            </w:r>
          </w:p>
          <w:p w14:paraId="3BEFD2FB" w14:textId="4F0D7804"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neighbour cell RRM relaxation in RRC_CONNECTED, “fixed or immobile UEs” are considered with higher priority than “slightly moving UEs”. </w:t>
            </w:r>
          </w:p>
          <w:p w14:paraId="7A7DA84B" w14:textId="77777777"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triggering neighbour cell RRM relaxation for RedCap UEs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1:</w:t>
            </w:r>
            <w:r w:rsidRPr="001F737D">
              <w:rPr>
                <w:rFonts w:ascii="Times" w:eastAsia="宋体"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 so network can change its RRM configuration timely</w:t>
            </w:r>
            <w:r w:rsidRPr="001F737D">
              <w:rPr>
                <w:rFonts w:ascii="Times New Roman" w:eastAsia="宋体"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2:</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provides (e.g. low mobility, not-at-cell-edge) evaluation parameters to UE via dedicated signalling.</w:t>
            </w:r>
          </w:p>
          <w:p w14:paraId="6B9CF446"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7F5416E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Reusing Rel-16 mechanism in Connected UEs, maximize the commonality with idle/inactive UEs;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Network can set evaluation parameters to UE, so it is more reliable and impacts on performance can be reduced</w:t>
            </w:r>
            <w:r w:rsidRPr="001F737D">
              <w:rPr>
                <w:rFonts w:ascii="Times New Roman" w:eastAsia="宋体"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3:</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AMF sends “stationary” indication to gNB (based on UE subscription)</w:t>
            </w:r>
            <w:r w:rsidRPr="001F737D">
              <w:rPr>
                <w:rFonts w:ascii="Times" w:eastAsia="宋体"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4:</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UE reports “stationary” in UE Assistance Information to network</w:t>
            </w:r>
            <w:r w:rsidRPr="001F737D">
              <w:rPr>
                <w:rFonts w:ascii="Times" w:eastAsia="宋体"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5:</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enables measurement relaxation based on UE’s measurement report</w:t>
            </w:r>
            <w:r w:rsidRPr="001F737D">
              <w:rPr>
                <w:rFonts w:ascii="Times" w:eastAsia="宋体"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relies on UE measurement reporting.</w:t>
            </w:r>
          </w:p>
          <w:p w14:paraId="2D08E061" w14:textId="4525D8F8"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neighbour cell RRM relaxation methods for RedCap UEs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aff7"/>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Huawei, HiSilicon</w:t>
            </w:r>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1A256091" w14:textId="63B4AB8D" w:rsidR="00395B24" w:rsidRPr="00FA74EB" w:rsidRDefault="00395B24" w:rsidP="00395B24">
            <w:pPr>
              <w:rPr>
                <w:sz w:val="20"/>
                <w:szCs w:val="20"/>
              </w:rPr>
            </w:pPr>
            <w:r w:rsidRPr="001F737D">
              <w:rPr>
                <w:rFonts w:ascii="Times New Roman" w:eastAsia="宋体" w:hAnsi="Times New Roman"/>
                <w:kern w:val="0"/>
                <w:sz w:val="20"/>
                <w:szCs w:val="20"/>
                <w:lang w:eastAsia="ja-JP"/>
              </w:rPr>
              <w:t>Allows UE to report to network if it is temporarily stationary</w:t>
            </w:r>
            <w:r>
              <w:rPr>
                <w:rFonts w:ascii="Times New Roman" w:eastAsia="宋体" w:hAnsi="Times New Roman"/>
                <w:color w:val="FF0000"/>
                <w:kern w:val="0"/>
                <w:sz w:val="20"/>
                <w:szCs w:val="20"/>
                <w:lang w:eastAsia="ja-JP"/>
              </w:rPr>
              <w:t xml:space="preserve"> so that it is relaxing the measurements</w:t>
            </w:r>
            <w:r w:rsidRPr="001F737D">
              <w:rPr>
                <w:rFonts w:ascii="Times New Roman" w:eastAsia="宋体" w:hAnsi="Times New Roman"/>
                <w:kern w:val="0"/>
                <w:sz w:val="20"/>
                <w:szCs w:val="20"/>
                <w:lang w:eastAsia="ja-JP"/>
              </w:rPr>
              <w:t>, so network can change its RRM configuration timely</w:t>
            </w:r>
            <w:r w:rsidRPr="001F737D">
              <w:rPr>
                <w:rFonts w:ascii="Times New Roman" w:eastAsia="宋体" w:hAnsi="Times New Roman"/>
                <w:kern w:val="0"/>
                <w:sz w:val="20"/>
                <w:szCs w:val="20"/>
                <w:lang w:val="en-GB" w:eastAsia="ja-JP"/>
              </w:rPr>
              <w:t>.</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lastRenderedPageBreak/>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宋体"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77777777" w:rsidR="00237E11" w:rsidRDefault="00237E11" w:rsidP="00237E11">
            <w:pPr>
              <w:rPr>
                <w:sz w:val="20"/>
                <w:szCs w:val="20"/>
              </w:rPr>
            </w:pP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07445B11" w14:textId="77777777" w:rsidR="00237E11" w:rsidRDefault="00237E11" w:rsidP="00237E11">
            <w:pPr>
              <w:tabs>
                <w:tab w:val="left" w:pos="1019"/>
              </w:tabs>
              <w:ind w:firstLineChars="50" w:firstLine="100"/>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3D61FB6C" w14:textId="22BD70F8" w:rsidR="003056FE" w:rsidRPr="00FA74EB" w:rsidRDefault="003056FE" w:rsidP="003056FE">
            <w:pPr>
              <w:rPr>
                <w:sz w:val="20"/>
                <w:szCs w:val="20"/>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can be removed. Given that the UE is stationary at deployment, and the gNB is not moving, there is no case of a handover.</w:t>
            </w:r>
          </w:p>
        </w:tc>
      </w:tr>
      <w:tr w:rsidR="000E4E0E" w14:paraId="1AA503F8" w14:textId="77777777" w:rsidTr="00504E71">
        <w:tc>
          <w:tcPr>
            <w:tcW w:w="1598" w:type="dxa"/>
          </w:tcPr>
          <w:p w14:paraId="64D68D0F" w14:textId="152B2554" w:rsidR="000E4E0E" w:rsidRDefault="000E4E0E" w:rsidP="000E4E0E">
            <w:pPr>
              <w:rPr>
                <w:sz w:val="20"/>
                <w:szCs w:val="20"/>
              </w:rPr>
            </w:pPr>
            <w:r>
              <w:rPr>
                <w:sz w:val="20"/>
                <w:szCs w:val="20"/>
              </w:rPr>
              <w:t>Futurewei</w:t>
            </w:r>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Malgun Gothic"/>
                <w:sz w:val="20"/>
                <w:szCs w:val="20"/>
                <w:lang w:eastAsia="ko-KR"/>
              </w:rPr>
            </w:pP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aff7"/>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Huawei, HiSilicon</w:t>
            </w:r>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lastRenderedPageBreak/>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1A9DA814" w:rsidR="00BE1DC3" w:rsidRPr="00FA74EB" w:rsidRDefault="00C462EC" w:rsidP="00426E58">
            <w:pPr>
              <w:rPr>
                <w:sz w:val="20"/>
                <w:szCs w:val="20"/>
                <w:lang w:eastAsia="zh-CN"/>
              </w:rPr>
            </w:pPr>
            <w:r>
              <w:rPr>
                <w:rFonts w:hint="eastAsia"/>
                <w:sz w:val="20"/>
                <w:szCs w:val="20"/>
                <w:lang w:eastAsia="zh-CN"/>
              </w:rPr>
              <w:lastRenderedPageBreak/>
              <w:t>v</w:t>
            </w:r>
            <w:r>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AF1FBA" w:rsidP="008D0968">
      <w:pPr>
        <w:pStyle w:val="Doc-title"/>
      </w:pPr>
      <w:hyperlink r:id="rId18" w:tooltip="C:Data3GPPExtractsR2-2100459_TP for TR 38875 on evaluation for RRM relaxation.docx" w:history="1">
        <w:r w:rsidR="008D0968" w:rsidRPr="00066886">
          <w:rPr>
            <w:rStyle w:val="aff4"/>
          </w:rPr>
          <w:t>R2-2100459</w:t>
        </w:r>
      </w:hyperlink>
      <w:r w:rsidR="008D0968">
        <w:tab/>
        <w:t>TP for TR 38875 on evaluation for RRM relaxation</w:t>
      </w:r>
      <w:r w:rsidR="008D0968">
        <w:tab/>
        <w:t>vivo, Guangdong Genius</w:t>
      </w:r>
      <w:r w:rsidR="008D0968">
        <w:tab/>
        <w:t>discussion</w:t>
      </w:r>
      <w:r w:rsidR="008D0968">
        <w:tab/>
        <w:t>Rel-17</w:t>
      </w:r>
      <w:r w:rsidR="008D0968">
        <w:tab/>
        <w:t>FS_NR_redcap</w:t>
      </w:r>
    </w:p>
    <w:p w14:paraId="2787C3E5" w14:textId="3A02A288" w:rsidR="00C92799" w:rsidRDefault="00AF1FBA" w:rsidP="00C92799">
      <w:pPr>
        <w:pStyle w:val="Doc-title"/>
        <w:rPr>
          <w:ins w:id="8" w:author="Huawei" w:date="2021-01-28T10:28:00Z"/>
        </w:rPr>
      </w:pPr>
      <w:hyperlink r:id="rId19" w:tooltip="C:Data3GPPRAN2DocsR2-2101461.zip" w:history="1">
        <w:r w:rsidR="00C92799" w:rsidRPr="00917BC9">
          <w:rPr>
            <w:rStyle w:val="aff4"/>
          </w:rPr>
          <w:t>R2-2101461</w:t>
        </w:r>
      </w:hyperlink>
      <w:r w:rsidR="00C92799">
        <w:tab/>
        <w:t>Localized mobility of some RedCap devices</w:t>
      </w:r>
      <w:r w:rsidR="00C92799">
        <w:tab/>
        <w:t>Apple Inc</w:t>
      </w:r>
      <w:r w:rsidR="00C92799">
        <w:tab/>
        <w:t>discussion</w:t>
      </w:r>
      <w:r w:rsidR="00C92799">
        <w:tab/>
        <w:t>Rel-17</w:t>
      </w:r>
      <w:r w:rsidR="00C92799">
        <w:tab/>
        <w:t>FS_NR_redcap</w:t>
      </w:r>
    </w:p>
    <w:p w14:paraId="3ABCB3C6" w14:textId="77777777" w:rsidR="003972A2" w:rsidRDefault="003972A2" w:rsidP="003972A2">
      <w:pPr>
        <w:pStyle w:val="Doc-title"/>
        <w:rPr>
          <w:ins w:id="9" w:author="Huawei" w:date="2021-01-28T10:28:00Z"/>
        </w:rPr>
      </w:pPr>
      <w:ins w:id="10" w:author="Huawei" w:date="2021-01-28T10:28:00Z">
        <w:r>
          <w:rPr>
            <w:rStyle w:val="aff4"/>
          </w:rPr>
          <w:fldChar w:fldCharType="begin"/>
        </w:r>
        <w:r>
          <w:rPr>
            <w:rStyle w:val="aff4"/>
          </w:rPr>
          <w:instrText xml:space="preserve"> HYPERLINK "file:///D:\\Documents\\3GPP\\tsg_ran\\WG2\\TSGR2_113-e\\Docs\\R2-2101257.zip" \o "D:Documents3GPPtsg_ranWG2TSGR2_113-eDocsR2-2101257.zip" </w:instrText>
        </w:r>
        <w:r>
          <w:rPr>
            <w:rStyle w:val="aff4"/>
          </w:rPr>
          <w:fldChar w:fldCharType="separate"/>
        </w:r>
        <w:r w:rsidRPr="00F637D5">
          <w:rPr>
            <w:rStyle w:val="aff4"/>
          </w:rPr>
          <w:t>R2-2101257</w:t>
        </w:r>
        <w:r>
          <w:rPr>
            <w:rStyle w:val="aff4"/>
          </w:rPr>
          <w:fldChar w:fldCharType="end"/>
        </w:r>
        <w:r>
          <w:tab/>
          <w:t>RRM measurement relaxation for RedCap UE</w:t>
        </w:r>
        <w:r>
          <w:tab/>
          <w:t>Huawei, HiSilicon</w:t>
        </w:r>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aff7"/>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t>Huawei, HiSilicon</w:t>
            </w:r>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NO neighbour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ABDE537"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RRC_Connected UEs, </w:t>
            </w:r>
            <w:r w:rsidRPr="004223D7">
              <w:rPr>
                <w:rFonts w:ascii="Times New Roman" w:hAnsi="Times New Roman"/>
                <w:color w:val="0070C0"/>
                <w:sz w:val="20"/>
                <w:szCs w:val="20"/>
              </w:rPr>
              <w:lastRenderedPageBreak/>
              <w:t xml:space="preserve">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2FE5210E"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So the wording has to be changed into "</w:t>
            </w:r>
            <w:r w:rsidRPr="004223D7">
              <w:rPr>
                <w:color w:val="C00000"/>
                <w:sz w:val="20"/>
                <w:szCs w:val="20"/>
              </w:rPr>
              <w:t>at the cost of an increase of HOF rate from 0 to 0.26%...</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lastRenderedPageBreak/>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02FB2452" w14:textId="2B8E153C"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7087ECD7" w14:textId="77777777" w:rsidR="00C02DCF" w:rsidRDefault="00C02DCF" w:rsidP="00C02DCF">
            <w:pPr>
              <w:rPr>
                <w:sz w:val="20"/>
                <w:szCs w:val="20"/>
              </w:rPr>
            </w:pPr>
            <w:r>
              <w:rPr>
                <w:sz w:val="20"/>
                <w:szCs w:val="20"/>
              </w:rPr>
              <w:t>It should be clarified what “true stationary” UE refers to: Does it mean the RSRP and (all) channel conditions stay static all the time? Any assumptions that go along with this propert?</w:t>
            </w:r>
          </w:p>
          <w:p w14:paraId="769E305A" w14:textId="2995F462" w:rsidR="00C02DCF" w:rsidRDefault="00C02DCF" w:rsidP="00C02DCF">
            <w:pPr>
              <w:rPr>
                <w:rFonts w:eastAsia="Malgun Gothic"/>
                <w:sz w:val="20"/>
                <w:szCs w:val="20"/>
                <w:lang w:eastAsia="ko-KR"/>
              </w:rPr>
            </w:pPr>
            <w:r>
              <w:rPr>
                <w:sz w:val="20"/>
                <w:szCs w:val="20"/>
              </w:rPr>
              <w:t xml:space="preserve">For the E.x.2 it should be clearly mentioned the results come from Power saving SI TR 38.840. </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sz w:val="20"/>
                <w:szCs w:val="20"/>
              </w:rPr>
            </w:pPr>
            <w:r>
              <w:rPr>
                <w:sz w:val="20"/>
                <w:szCs w:val="20"/>
              </w:rPr>
              <w:t>Yes with comments</w:t>
            </w:r>
          </w:p>
        </w:tc>
        <w:tc>
          <w:tcPr>
            <w:tcW w:w="6131" w:type="dxa"/>
          </w:tcPr>
          <w:p w14:paraId="2D2EE5C3" w14:textId="7216BD5C" w:rsidR="003056FE" w:rsidRDefault="003056FE" w:rsidP="003056FE">
            <w:pPr>
              <w:rPr>
                <w:sz w:val="20"/>
                <w:szCs w:val="20"/>
              </w:rPr>
            </w:pPr>
            <w:r>
              <w:rPr>
                <w:rFonts w:eastAsia="Malgun Gothic"/>
                <w:sz w:val="20"/>
                <w:szCs w:val="20"/>
                <w:lang w:eastAsia="ko-KR"/>
              </w:rPr>
              <w:t>The impact on PDCCH and PDSCH decoding as a result of not monitoring SSBs are not captured in the simulation. This must be clarified in the TP.</w:t>
            </w:r>
          </w:p>
        </w:tc>
      </w:tr>
      <w:tr w:rsidR="000E4E0E" w14:paraId="40EF4D04" w14:textId="77777777" w:rsidTr="008243D1">
        <w:tc>
          <w:tcPr>
            <w:tcW w:w="1648" w:type="dxa"/>
          </w:tcPr>
          <w:p w14:paraId="0781EDBD" w14:textId="6CD8F0E5" w:rsidR="000E4E0E" w:rsidRDefault="000E4E0E" w:rsidP="000E4E0E">
            <w:pPr>
              <w:rPr>
                <w:sz w:val="20"/>
                <w:szCs w:val="20"/>
              </w:rPr>
            </w:pPr>
            <w:r>
              <w:rPr>
                <w:sz w:val="20"/>
                <w:szCs w:val="20"/>
              </w:rPr>
              <w:t>Futurewei</w:t>
            </w:r>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by vivo).</w:t>
            </w:r>
            <w:r>
              <w:rPr>
                <w:rFonts w:eastAsia="Malgun Gothic"/>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Malgun Gothic"/>
                <w:sz w:val="20"/>
                <w:szCs w:val="20"/>
                <w:lang w:eastAsia="ko-KR"/>
              </w:rPr>
            </w:pP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RedCap UEs whose mobility is localized for the lifetime </w:t>
      </w:r>
      <w:r w:rsidR="003C253A">
        <w:t>of the UE. And this paper also suggests to capture below observation into the TR:</w:t>
      </w:r>
    </w:p>
    <w:tbl>
      <w:tblPr>
        <w:tblStyle w:val="aff7"/>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If the NW is aware of such mobility nature of the RedCap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aff7"/>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Huawei, HiSilicon</w:t>
            </w:r>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1DCBBC0E" w14:textId="3E3B4A59" w:rsidR="00C752A6" w:rsidRPr="00FA74EB"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lastRenderedPageBreak/>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55F7A02D" w14:textId="374C0BE8" w:rsidR="007B5B54" w:rsidRDefault="007B5B54" w:rsidP="007B5B54">
            <w:pPr>
              <w:rPr>
                <w:sz w:val="20"/>
                <w:szCs w:val="20"/>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tc>
      </w:tr>
      <w:tr w:rsidR="00FC18EF" w14:paraId="4C2D2A74" w14:textId="77777777" w:rsidTr="008243D1">
        <w:tc>
          <w:tcPr>
            <w:tcW w:w="1648" w:type="dxa"/>
          </w:tcPr>
          <w:p w14:paraId="4C652862" w14:textId="4E14778E" w:rsidR="00FC18EF" w:rsidRDefault="00FC18EF" w:rsidP="00FC18EF">
            <w:pPr>
              <w:rPr>
                <w:sz w:val="20"/>
                <w:szCs w:val="20"/>
              </w:rPr>
            </w:pPr>
            <w:r>
              <w:rPr>
                <w:sz w:val="20"/>
                <w:szCs w:val="20"/>
              </w:rPr>
              <w:t>Ericssson</w:t>
            </w:r>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77777777" w:rsidR="00FC18EF" w:rsidRDefault="00FC18EF" w:rsidP="00FC18EF">
            <w:pPr>
              <w:pStyle w:val="afffffffe"/>
              <w:numPr>
                <w:ilvl w:val="0"/>
                <w:numId w:val="34"/>
              </w:numPr>
              <w:rPr>
                <w:sz w:val="20"/>
                <w:lang w:eastAsia="en-US"/>
              </w:rPr>
            </w:pPr>
            <w:r>
              <w:rPr>
                <w:sz w:val="20"/>
                <w:lang w:eastAsia="en-US"/>
              </w:rPr>
              <w:t xml:space="preserve">How is the network made aware of “mobility nature of the RedCap UE”. Is this based on NW understanding or something else? </w:t>
            </w:r>
          </w:p>
          <w:p w14:paraId="3C0F8B34" w14:textId="77777777" w:rsidR="00FC18EF" w:rsidRDefault="00FC18EF" w:rsidP="00FC18EF">
            <w:pPr>
              <w:pStyle w:val="afffffffe"/>
              <w:numPr>
                <w:ilvl w:val="0"/>
                <w:numId w:val="34"/>
              </w:numPr>
              <w:rPr>
                <w:sz w:val="20"/>
                <w:lang w:eastAsia="en-US"/>
              </w:rPr>
            </w:pPr>
            <w:r>
              <w:rPr>
                <w:sz w:val="20"/>
                <w:lang w:eastAsia="en-US"/>
              </w:rPr>
              <w:t xml:space="preserve">Perhaps one option can be for the UE to provide assistance information to NW to configure such a feature. </w:t>
            </w:r>
          </w:p>
          <w:p w14:paraId="3B5C1BB7" w14:textId="77777777" w:rsidR="00FC18EF" w:rsidRDefault="00FC18EF" w:rsidP="00FC18EF">
            <w:pPr>
              <w:pStyle w:val="afffffffe"/>
              <w:numPr>
                <w:ilvl w:val="0"/>
                <w:numId w:val="34"/>
              </w:numPr>
              <w:rPr>
                <w:sz w:val="20"/>
                <w:lang w:eastAsia="en-US"/>
              </w:rPr>
            </w:pPr>
            <w:r>
              <w:rPr>
                <w:sz w:val="20"/>
                <w:lang w:eastAsia="en-US"/>
              </w:rPr>
              <w:t>Not clear how e.g. paging resource optimization should work and interaction with eDRX</w:t>
            </w:r>
          </w:p>
          <w:p w14:paraId="579FFC71" w14:textId="77777777" w:rsidR="00FC18EF" w:rsidRDefault="00FC18EF" w:rsidP="00FC18EF">
            <w:pPr>
              <w:pStyle w:val="afffffffe"/>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(i.e on top of the other suggested options in this discussion, if this is the intention?) =&gt; added complexity for both UE and NW side</w:t>
            </w:r>
          </w:p>
          <w:p w14:paraId="2FA46766" w14:textId="77777777" w:rsidR="00FC18EF" w:rsidRPr="005225EB" w:rsidRDefault="00FC18EF" w:rsidP="00FC18EF">
            <w:pPr>
              <w:pStyle w:val="afffffffe"/>
              <w:numPr>
                <w:ilvl w:val="0"/>
                <w:numId w:val="34"/>
              </w:numPr>
              <w:rPr>
                <w:sz w:val="20"/>
                <w:lang w:eastAsia="en-US"/>
              </w:rPr>
            </w:pPr>
            <w:r>
              <w:rPr>
                <w:sz w:val="20"/>
                <w:lang w:eastAsia="en-US"/>
              </w:rPr>
              <w:t xml:space="preserve">What would the actual gains be and what kind of scenarios would really benefit from such feature? </w:t>
            </w:r>
          </w:p>
          <w:p w14:paraId="511F808E" w14:textId="77777777" w:rsidR="00FC18EF" w:rsidRDefault="00FC18EF" w:rsidP="00FC18EF">
            <w:pPr>
              <w:rPr>
                <w:sz w:val="20"/>
                <w:szCs w:val="20"/>
              </w:rPr>
            </w:pPr>
            <w:r>
              <w:rPr>
                <w:sz w:val="20"/>
                <w:szCs w:val="20"/>
              </w:rPr>
              <w:t>All in all, we think such feature would require further considerations and is out of scope for the current SID.</w:t>
            </w:r>
          </w:p>
          <w:p w14:paraId="0B801834" w14:textId="4093B2E2"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696A0B1" w14:textId="39A674AC" w:rsidR="003056FE" w:rsidRDefault="003056FE" w:rsidP="003056FE">
            <w:pPr>
              <w:rPr>
                <w:sz w:val="20"/>
                <w:szCs w:val="20"/>
              </w:rPr>
            </w:pPr>
            <w:r>
              <w:rPr>
                <w:sz w:val="20"/>
                <w:szCs w:val="20"/>
              </w:rPr>
              <w:t>We are reluctant to capture this in the TR as we have not discussed this in the SI.</w:t>
            </w:r>
          </w:p>
        </w:tc>
      </w:tr>
      <w:tr w:rsidR="000E4E0E" w14:paraId="770FAD38" w14:textId="77777777" w:rsidTr="008243D1">
        <w:tc>
          <w:tcPr>
            <w:tcW w:w="1648" w:type="dxa"/>
          </w:tcPr>
          <w:p w14:paraId="07368668" w14:textId="051E8926" w:rsidR="000E4E0E" w:rsidRDefault="000E4E0E" w:rsidP="000E4E0E">
            <w:pPr>
              <w:rPr>
                <w:sz w:val="20"/>
                <w:szCs w:val="20"/>
              </w:rPr>
            </w:pPr>
            <w:r>
              <w:rPr>
                <w:sz w:val="20"/>
                <w:szCs w:val="20"/>
              </w:rPr>
              <w:t>Futurewei</w:t>
            </w:r>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3A7A8038" w14:textId="730FC85C"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w:t>
            </w:r>
            <w:bookmarkStart w:id="11" w:name="_GoBack"/>
            <w:bookmarkEnd w:id="11"/>
            <w:r w:rsidRPr="005C733E">
              <w:rPr>
                <w:sz w:val="20"/>
                <w:szCs w:val="20"/>
              </w:rPr>
              <w:t>e needed, as Ericsson pointed out.</w:t>
            </w:r>
          </w:p>
        </w:tc>
      </w:tr>
    </w:tbl>
    <w:p w14:paraId="20920D77" w14:textId="77777777" w:rsidR="008D0968" w:rsidRDefault="008D0968" w:rsidP="004D3510"/>
    <w:p w14:paraId="259F1FB6" w14:textId="08D2C673" w:rsidR="003972A2" w:rsidRDefault="003972A2" w:rsidP="003972A2">
      <w:pPr>
        <w:rPr>
          <w:ins w:id="12" w:author="Huawei" w:date="2021-01-28T10:29:00Z"/>
        </w:rPr>
      </w:pPr>
      <w:ins w:id="13" w:author="Huawei" w:date="2021-01-28T10:29:00Z">
        <w:r>
          <w:t xml:space="preserve">For </w:t>
        </w:r>
        <w:r w:rsidRPr="003972A2">
          <w:t>R2-2101257</w:t>
        </w:r>
        <w:r>
          <w:t xml:space="preserve">, it is requested to add simulation results to the TR, including the simulation results for </w:t>
        </w:r>
      </w:ins>
      <w:ins w:id="14" w:author="Huawei" w:date="2021-01-28T10:40:00Z">
        <w:r w:rsidR="00B5791E">
          <w:lastRenderedPageBreak/>
          <w:t>p</w:t>
        </w:r>
        <w:r w:rsidR="00B5791E" w:rsidRPr="00B5791E">
          <w:t>ower saving gain achieved by further expanding the measurement interval</w:t>
        </w:r>
        <w:r w:rsidR="00B5791E">
          <w:t xml:space="preserve"> and reducing </w:t>
        </w:r>
        <w:r w:rsidR="00B5791E" w:rsidRPr="00B5791E">
          <w:t xml:space="preserve">measurement time </w:t>
        </w:r>
      </w:ins>
      <w:ins w:id="15" w:author="Huawei" w:date="2021-01-28T10:41:00Z">
        <w:r w:rsidR="00B5791E">
          <w:t>for</w:t>
        </w:r>
      </w:ins>
      <w:ins w:id="16" w:author="Huawei" w:date="2021-01-28T10:40:00Z">
        <w:r w:rsidR="00B5791E" w:rsidRPr="00B5791E">
          <w:t xml:space="preserve"> </w:t>
        </w:r>
      </w:ins>
      <w:ins w:id="17" w:author="Huawei" w:date="2021-01-28T10:41:00Z">
        <w:r w:rsidR="00B5791E">
          <w:t>n</w:t>
        </w:r>
        <w:r w:rsidR="00B5791E" w:rsidRPr="00B5791E">
          <w:t>eighboring cell RRM measurement relaxation in RRC_IDLE/INACTIVE</w:t>
        </w:r>
      </w:ins>
      <w:ins w:id="18" w:author="Huawei" w:date="2021-01-28T10:29:00Z">
        <w:r>
          <w:t>. Companies are welcome to show their view on the draft TP.</w:t>
        </w:r>
      </w:ins>
    </w:p>
    <w:p w14:paraId="64905BFC" w14:textId="5905460C" w:rsidR="003972A2" w:rsidRPr="00FA74EB" w:rsidRDefault="003972A2" w:rsidP="003972A2">
      <w:pPr>
        <w:spacing w:before="156"/>
        <w:rPr>
          <w:ins w:id="19" w:author="Huawei" w:date="2021-01-28T10:29:00Z"/>
          <w:b/>
          <w:bCs/>
          <w:szCs w:val="21"/>
        </w:rPr>
      </w:pPr>
      <w:ins w:id="20" w:author="Huawei" w:date="2021-01-28T10:29:00Z">
        <w:r>
          <w:rPr>
            <w:rFonts w:hint="eastAsia"/>
            <w:b/>
            <w:bCs/>
            <w:szCs w:val="21"/>
          </w:rPr>
          <w:t>Q</w:t>
        </w:r>
        <w:r>
          <w:rPr>
            <w:b/>
            <w:bCs/>
            <w:szCs w:val="21"/>
          </w:rPr>
          <w:t>3.</w:t>
        </w:r>
      </w:ins>
      <w:ins w:id="21" w:author="Huawei" w:date="2021-01-28T10:39:00Z">
        <w:r w:rsidR="00371A86">
          <w:rPr>
            <w:b/>
            <w:bCs/>
            <w:szCs w:val="21"/>
          </w:rPr>
          <w:t>3</w:t>
        </w:r>
      </w:ins>
      <w:ins w:id="22" w:author="Huawei" w:date="2021-01-28T10:29:00Z">
        <w:r>
          <w:rPr>
            <w:rFonts w:hint="eastAsia"/>
            <w:b/>
            <w:bCs/>
            <w:szCs w:val="21"/>
          </w:rPr>
          <w:t xml:space="preserve">: </w:t>
        </w:r>
        <w:r>
          <w:rPr>
            <w:b/>
            <w:bCs/>
            <w:szCs w:val="21"/>
          </w:rPr>
          <w:t>Do companies agree to add the draft TP (</w:t>
        </w:r>
      </w:ins>
      <w:ins w:id="23" w:author="Huawei" w:date="2021-01-28T10:39:00Z">
        <w:r w:rsidR="00371A86" w:rsidRPr="00371A86">
          <w:rPr>
            <w:b/>
            <w:bCs/>
            <w:szCs w:val="21"/>
          </w:rPr>
          <w:t>R2-2101257</w:t>
        </w:r>
      </w:ins>
      <w:ins w:id="24" w:author="Huawei" w:date="2021-01-28T10:29:00Z">
        <w:r>
          <w:rPr>
            <w:b/>
            <w:bCs/>
            <w:szCs w:val="21"/>
          </w:rPr>
          <w:t xml:space="preserve">) to TR? </w:t>
        </w:r>
      </w:ins>
    </w:p>
    <w:tbl>
      <w:tblPr>
        <w:tblStyle w:val="aff7"/>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5"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6" w:author="Huawei" w:date="2021-01-28T10:29:00Z"/>
                <w:b/>
              </w:rPr>
            </w:pPr>
            <w:ins w:id="27"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8" w:author="Huawei" w:date="2021-01-28T10:29:00Z"/>
                <w:b/>
              </w:rPr>
            </w:pPr>
            <w:ins w:id="29" w:author="Huawei" w:date="2021-01-28T10:29:00Z">
              <w:r>
                <w:rPr>
                  <w:b/>
                </w:rPr>
                <w:t>Agree</w:t>
              </w:r>
            </w:ins>
          </w:p>
          <w:p w14:paraId="73846F86" w14:textId="77777777" w:rsidR="003972A2" w:rsidRDefault="003972A2" w:rsidP="00426E58">
            <w:pPr>
              <w:rPr>
                <w:ins w:id="30" w:author="Huawei" w:date="2021-01-28T10:29:00Z"/>
                <w:b/>
              </w:rPr>
            </w:pPr>
            <w:ins w:id="31"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2" w:author="Huawei" w:date="2021-01-28T10:29:00Z"/>
                <w:b/>
              </w:rPr>
            </w:pPr>
            <w:ins w:id="33" w:author="Huawei" w:date="2021-01-28T10:29:00Z">
              <w:r>
                <w:rPr>
                  <w:b/>
                </w:rPr>
                <w:t>Comments or TP suggestions</w:t>
              </w:r>
            </w:ins>
          </w:p>
        </w:tc>
      </w:tr>
      <w:tr w:rsidR="00B5791E" w14:paraId="50D4F05E" w14:textId="77777777" w:rsidTr="008243D1">
        <w:trPr>
          <w:ins w:id="34" w:author="Huawei" w:date="2021-01-28T10:29:00Z"/>
        </w:trPr>
        <w:tc>
          <w:tcPr>
            <w:tcW w:w="1648" w:type="dxa"/>
          </w:tcPr>
          <w:p w14:paraId="2B5C3D92" w14:textId="171428E8" w:rsidR="00B5791E" w:rsidRPr="00FA74EB" w:rsidRDefault="00F14BA6" w:rsidP="00B5791E">
            <w:pPr>
              <w:rPr>
                <w:ins w:id="35" w:author="Huawei" w:date="2021-01-28T10:29:00Z"/>
                <w:sz w:val="20"/>
                <w:szCs w:val="20"/>
              </w:rPr>
            </w:pPr>
            <w:r w:rsidRPr="00BE3B94">
              <w:rPr>
                <w:sz w:val="20"/>
                <w:szCs w:val="20"/>
              </w:rPr>
              <w:t>Huawei, HiSilicon</w:t>
            </w:r>
          </w:p>
        </w:tc>
        <w:tc>
          <w:tcPr>
            <w:tcW w:w="1742" w:type="dxa"/>
          </w:tcPr>
          <w:p w14:paraId="0CB2CEC0" w14:textId="2ECA598B" w:rsidR="00B5791E" w:rsidRPr="00FA74EB" w:rsidRDefault="00F14BA6" w:rsidP="00B5791E">
            <w:pPr>
              <w:rPr>
                <w:ins w:id="36"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7" w:author="Huawei" w:date="2021-01-28T10:29:00Z"/>
                <w:sz w:val="20"/>
                <w:szCs w:val="20"/>
              </w:rPr>
            </w:pPr>
            <w:r>
              <w:rPr>
                <w:sz w:val="20"/>
                <w:szCs w:val="20"/>
              </w:rPr>
              <w:t>Proponent.</w:t>
            </w:r>
          </w:p>
        </w:tc>
      </w:tr>
      <w:tr w:rsidR="003972A2" w14:paraId="5D7B6DA9" w14:textId="77777777" w:rsidTr="008243D1">
        <w:trPr>
          <w:ins w:id="38" w:author="Huawei" w:date="2021-01-28T10:29:00Z"/>
        </w:trPr>
        <w:tc>
          <w:tcPr>
            <w:tcW w:w="1648" w:type="dxa"/>
          </w:tcPr>
          <w:p w14:paraId="14161DD1" w14:textId="39E9E8B3" w:rsidR="003972A2" w:rsidRPr="00FA74EB" w:rsidRDefault="00FF4B43" w:rsidP="00426E58">
            <w:pPr>
              <w:rPr>
                <w:ins w:id="39" w:author="Huawei" w:date="2021-01-28T10:29:00Z"/>
                <w:sz w:val="20"/>
                <w:szCs w:val="20"/>
                <w:lang w:eastAsia="zh-CN"/>
              </w:rPr>
            </w:pPr>
            <w:r>
              <w:rPr>
                <w:rFonts w:hint="eastAsia"/>
                <w:sz w:val="20"/>
                <w:szCs w:val="20"/>
                <w:lang w:eastAsia="zh-CN"/>
              </w:rPr>
              <w:t>v</w:t>
            </w:r>
            <w:r>
              <w:rPr>
                <w:sz w:val="20"/>
                <w:szCs w:val="20"/>
                <w:lang w:eastAsia="zh-CN"/>
              </w:rPr>
              <w:t>ivo</w:t>
            </w:r>
          </w:p>
        </w:tc>
        <w:tc>
          <w:tcPr>
            <w:tcW w:w="1742" w:type="dxa"/>
          </w:tcPr>
          <w:p w14:paraId="2F82A255" w14:textId="12A4D12C" w:rsidR="003972A2" w:rsidRPr="00FA74EB" w:rsidRDefault="00FF4B43" w:rsidP="00426E58">
            <w:pPr>
              <w:rPr>
                <w:ins w:id="40"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1"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2" w:author="Huawei" w:date="2021-01-28T10:29:00Z"/>
        </w:trPr>
        <w:tc>
          <w:tcPr>
            <w:tcW w:w="1648" w:type="dxa"/>
          </w:tcPr>
          <w:p w14:paraId="632AD18C" w14:textId="3C6BB51F" w:rsidR="003972A2" w:rsidRPr="00FA74EB" w:rsidRDefault="004223D7" w:rsidP="00426E58">
            <w:pPr>
              <w:rPr>
                <w:ins w:id="43"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4"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5"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r>
              <w:rPr>
                <w:sz w:val="20"/>
                <w:szCs w:val="20"/>
              </w:rPr>
              <w:t>MediaTek</w:t>
            </w:r>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We are open to include the simulation results in the TR. However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r>
              <w:rPr>
                <w:sz w:val="20"/>
                <w:szCs w:val="20"/>
              </w:rPr>
              <w:t>Futurewei</w:t>
            </w:r>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3E93A140" w14:textId="020DD781"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 xml:space="preserve">1st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A50A4C">
              <w:rPr>
                <w:sz w:val="20"/>
                <w:szCs w:val="20"/>
              </w:rPr>
              <w:t>preferrabl</w:t>
            </w:r>
            <w:r w:rsidR="0032686E">
              <w:rPr>
                <w:sz w:val="20"/>
                <w:szCs w:val="20"/>
              </w:rPr>
              <w:t>y</w:t>
            </w:r>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bl>
    <w:p w14:paraId="134588D5" w14:textId="77777777" w:rsidR="00F23939" w:rsidRPr="0085014A" w:rsidRDefault="00F23939" w:rsidP="0085014A"/>
    <w:p w14:paraId="32FA75B3" w14:textId="2D8A0611"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lastRenderedPageBreak/>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afffffffe"/>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ZTE Corporation, Sanechips</w:t>
      </w:r>
      <w:r w:rsidRPr="00494A06">
        <w:rPr>
          <w:szCs w:val="21"/>
        </w:rPr>
        <w:tab/>
        <w:t>discussion</w:t>
      </w:r>
      <w:r w:rsidRPr="00494A06">
        <w:rPr>
          <w:szCs w:val="21"/>
        </w:rPr>
        <w:tab/>
        <w:t>Rel-17</w:t>
      </w:r>
      <w:r w:rsidRPr="00494A06">
        <w:rPr>
          <w:szCs w:val="21"/>
        </w:rPr>
        <w:tab/>
        <w:t>FS_NR_redcap</w:t>
      </w:r>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afffffffe"/>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t>FS_NR_redcap</w:t>
      </w:r>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0"/>
      <w:footerReference w:type="even" r:id="rId21"/>
      <w:footerReference w:type="default" r:id="rId22"/>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ZTE" w:date="2021-01-27T20:03:00Z" w:initials="ZTE">
    <w:p w14:paraId="622FAF5E" w14:textId="6CAACC7A" w:rsidR="0007297C" w:rsidRDefault="0007297C">
      <w:pPr>
        <w:pStyle w:val="a4"/>
      </w:pPr>
      <w:r>
        <w:rPr>
          <w:rStyle w:val="aff5"/>
        </w:rPr>
        <w:annotationRef/>
      </w:r>
      <w:r>
        <w:t>Requested by R2-2101540.</w:t>
      </w:r>
    </w:p>
  </w:comment>
  <w:comment w:id="3" w:author="ZTE" w:date="2021-01-27T18:38:00Z" w:initials="ZTE">
    <w:p w14:paraId="767DDA23" w14:textId="5EBF74A3" w:rsidR="0007297C" w:rsidRDefault="0007297C" w:rsidP="00DA3784">
      <w:pPr>
        <w:pStyle w:val="a4"/>
      </w:pPr>
      <w:r>
        <w:rPr>
          <w:rStyle w:val="aff5"/>
        </w:rPr>
        <w:annotationRef/>
      </w:r>
      <w:r>
        <w:rPr>
          <w:noProof/>
        </w:rPr>
        <w:t>Original Enhancement #5, renumber other enhancements</w:t>
      </w:r>
    </w:p>
  </w:comment>
  <w:comment w:id="4" w:author="ZTE" w:date="2021-01-27T20:02:00Z" w:initials="ZTE">
    <w:p w14:paraId="71EA813B" w14:textId="6F734354" w:rsidR="0007297C" w:rsidRDefault="0007297C">
      <w:pPr>
        <w:pStyle w:val="a4"/>
      </w:pPr>
      <w:r>
        <w:rPr>
          <w:rStyle w:val="aff5"/>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3B98A" w14:textId="77777777" w:rsidR="00AF1FBA" w:rsidRDefault="00AF1FBA">
      <w:pPr>
        <w:spacing w:after="0"/>
      </w:pPr>
      <w:r>
        <w:separator/>
      </w:r>
    </w:p>
  </w:endnote>
  <w:endnote w:type="continuationSeparator" w:id="0">
    <w:p w14:paraId="2C522CC8" w14:textId="77777777" w:rsidR="00AF1FBA" w:rsidRDefault="00AF1F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45D" w14:textId="77777777" w:rsidR="0007297C" w:rsidRDefault="0007297C">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5936AAD0" w14:textId="77777777" w:rsidR="0007297C" w:rsidRDefault="0007297C">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B48D" w14:textId="77777777" w:rsidR="0007297C" w:rsidRDefault="0007297C">
    <w:pPr>
      <w:pStyle w:val="af6"/>
      <w:ind w:right="360"/>
      <w:jc w:val="both"/>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C23E7" w14:textId="77777777" w:rsidR="00AF1FBA" w:rsidRDefault="00AF1FBA">
      <w:pPr>
        <w:spacing w:after="0"/>
      </w:pPr>
      <w:r>
        <w:separator/>
      </w:r>
    </w:p>
  </w:footnote>
  <w:footnote w:type="continuationSeparator" w:id="0">
    <w:p w14:paraId="44E9847A" w14:textId="77777777" w:rsidR="00AF1FBA" w:rsidRDefault="00AF1F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7DF5" w14:textId="77777777" w:rsidR="0007297C" w:rsidRDefault="0007297C">
    <w:pPr>
      <w:jc w:val="distribute"/>
      <w:rPr>
        <w:rFonts w:eastAsia="华文仿宋"/>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5"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4"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1"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1"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
  </w:num>
  <w:num w:numId="4">
    <w:abstractNumId w:val="26"/>
  </w:num>
  <w:num w:numId="5">
    <w:abstractNumId w:val="22"/>
  </w:num>
  <w:num w:numId="6">
    <w:abstractNumId w:val="21"/>
  </w:num>
  <w:num w:numId="7">
    <w:abstractNumId w:val="35"/>
  </w:num>
  <w:num w:numId="8">
    <w:abstractNumId w:val="41"/>
  </w:num>
  <w:num w:numId="9">
    <w:abstractNumId w:val="34"/>
  </w:num>
  <w:num w:numId="10">
    <w:abstractNumId w:val="7"/>
  </w:num>
  <w:num w:numId="11">
    <w:abstractNumId w:val="5"/>
  </w:num>
  <w:num w:numId="12">
    <w:abstractNumId w:val="19"/>
  </w:num>
  <w:num w:numId="13">
    <w:abstractNumId w:val="39"/>
  </w:num>
  <w:num w:numId="14">
    <w:abstractNumId w:val="10"/>
  </w:num>
  <w:num w:numId="15">
    <w:abstractNumId w:val="31"/>
  </w:num>
  <w:num w:numId="16">
    <w:abstractNumId w:val="8"/>
  </w:num>
  <w:num w:numId="17">
    <w:abstractNumId w:val="24"/>
  </w:num>
  <w:num w:numId="18">
    <w:abstractNumId w:val="6"/>
  </w:num>
  <w:num w:numId="19">
    <w:abstractNumId w:val="25"/>
  </w:num>
  <w:num w:numId="20">
    <w:abstractNumId w:val="27"/>
  </w:num>
  <w:num w:numId="21">
    <w:abstractNumId w:val="37"/>
  </w:num>
  <w:num w:numId="22">
    <w:abstractNumId w:val="33"/>
  </w:num>
  <w:num w:numId="23">
    <w:abstractNumId w:val="18"/>
  </w:num>
  <w:num w:numId="24">
    <w:abstractNumId w:val="12"/>
  </w:num>
  <w:num w:numId="25">
    <w:abstractNumId w:val="32"/>
  </w:num>
  <w:num w:numId="26">
    <w:abstractNumId w:val="17"/>
  </w:num>
  <w:num w:numId="27">
    <w:abstractNumId w:val="36"/>
  </w:num>
  <w:num w:numId="28">
    <w:abstractNumId w:val="38"/>
  </w:num>
  <w:num w:numId="29">
    <w:abstractNumId w:val="16"/>
  </w:num>
  <w:num w:numId="30">
    <w:abstractNumId w:val="3"/>
  </w:num>
  <w:num w:numId="31">
    <w:abstractNumId w:val="9"/>
  </w:num>
  <w:num w:numId="32">
    <w:abstractNumId w:val="0"/>
  </w:num>
  <w:num w:numId="33">
    <w:abstractNumId w:val="15"/>
  </w:num>
  <w:num w:numId="34">
    <w:abstractNumId w:val="29"/>
  </w:num>
  <w:num w:numId="35">
    <w:abstractNumId w:val="28"/>
  </w:num>
  <w:num w:numId="36">
    <w:abstractNumId w:val="40"/>
  </w:num>
  <w:num w:numId="37">
    <w:abstractNumId w:val="2"/>
  </w:num>
  <w:num w:numId="38">
    <w:abstractNumId w:val="11"/>
  </w:num>
  <w:num w:numId="39">
    <w:abstractNumId w:val="30"/>
  </w:num>
  <w:num w:numId="40">
    <w:abstractNumId w:val="14"/>
  </w:num>
  <w:num w:numId="41">
    <w:abstractNumId w:val="13"/>
  </w:num>
  <w:num w:numId="42">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453F"/>
    <w:rsid w:val="000755A8"/>
    <w:rsid w:val="00076683"/>
    <w:rsid w:val="00076824"/>
    <w:rsid w:val="00076B12"/>
    <w:rsid w:val="000801E0"/>
    <w:rsid w:val="000804D4"/>
    <w:rsid w:val="00080AD4"/>
    <w:rsid w:val="0008122E"/>
    <w:rsid w:val="00082CAA"/>
    <w:rsid w:val="000837D0"/>
    <w:rsid w:val="00084609"/>
    <w:rsid w:val="00084C81"/>
    <w:rsid w:val="000875C4"/>
    <w:rsid w:val="000901E0"/>
    <w:rsid w:val="00090529"/>
    <w:rsid w:val="0009084A"/>
    <w:rsid w:val="00090927"/>
    <w:rsid w:val="000915A4"/>
    <w:rsid w:val="0009278C"/>
    <w:rsid w:val="00092939"/>
    <w:rsid w:val="000941E2"/>
    <w:rsid w:val="00097209"/>
    <w:rsid w:val="00097368"/>
    <w:rsid w:val="0009777E"/>
    <w:rsid w:val="000A0410"/>
    <w:rsid w:val="000A204F"/>
    <w:rsid w:val="000A2060"/>
    <w:rsid w:val="000A20AD"/>
    <w:rsid w:val="000A2A28"/>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786"/>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4275"/>
    <w:rsid w:val="00135D4A"/>
    <w:rsid w:val="0013720C"/>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7997"/>
    <w:rsid w:val="001A09A7"/>
    <w:rsid w:val="001A13D6"/>
    <w:rsid w:val="001A31A9"/>
    <w:rsid w:val="001A3545"/>
    <w:rsid w:val="001A384E"/>
    <w:rsid w:val="001A3C20"/>
    <w:rsid w:val="001A4015"/>
    <w:rsid w:val="001A54D2"/>
    <w:rsid w:val="001A5655"/>
    <w:rsid w:val="001A5DB9"/>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0198"/>
    <w:rsid w:val="00211033"/>
    <w:rsid w:val="002117C2"/>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8D7"/>
    <w:rsid w:val="002855D0"/>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5544"/>
    <w:rsid w:val="00466EDC"/>
    <w:rsid w:val="00467368"/>
    <w:rsid w:val="00467D25"/>
    <w:rsid w:val="00470697"/>
    <w:rsid w:val="00470F3F"/>
    <w:rsid w:val="00470FC6"/>
    <w:rsid w:val="0047216C"/>
    <w:rsid w:val="004735DC"/>
    <w:rsid w:val="00473633"/>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687"/>
    <w:rsid w:val="004A2E79"/>
    <w:rsid w:val="004A3E88"/>
    <w:rsid w:val="004A402F"/>
    <w:rsid w:val="004A5BB2"/>
    <w:rsid w:val="004A6284"/>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7BD"/>
    <w:rsid w:val="00636583"/>
    <w:rsid w:val="00637EBD"/>
    <w:rsid w:val="006408DC"/>
    <w:rsid w:val="006412CF"/>
    <w:rsid w:val="006413AD"/>
    <w:rsid w:val="006422C6"/>
    <w:rsid w:val="00643016"/>
    <w:rsid w:val="00643A7A"/>
    <w:rsid w:val="0064545A"/>
    <w:rsid w:val="00646255"/>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6E2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3CC7"/>
    <w:rsid w:val="008D44A9"/>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A7409"/>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4DB6"/>
    <w:rsid w:val="00B155D8"/>
    <w:rsid w:val="00B155FD"/>
    <w:rsid w:val="00B15903"/>
    <w:rsid w:val="00B166C8"/>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50AC"/>
    <w:rsid w:val="00CF6809"/>
    <w:rsid w:val="00CF7CDB"/>
    <w:rsid w:val="00D01778"/>
    <w:rsid w:val="00D01987"/>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7423C"/>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BA6"/>
    <w:rsid w:val="00F154E0"/>
    <w:rsid w:val="00F15B55"/>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4D21"/>
    <w:rsid w:val="00FB4F37"/>
    <w:rsid w:val="00FB53CF"/>
    <w:rsid w:val="00FB79F1"/>
    <w:rsid w:val="00FB7E5A"/>
    <w:rsid w:val="00FC092D"/>
    <w:rsid w:val="00FC18EF"/>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B4DA3845-61E4-0F4E-92FB-EEF7BE7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0"/>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0"/>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0">
    <w:name w:val="heading 3"/>
    <w:basedOn w:val="2"/>
    <w:next w:val="a"/>
    <w:link w:val="31"/>
    <w:qFormat/>
    <w:pPr>
      <w:numPr>
        <w:ilvl w:val="2"/>
      </w:numPr>
      <w:tabs>
        <w:tab w:val="clear" w:pos="575"/>
      </w:tabs>
      <w:spacing w:before="260" w:after="260" w:line="416" w:lineRule="auto"/>
      <w:outlineLvl w:val="2"/>
    </w:pPr>
    <w:rPr>
      <w:b/>
      <w:bCs/>
    </w:rPr>
  </w:style>
  <w:style w:type="paragraph" w:styleId="4">
    <w:name w:val="heading 4"/>
    <w:basedOn w:val="30"/>
    <w:next w:val="a"/>
    <w:link w:val="40"/>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0"/>
    <w:qFormat/>
    <w:pPr>
      <w:tabs>
        <w:tab w:val="clear" w:pos="864"/>
        <w:tab w:val="clear" w:pos="2071"/>
        <w:tab w:val="left" w:pos="1008"/>
        <w:tab w:val="left" w:pos="2383"/>
      </w:tabs>
      <w:ind w:left="2196"/>
      <w:outlineLvl w:val="4"/>
    </w:p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qFormat/>
    <w:pPr>
      <w:widowControl/>
      <w:spacing w:before="40"/>
      <w:ind w:left="849" w:hanging="283"/>
      <w:contextualSpacing/>
      <w:jc w:val="left"/>
    </w:pPr>
    <w:rPr>
      <w:rFonts w:eastAsia="MS Mincho"/>
      <w:kern w:val="0"/>
      <w:lang w:val="en-GB" w:eastAsia="en-GB"/>
    </w:rPr>
  </w:style>
  <w:style w:type="paragraph" w:styleId="a3">
    <w:name w:val="annotation subject"/>
    <w:basedOn w:val="a4"/>
    <w:next w:val="a4"/>
    <w:link w:val="a5"/>
    <w:semiHidden/>
    <w:qFormat/>
    <w:pPr>
      <w:widowControl/>
      <w:spacing w:before="40"/>
    </w:pPr>
    <w:rPr>
      <w:rFonts w:eastAsia="MS Mincho"/>
      <w:b/>
      <w:bCs/>
      <w:kern w:val="0"/>
      <w:szCs w:val="20"/>
      <w:lang w:val="en-GB" w:eastAsia="en-GB"/>
    </w:rPr>
  </w:style>
  <w:style w:type="paragraph" w:styleId="a4">
    <w:name w:val="annotation text"/>
    <w:basedOn w:val="a"/>
    <w:link w:val="a6"/>
    <w:uiPriority w:val="99"/>
    <w:unhideWhenUsed/>
    <w:qFormat/>
    <w:pPr>
      <w:jc w:val="left"/>
    </w:pPr>
  </w:style>
  <w:style w:type="paragraph" w:styleId="71">
    <w:name w:val="toc 7"/>
    <w:basedOn w:val="a"/>
    <w:next w:val="a"/>
    <w:qFormat/>
    <w:pPr>
      <w:tabs>
        <w:tab w:val="right" w:leader="dot" w:pos="9241"/>
      </w:tabs>
      <w:ind w:firstLineChars="500" w:firstLine="500"/>
      <w:jc w:val="left"/>
    </w:pPr>
    <w:rPr>
      <w:rFonts w:ascii="宋体"/>
      <w:szCs w:val="21"/>
    </w:rPr>
  </w:style>
  <w:style w:type="paragraph" w:styleId="21">
    <w:name w:val="List Number 2"/>
    <w:basedOn w:val="a7"/>
    <w:qFormat/>
    <w:pPr>
      <w:ind w:left="851"/>
    </w:pPr>
  </w:style>
  <w:style w:type="paragraph" w:styleId="a7">
    <w:name w:val="List Number"/>
    <w:basedOn w:val="a8"/>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8">
    <w:name w:val="List"/>
    <w:basedOn w:val="a"/>
    <w:unhideWhenUsed/>
    <w:qFormat/>
    <w:pPr>
      <w:ind w:left="200" w:hangingChars="200" w:hanging="200"/>
      <w:contextualSpacing/>
    </w:p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basedOn w:val="a9"/>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9">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1">
    <w:name w:val="index 8"/>
    <w:basedOn w:val="a"/>
    <w:next w:val="a"/>
    <w:qFormat/>
    <w:pPr>
      <w:ind w:left="1680" w:hanging="210"/>
      <w:jc w:val="left"/>
    </w:pPr>
    <w:rPr>
      <w:rFonts w:ascii="Calibri" w:hAnsi="Calibri"/>
      <w:szCs w:val="20"/>
    </w:rPr>
  </w:style>
  <w:style w:type="paragraph" w:styleId="aa">
    <w:name w:val="caption"/>
    <w:basedOn w:val="a"/>
    <w:next w:val="a"/>
    <w:link w:val="ab"/>
    <w:qFormat/>
    <w:pPr>
      <w:spacing w:before="152"/>
    </w:pPr>
    <w:rPr>
      <w:rFonts w:eastAsia="黑体" w:cs="Arial"/>
      <w:szCs w:val="20"/>
    </w:rPr>
  </w:style>
  <w:style w:type="paragraph" w:styleId="51">
    <w:name w:val="index 5"/>
    <w:basedOn w:val="a"/>
    <w:next w:val="a"/>
    <w:qFormat/>
    <w:pPr>
      <w:ind w:left="1050" w:hanging="210"/>
      <w:jc w:val="left"/>
    </w:pPr>
    <w:rPr>
      <w:rFonts w:ascii="Calibri" w:hAnsi="Calibri"/>
      <w:szCs w:val="20"/>
    </w:rPr>
  </w:style>
  <w:style w:type="paragraph" w:styleId="ac">
    <w:name w:val="Document Map"/>
    <w:basedOn w:val="a"/>
    <w:link w:val="ad"/>
    <w:unhideWhenUsed/>
    <w:qFormat/>
    <w:rPr>
      <w:rFonts w:ascii="宋体"/>
      <w:sz w:val="18"/>
      <w:szCs w:val="18"/>
    </w:rPr>
  </w:style>
  <w:style w:type="paragraph" w:styleId="61">
    <w:name w:val="index 6"/>
    <w:basedOn w:val="a"/>
    <w:next w:val="a"/>
    <w:qFormat/>
    <w:pPr>
      <w:ind w:left="1260" w:hanging="210"/>
      <w:jc w:val="left"/>
    </w:pPr>
    <w:rPr>
      <w:rFonts w:ascii="Calibri" w:hAnsi="Calibri"/>
      <w:szCs w:val="20"/>
    </w:rPr>
  </w:style>
  <w:style w:type="paragraph" w:styleId="ae">
    <w:name w:val="Body Text"/>
    <w:basedOn w:val="a"/>
    <w:link w:val="af"/>
    <w:qFormat/>
    <w:pPr>
      <w:widowControl/>
      <w:spacing w:before="40"/>
      <w:jc w:val="left"/>
    </w:pPr>
    <w:rPr>
      <w:rFonts w:eastAsia="MS Mincho"/>
      <w:kern w:val="0"/>
      <w:lang w:val="en-GB" w:eastAsia="en-GB"/>
    </w:rPr>
  </w:style>
  <w:style w:type="paragraph" w:styleId="23">
    <w:name w:val="List 2"/>
    <w:basedOn w:val="a8"/>
    <w:unhideWhenUsed/>
    <w:qFormat/>
    <w:pPr>
      <w:ind w:leftChars="200" w:left="100"/>
    </w:pPr>
  </w:style>
  <w:style w:type="paragraph" w:styleId="42">
    <w:name w:val="index 4"/>
    <w:basedOn w:val="a"/>
    <w:next w:val="a"/>
    <w:qFormat/>
    <w:pPr>
      <w:ind w:left="840" w:hanging="210"/>
      <w:jc w:val="left"/>
    </w:pPr>
    <w:rPr>
      <w:rFonts w:ascii="Calibri" w:hAnsi="Calibri"/>
      <w:szCs w:val="20"/>
    </w:rPr>
  </w:style>
  <w:style w:type="paragraph" w:styleId="52">
    <w:name w:val="toc 5"/>
    <w:basedOn w:val="a"/>
    <w:next w:val="a"/>
    <w:qFormat/>
    <w:pPr>
      <w:tabs>
        <w:tab w:val="right" w:leader="dot" w:pos="9241"/>
      </w:tabs>
      <w:ind w:firstLineChars="300" w:firstLine="300"/>
      <w:jc w:val="left"/>
    </w:pPr>
    <w:rPr>
      <w:rFonts w:ascii="宋体"/>
      <w:szCs w:val="21"/>
    </w:rPr>
  </w:style>
  <w:style w:type="paragraph" w:styleId="34">
    <w:name w:val="toc 3"/>
    <w:basedOn w:val="a"/>
    <w:next w:val="a"/>
    <w:qFormat/>
    <w:pPr>
      <w:tabs>
        <w:tab w:val="right" w:leader="dot" w:pos="9241"/>
      </w:tabs>
      <w:ind w:firstLineChars="100" w:firstLine="100"/>
      <w:jc w:val="left"/>
    </w:pPr>
    <w:rPr>
      <w:rFonts w:ascii="宋体"/>
      <w:szCs w:val="21"/>
    </w:rPr>
  </w:style>
  <w:style w:type="paragraph" w:styleId="af0">
    <w:name w:val="Plain Text"/>
    <w:basedOn w:val="a"/>
    <w:link w:val="af1"/>
    <w:uiPriority w:val="99"/>
    <w:unhideWhenUsed/>
    <w:qFormat/>
    <w:pPr>
      <w:widowControl/>
      <w:spacing w:before="40"/>
      <w:jc w:val="left"/>
    </w:pPr>
    <w:rPr>
      <w:rFonts w:ascii="Consolas" w:eastAsia="Calibri" w:hAnsi="Consolas"/>
      <w:kern w:val="0"/>
      <w:szCs w:val="21"/>
      <w:lang w:eastAsia="en-US"/>
    </w:rPr>
  </w:style>
  <w:style w:type="paragraph" w:styleId="53">
    <w:name w:val="List Bullet 5"/>
    <w:basedOn w:val="41"/>
    <w:qFormat/>
    <w:pPr>
      <w:ind w:left="1702"/>
    </w:pPr>
  </w:style>
  <w:style w:type="paragraph" w:styleId="82">
    <w:name w:val="toc 8"/>
    <w:basedOn w:val="a"/>
    <w:next w:val="a"/>
    <w:qFormat/>
    <w:pPr>
      <w:tabs>
        <w:tab w:val="right" w:leader="dot" w:pos="9241"/>
      </w:tabs>
      <w:ind w:firstLineChars="600" w:firstLine="607"/>
      <w:jc w:val="left"/>
    </w:pPr>
    <w:rPr>
      <w:rFonts w:ascii="宋体"/>
      <w:szCs w:val="21"/>
    </w:rPr>
  </w:style>
  <w:style w:type="paragraph" w:styleId="35">
    <w:name w:val="index 3"/>
    <w:basedOn w:val="a"/>
    <w:next w:val="a"/>
    <w:qFormat/>
    <w:pPr>
      <w:ind w:left="630" w:hanging="210"/>
      <w:jc w:val="left"/>
    </w:pPr>
    <w:rPr>
      <w:rFonts w:ascii="Calibri" w:hAnsi="Calibri"/>
      <w:szCs w:val="20"/>
    </w:rPr>
  </w:style>
  <w:style w:type="paragraph" w:styleId="af2">
    <w:name w:val="endnote text"/>
    <w:basedOn w:val="a"/>
    <w:link w:val="af3"/>
    <w:qFormat/>
    <w:pPr>
      <w:snapToGrid w:val="0"/>
      <w:jc w:val="left"/>
    </w:pPr>
  </w:style>
  <w:style w:type="paragraph" w:styleId="af4">
    <w:name w:val="Balloon Text"/>
    <w:basedOn w:val="a"/>
    <w:link w:val="af5"/>
    <w:unhideWhenUsed/>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242"/>
      </w:tabs>
      <w:spacing w:beforeLines="25" w:afterLines="25"/>
      <w:jc w:val="left"/>
    </w:pPr>
    <w:rPr>
      <w:rFonts w:ascii="宋体"/>
      <w:szCs w:val="21"/>
    </w:rPr>
  </w:style>
  <w:style w:type="paragraph" w:styleId="43">
    <w:name w:val="toc 4"/>
    <w:basedOn w:val="a"/>
    <w:next w:val="a"/>
    <w:qFormat/>
    <w:pPr>
      <w:tabs>
        <w:tab w:val="right" w:leader="dot" w:pos="9241"/>
      </w:tabs>
      <w:ind w:firstLineChars="200" w:firstLine="200"/>
      <w:jc w:val="left"/>
    </w:pPr>
    <w:rPr>
      <w:rFonts w:ascii="宋体"/>
      <w:szCs w:val="21"/>
    </w:rPr>
  </w:style>
  <w:style w:type="paragraph" w:styleId="afa">
    <w:name w:val="index heading"/>
    <w:basedOn w:val="a"/>
    <w:next w:val="12"/>
    <w:qFormat/>
    <w:pPr>
      <w:jc w:val="center"/>
    </w:pPr>
    <w:rPr>
      <w:rFonts w:ascii="Calibri" w:hAnsi="Calibri"/>
      <w:b/>
      <w:bCs/>
      <w:iCs/>
      <w:szCs w:val="20"/>
    </w:rPr>
  </w:style>
  <w:style w:type="paragraph" w:styleId="12">
    <w:name w:val="index 1"/>
    <w:basedOn w:val="a"/>
    <w:next w:val="afb"/>
    <w:qFormat/>
    <w:pPr>
      <w:tabs>
        <w:tab w:val="right" w:leader="dot" w:pos="9299"/>
      </w:tabs>
      <w:jc w:val="left"/>
    </w:pPr>
    <w:rPr>
      <w:rFonts w:ascii="宋体"/>
      <w:szCs w:val="21"/>
    </w:rPr>
  </w:style>
  <w:style w:type="paragraph" w:customStyle="1" w:styleId="afb">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c">
    <w:name w:val="footnote text"/>
    <w:basedOn w:val="a"/>
    <w:link w:val="afd"/>
    <w:qFormat/>
    <w:pPr>
      <w:tabs>
        <w:tab w:val="left" w:pos="0"/>
      </w:tabs>
      <w:snapToGrid w:val="0"/>
      <w:jc w:val="left"/>
    </w:pPr>
    <w:rPr>
      <w:rFonts w:ascii="宋体"/>
      <w:sz w:val="18"/>
      <w:szCs w:val="18"/>
    </w:rPr>
  </w:style>
  <w:style w:type="paragraph" w:styleId="62">
    <w:name w:val="toc 6"/>
    <w:basedOn w:val="a"/>
    <w:next w:val="a"/>
    <w:qFormat/>
    <w:pPr>
      <w:tabs>
        <w:tab w:val="right" w:leader="dot" w:pos="9241"/>
      </w:tabs>
      <w:ind w:firstLineChars="400" w:firstLine="400"/>
      <w:jc w:val="left"/>
    </w:pPr>
    <w:rPr>
      <w:rFonts w:ascii="宋体"/>
      <w:szCs w:val="21"/>
    </w:rPr>
  </w:style>
  <w:style w:type="paragraph" w:styleId="54">
    <w:name w:val="List 5"/>
    <w:basedOn w:val="44"/>
    <w:qFormat/>
    <w:pPr>
      <w:ind w:left="1702"/>
    </w:pPr>
  </w:style>
  <w:style w:type="paragraph" w:styleId="44">
    <w:name w:val="List 4"/>
    <w:basedOn w:val="32"/>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2">
    <w:name w:val="index 7"/>
    <w:basedOn w:val="a"/>
    <w:next w:val="a"/>
    <w:qFormat/>
    <w:pPr>
      <w:ind w:left="1470" w:hanging="210"/>
      <w:jc w:val="left"/>
    </w:pPr>
    <w:rPr>
      <w:rFonts w:ascii="Calibri" w:hAnsi="Calibri"/>
      <w:szCs w:val="20"/>
    </w:rPr>
  </w:style>
  <w:style w:type="paragraph" w:styleId="91">
    <w:name w:val="index 9"/>
    <w:basedOn w:val="a"/>
    <w:next w:val="a"/>
    <w:qFormat/>
    <w:pPr>
      <w:ind w:left="1890" w:hanging="210"/>
      <w:jc w:val="left"/>
    </w:pPr>
    <w:rPr>
      <w:rFonts w:ascii="Calibri" w:hAnsi="Calibri"/>
      <w:szCs w:val="20"/>
    </w:rPr>
  </w:style>
  <w:style w:type="paragraph" w:styleId="afe">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24">
    <w:name w:val="toc 2"/>
    <w:basedOn w:val="a"/>
    <w:next w:val="a"/>
    <w:uiPriority w:val="39"/>
    <w:qFormat/>
    <w:pPr>
      <w:tabs>
        <w:tab w:val="right" w:leader="dot" w:pos="9242"/>
      </w:tabs>
    </w:pPr>
    <w:rPr>
      <w:rFonts w:ascii="宋体"/>
      <w:szCs w:val="21"/>
    </w:rPr>
  </w:style>
  <w:style w:type="paragraph" w:styleId="92">
    <w:name w:val="toc 9"/>
    <w:basedOn w:val="a"/>
    <w:next w:val="a"/>
    <w:qFormat/>
    <w:pPr>
      <w:ind w:left="1470"/>
      <w:jc w:val="left"/>
    </w:pPr>
    <w:rPr>
      <w:szCs w:val="20"/>
    </w:rPr>
  </w:style>
  <w:style w:type="paragraph" w:styleId="aff">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5">
    <w:name w:val="index 2"/>
    <w:basedOn w:val="a"/>
    <w:next w:val="a"/>
    <w:qFormat/>
    <w:pPr>
      <w:ind w:left="420" w:hanging="210"/>
      <w:jc w:val="left"/>
    </w:pPr>
    <w:rPr>
      <w:rFonts w:ascii="Calibri" w:hAnsi="Calibri"/>
      <w:szCs w:val="20"/>
    </w:rPr>
  </w:style>
  <w:style w:type="character" w:styleId="aff0">
    <w:name w:val="endnote reference"/>
    <w:basedOn w:val="a0"/>
    <w:qFormat/>
    <w:rPr>
      <w:vertAlign w:val="superscript"/>
    </w:rPr>
  </w:style>
  <w:style w:type="character" w:styleId="aff1">
    <w:name w:val="page number"/>
    <w:basedOn w:val="a0"/>
    <w:qFormat/>
  </w:style>
  <w:style w:type="character" w:styleId="aff2">
    <w:name w:val="FollowedHyperlink"/>
    <w:basedOn w:val="a0"/>
    <w:qFormat/>
    <w:rPr>
      <w:color w:val="800080"/>
      <w:u w:val="single"/>
    </w:rPr>
  </w:style>
  <w:style w:type="character" w:styleId="aff3">
    <w:name w:val="Emphasis"/>
    <w:qFormat/>
    <w:rPr>
      <w:i/>
      <w:iCs/>
    </w:rPr>
  </w:style>
  <w:style w:type="character" w:styleId="aff4">
    <w:name w:val="Hyperlink"/>
    <w:basedOn w:val="a0"/>
    <w:uiPriority w:val="99"/>
    <w:qFormat/>
    <w:rPr>
      <w:color w:val="0000FF"/>
      <w:spacing w:val="0"/>
      <w:w w:val="100"/>
      <w:szCs w:val="21"/>
      <w:u w:val="single"/>
      <w:lang w:val="en-US" w:eastAsia="zh-CN"/>
    </w:rPr>
  </w:style>
  <w:style w:type="character" w:styleId="aff5">
    <w:name w:val="annotation reference"/>
    <w:qFormat/>
    <w:rPr>
      <w:sz w:val="16"/>
    </w:rPr>
  </w:style>
  <w:style w:type="character" w:styleId="aff6">
    <w:name w:val="footnote reference"/>
    <w:basedOn w:val="a0"/>
    <w:qFormat/>
    <w:rPr>
      <w:vertAlign w:val="superscript"/>
    </w:rPr>
  </w:style>
  <w:style w:type="table" w:styleId="aff7">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批注框文本 字符"/>
    <w:basedOn w:val="a0"/>
    <w:link w:val="af4"/>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ad">
    <w:name w:val="文档结构图 字符"/>
    <w:basedOn w:val="a0"/>
    <w:link w:val="ac"/>
    <w:qFormat/>
    <w:rPr>
      <w:rFonts w:ascii="宋体"/>
      <w:kern w:val="2"/>
      <w:sz w:val="18"/>
      <w:szCs w:val="18"/>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qFormat/>
    <w:rPr>
      <w:rFonts w:eastAsiaTheme="minorEastAsia"/>
      <w:b/>
      <w:bCs/>
      <w:kern w:val="44"/>
      <w:sz w:val="30"/>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1">
    <w:name w:val="标题 3 字符"/>
    <w:basedOn w:val="a0"/>
    <w:link w:val="30"/>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Batang"/>
      <w:b/>
      <w:color w:val="0000FF"/>
      <w:szCs w:val="20"/>
      <w:lang w:eastAsia="en-US"/>
    </w:rPr>
  </w:style>
  <w:style w:type="character" w:customStyle="1" w:styleId="ab">
    <w:name w:val="题注 字符"/>
    <w:link w:val="aa"/>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5">
    <w:name w:val="批注主题 字符"/>
    <w:basedOn w:val="Char"/>
    <w:link w:val="a3"/>
    <w:semiHidden/>
    <w:qFormat/>
    <w:rPr>
      <w:rFonts w:ascii="Arial" w:eastAsia="MS Mincho" w:hAnsi="Arial"/>
      <w:b/>
      <w:bCs/>
      <w:lang w:val="en-GB" w:eastAsia="en-GB"/>
    </w:rPr>
  </w:style>
  <w:style w:type="character" w:customStyle="1" w:styleId="Char">
    <w:name w:val="批注文字 Char"/>
    <w:basedOn w:val="a0"/>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8"/>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b"/>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7">
    <w:name w:val="页脚 字符"/>
    <w:link w:val="af6"/>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f8"/>
    <w:qFormat/>
    <w:rPr>
      <w:rFonts w:ascii="宋体"/>
      <w:sz w:val="21"/>
    </w:rPr>
  </w:style>
  <w:style w:type="paragraph" w:customStyle="1" w:styleId="aff8">
    <w:name w:val="附录公式"/>
    <w:basedOn w:val="afb"/>
    <w:next w:val="afb"/>
    <w:link w:val="CharChar0"/>
    <w:qFormat/>
  </w:style>
  <w:style w:type="character" w:customStyle="1" w:styleId="af1">
    <w:name w:val="纯文本 字符"/>
    <w:basedOn w:val="a0"/>
    <w:link w:val="af0"/>
    <w:uiPriority w:val="99"/>
    <w:qFormat/>
    <w:rPr>
      <w:rFonts w:ascii="Consolas" w:eastAsia="Calibri" w:hAnsi="Consolas"/>
      <w:sz w:val="21"/>
      <w:szCs w:val="21"/>
      <w:lang w:eastAsia="en-US"/>
    </w:rPr>
  </w:style>
  <w:style w:type="character" w:customStyle="1" w:styleId="CharChar1">
    <w:name w:val="首示例 Char Char"/>
    <w:basedOn w:val="a0"/>
    <w:link w:val="aff9"/>
    <w:qFormat/>
    <w:rPr>
      <w:rFonts w:ascii="宋体" w:hAnsi="宋体"/>
      <w:kern w:val="2"/>
      <w:sz w:val="18"/>
      <w:szCs w:val="18"/>
    </w:rPr>
  </w:style>
  <w:style w:type="paragraph" w:customStyle="1" w:styleId="aff9">
    <w:name w:val="首示例"/>
    <w:next w:val="afb"/>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a">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2"/>
    <w:link w:val="B3Char2"/>
    <w:qFormat/>
    <w:pPr>
      <w:spacing w:before="0"/>
      <w:ind w:left="1135" w:hanging="284"/>
    </w:pPr>
    <w:rPr>
      <w:rFonts w:ascii="Times New Roman" w:eastAsia="Malgun Gothic" w:hAnsi="Times New Roman"/>
      <w:szCs w:val="20"/>
      <w:lang w:val="en-US" w:eastAsia="en-US"/>
    </w:rPr>
  </w:style>
  <w:style w:type="character" w:customStyle="1" w:styleId="af">
    <w:name w:val="正文文本 字符"/>
    <w:basedOn w:val="a0"/>
    <w:link w:val="ae"/>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af9">
    <w:name w:val="页眉 字符"/>
    <w:link w:val="af8"/>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b">
    <w:name w:val="其他发布部门"/>
    <w:basedOn w:val="affc"/>
    <w:qFormat/>
    <w:pPr>
      <w:spacing w:line="0" w:lineRule="atLeast"/>
    </w:pPr>
    <w:rPr>
      <w:rFonts w:ascii="黑体" w:eastAsia="黑体"/>
      <w:b w:val="0"/>
    </w:rPr>
  </w:style>
  <w:style w:type="paragraph" w:customStyle="1" w:styleId="affc">
    <w:name w:val="发布部门"/>
    <w:next w:val="afb"/>
    <w:qFormat/>
    <w:pPr>
      <w:jc w:val="center"/>
    </w:pPr>
    <w:rPr>
      <w:rFonts w:ascii="宋体" w:eastAsiaTheme="minorEastAsia"/>
      <w:b/>
      <w:spacing w:val="20"/>
      <w:w w:val="135"/>
      <w:sz w:val="28"/>
    </w:rPr>
  </w:style>
  <w:style w:type="paragraph" w:customStyle="1" w:styleId="affd">
    <w:name w:val="示例"/>
    <w:next w:val="affe"/>
    <w:qFormat/>
    <w:pPr>
      <w:widowControl w:val="0"/>
      <w:ind w:left="360" w:hanging="360"/>
      <w:jc w:val="both"/>
    </w:pPr>
    <w:rPr>
      <w:rFonts w:ascii="宋体" w:eastAsiaTheme="minorEastAsia"/>
      <w:sz w:val="18"/>
      <w:szCs w:val="18"/>
    </w:rPr>
  </w:style>
  <w:style w:type="paragraph" w:customStyle="1" w:styleId="affe">
    <w:name w:val="示例内容"/>
    <w:qFormat/>
    <w:pPr>
      <w:ind w:firstLineChars="200" w:firstLine="200"/>
    </w:pPr>
    <w:rPr>
      <w:rFonts w:ascii="宋体" w:eastAsiaTheme="minorEastAsia"/>
      <w:sz w:val="18"/>
      <w:szCs w:val="18"/>
    </w:rPr>
  </w:style>
  <w:style w:type="paragraph" w:customStyle="1" w:styleId="afff">
    <w:name w:val="附录数字编号列项（二级）"/>
    <w:qFormat/>
    <w:pPr>
      <w:tabs>
        <w:tab w:val="left" w:pos="363"/>
        <w:tab w:val="left" w:pos="840"/>
      </w:tabs>
      <w:ind w:firstLine="363"/>
    </w:pPr>
    <w:rPr>
      <w:rFonts w:ascii="宋体" w:eastAsiaTheme="minorEastAsia"/>
      <w:sz w:val="21"/>
    </w:rPr>
  </w:style>
  <w:style w:type="paragraph" w:customStyle="1" w:styleId="afff0">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f1">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f2">
    <w:name w:val="三级条标题"/>
    <w:basedOn w:val="afff3"/>
    <w:next w:val="afb"/>
    <w:qFormat/>
    <w:pPr>
      <w:outlineLvl w:val="4"/>
    </w:pPr>
  </w:style>
  <w:style w:type="paragraph" w:customStyle="1" w:styleId="afff3">
    <w:name w:val="二级条标题"/>
    <w:basedOn w:val="afff4"/>
    <w:next w:val="afb"/>
    <w:qFormat/>
    <w:pPr>
      <w:spacing w:beforeLines="0" w:afterLines="0"/>
      <w:outlineLvl w:val="3"/>
    </w:pPr>
  </w:style>
  <w:style w:type="paragraph" w:customStyle="1" w:styleId="afff4">
    <w:name w:val="一级条标题"/>
    <w:next w:val="afb"/>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f5">
    <w:name w:val="附录一级条标题"/>
    <w:basedOn w:val="afff6"/>
    <w:next w:val="afb"/>
    <w:qFormat/>
    <w:pPr>
      <w:tabs>
        <w:tab w:val="left" w:pos="720"/>
      </w:tabs>
      <w:autoSpaceDN w:val="0"/>
      <w:spacing w:beforeLines="50" w:afterLines="50"/>
      <w:ind w:left="720" w:hanging="720"/>
      <w:outlineLvl w:val="2"/>
    </w:pPr>
  </w:style>
  <w:style w:type="paragraph" w:customStyle="1" w:styleId="afff6">
    <w:name w:val="附录章标题"/>
    <w:next w:val="afb"/>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f7">
    <w:name w:val="四级条标题"/>
    <w:basedOn w:val="afff2"/>
    <w:next w:val="afb"/>
    <w:qFormat/>
    <w:pPr>
      <w:outlineLvl w:val="5"/>
    </w:pPr>
  </w:style>
  <w:style w:type="character" w:customStyle="1" w:styleId="afd">
    <w:name w:val="脚注文本 字符"/>
    <w:basedOn w:val="a0"/>
    <w:link w:val="afc"/>
    <w:qFormat/>
    <w:rPr>
      <w:rFonts w:ascii="宋体"/>
      <w:kern w:val="2"/>
      <w:sz w:val="18"/>
      <w:szCs w:val="18"/>
    </w:rPr>
  </w:style>
  <w:style w:type="paragraph" w:customStyle="1" w:styleId="afff8">
    <w:name w:val="章标题"/>
    <w:next w:val="afb"/>
    <w:qFormat/>
    <w:pPr>
      <w:spacing w:beforeLines="100" w:afterLines="100"/>
      <w:jc w:val="both"/>
      <w:outlineLvl w:val="1"/>
    </w:pPr>
    <w:rPr>
      <w:rFonts w:ascii="黑体" w:eastAsia="黑体"/>
      <w:sz w:val="21"/>
    </w:rPr>
  </w:style>
  <w:style w:type="paragraph" w:customStyle="1" w:styleId="afff9">
    <w:name w:val="正文表标题"/>
    <w:next w:val="afb"/>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a">
    <w:name w:val="注："/>
    <w:next w:val="afb"/>
    <w:qFormat/>
    <w:pPr>
      <w:widowControl w:val="0"/>
      <w:autoSpaceDE w:val="0"/>
      <w:autoSpaceDN w:val="0"/>
      <w:jc w:val="both"/>
    </w:pPr>
    <w:rPr>
      <w:rFonts w:ascii="宋体" w:eastAsiaTheme="minorEastAsia"/>
      <w:sz w:val="18"/>
      <w:szCs w:val="18"/>
    </w:rPr>
  </w:style>
  <w:style w:type="paragraph" w:customStyle="1" w:styleId="afffb">
    <w:name w:val="附录五级条标题"/>
    <w:basedOn w:val="afffc"/>
    <w:next w:val="afb"/>
    <w:qFormat/>
    <w:pPr>
      <w:tabs>
        <w:tab w:val="left" w:pos="1296"/>
      </w:tabs>
      <w:ind w:left="1296" w:hanging="1296"/>
      <w:outlineLvl w:val="6"/>
    </w:pPr>
  </w:style>
  <w:style w:type="paragraph" w:customStyle="1" w:styleId="afffc">
    <w:name w:val="附录四级条标题"/>
    <w:basedOn w:val="afffd"/>
    <w:next w:val="afb"/>
    <w:qFormat/>
    <w:pPr>
      <w:outlineLvl w:val="5"/>
    </w:pPr>
  </w:style>
  <w:style w:type="paragraph" w:customStyle="1" w:styleId="afffd">
    <w:name w:val="附录三级条标题"/>
    <w:basedOn w:val="afffe"/>
    <w:next w:val="afb"/>
    <w:qFormat/>
    <w:pPr>
      <w:tabs>
        <w:tab w:val="left" w:pos="1008"/>
      </w:tabs>
      <w:ind w:left="1008" w:hanging="1008"/>
      <w:outlineLvl w:val="4"/>
    </w:pPr>
  </w:style>
  <w:style w:type="paragraph" w:customStyle="1" w:styleId="afffe">
    <w:name w:val="附录二级条标题"/>
    <w:basedOn w:val="a"/>
    <w:next w:val="afb"/>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f">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f0">
    <w:name w:val="一级无"/>
    <w:basedOn w:val="afff4"/>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f1">
    <w:name w:val="附录四级无"/>
    <w:basedOn w:val="afffc"/>
    <w:qFormat/>
    <w:pPr>
      <w:tabs>
        <w:tab w:val="clear" w:pos="360"/>
        <w:tab w:val="left" w:pos="1151"/>
      </w:tabs>
      <w:spacing w:afterLines="0"/>
      <w:ind w:left="1151" w:hanging="1151"/>
    </w:pPr>
    <w:rPr>
      <w:rFonts w:ascii="宋体" w:eastAsia="宋体"/>
      <w:szCs w:val="21"/>
    </w:rPr>
  </w:style>
  <w:style w:type="paragraph" w:customStyle="1" w:styleId="affff2">
    <w:name w:val="实施日期"/>
    <w:basedOn w:val="affff3"/>
    <w:qFormat/>
    <w:pPr>
      <w:jc w:val="right"/>
    </w:pPr>
  </w:style>
  <w:style w:type="paragraph" w:customStyle="1" w:styleId="affff3">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6">
    <w:name w:val="封面标准文稿类别2"/>
    <w:basedOn w:val="affff4"/>
    <w:qFormat/>
  </w:style>
  <w:style w:type="paragraph" w:customStyle="1" w:styleId="affff4">
    <w:name w:val="封面标准文稿类别"/>
    <w:basedOn w:val="affff5"/>
    <w:qFormat/>
    <w:pPr>
      <w:spacing w:line="240" w:lineRule="auto"/>
    </w:pPr>
    <w:rPr>
      <w:sz w:val="24"/>
    </w:rPr>
  </w:style>
  <w:style w:type="paragraph" w:customStyle="1" w:styleId="affff5">
    <w:name w:val="封面一致性程度标识"/>
    <w:basedOn w:val="affff6"/>
    <w:qFormat/>
    <w:pPr>
      <w:spacing w:before="440"/>
    </w:pPr>
    <w:rPr>
      <w:rFonts w:ascii="宋体" w:eastAsia="宋体"/>
    </w:rPr>
  </w:style>
  <w:style w:type="paragraph" w:customStyle="1" w:styleId="affff6">
    <w:name w:val="封面标准英文名称"/>
    <w:basedOn w:val="affff7"/>
    <w:qFormat/>
    <w:pPr>
      <w:spacing w:before="370" w:line="400" w:lineRule="exact"/>
    </w:pPr>
    <w:rPr>
      <w:rFonts w:ascii="Times New Roman"/>
      <w:sz w:val="28"/>
      <w:szCs w:val="28"/>
    </w:rPr>
  </w:style>
  <w:style w:type="paragraph" w:customStyle="1" w:styleId="affff7">
    <w:name w:val="封面标准名称"/>
    <w:qFormat/>
    <w:pPr>
      <w:widowControl w:val="0"/>
      <w:spacing w:line="680" w:lineRule="exact"/>
      <w:jc w:val="center"/>
      <w:textAlignment w:val="center"/>
    </w:pPr>
    <w:rPr>
      <w:rFonts w:ascii="黑体" w:eastAsia="黑体"/>
      <w:sz w:val="52"/>
    </w:rPr>
  </w:style>
  <w:style w:type="paragraph" w:customStyle="1" w:styleId="affff8">
    <w:name w:val="五级条标题"/>
    <w:basedOn w:val="afff7"/>
    <w:next w:val="afb"/>
    <w:qFormat/>
    <w:pPr>
      <w:outlineLvl w:val="6"/>
    </w:pPr>
  </w:style>
  <w:style w:type="paragraph" w:customStyle="1" w:styleId="affff9">
    <w:name w:val="封面标准代替信息"/>
    <w:qFormat/>
    <w:pPr>
      <w:spacing w:before="57" w:line="280" w:lineRule="exact"/>
      <w:jc w:val="right"/>
    </w:pPr>
    <w:rPr>
      <w:rFonts w:ascii="宋体" w:eastAsiaTheme="minorEastAsia"/>
      <w:sz w:val="21"/>
      <w:szCs w:val="21"/>
    </w:rPr>
  </w:style>
  <w:style w:type="character" w:customStyle="1" w:styleId="a6">
    <w:name w:val="批注文字 字符"/>
    <w:basedOn w:val="a0"/>
    <w:link w:val="a4"/>
    <w:semiHidden/>
    <w:qFormat/>
    <w:rPr>
      <w:kern w:val="2"/>
      <w:sz w:val="21"/>
      <w:szCs w:val="24"/>
    </w:rPr>
  </w:style>
  <w:style w:type="character" w:customStyle="1" w:styleId="Char10">
    <w:name w:val="批注主题 Char1"/>
    <w:basedOn w:val="a6"/>
    <w:semiHidden/>
    <w:qFormat/>
    <w:rPr>
      <w:b/>
      <w:bCs/>
      <w:kern w:val="2"/>
      <w:sz w:val="21"/>
      <w:szCs w:val="24"/>
    </w:rPr>
  </w:style>
  <w:style w:type="paragraph" w:customStyle="1" w:styleId="27">
    <w:name w:val="封面标准英文名称2"/>
    <w:basedOn w:val="affff6"/>
    <w:qFormat/>
  </w:style>
  <w:style w:type="paragraph" w:customStyle="1" w:styleId="28">
    <w:name w:val="封面标准号2"/>
    <w:qFormat/>
    <w:pPr>
      <w:spacing w:before="357" w:line="280" w:lineRule="exact"/>
      <w:jc w:val="right"/>
    </w:pPr>
    <w:rPr>
      <w:rFonts w:ascii="黑体" w:eastAsia="黑体"/>
      <w:sz w:val="28"/>
      <w:szCs w:val="28"/>
    </w:rPr>
  </w:style>
  <w:style w:type="paragraph" w:customStyle="1" w:styleId="29">
    <w:name w:val="封面一致性程度标识2"/>
    <w:basedOn w:val="affff5"/>
    <w:qFormat/>
  </w:style>
  <w:style w:type="paragraph" w:customStyle="1" w:styleId="affffa">
    <w:name w:val="注×："/>
    <w:qFormat/>
    <w:pPr>
      <w:widowControl w:val="0"/>
      <w:autoSpaceDE w:val="0"/>
      <w:autoSpaceDN w:val="0"/>
      <w:ind w:left="1287" w:hanging="360"/>
      <w:jc w:val="both"/>
    </w:pPr>
    <w:rPr>
      <w:rFonts w:ascii="宋体" w:eastAsiaTheme="minorEastAsia"/>
      <w:sz w:val="18"/>
      <w:szCs w:val="18"/>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b">
    <w:name w:val="三级无"/>
    <w:basedOn w:val="afff2"/>
    <w:qFormat/>
    <w:rPr>
      <w:rFonts w:ascii="宋体" w:eastAsia="宋体"/>
    </w:rPr>
  </w:style>
  <w:style w:type="paragraph" w:customStyle="1" w:styleId="affffc">
    <w:name w:val="条文脚注"/>
    <w:basedOn w:val="afc"/>
    <w:qFormat/>
    <w:pPr>
      <w:jc w:val="both"/>
    </w:pPr>
  </w:style>
  <w:style w:type="paragraph" w:customStyle="1" w:styleId="affffd">
    <w:name w:val="其他标准标志"/>
    <w:basedOn w:val="affffe"/>
    <w:qFormat/>
    <w:rPr>
      <w:w w:val="130"/>
    </w:rPr>
  </w:style>
  <w:style w:type="paragraph" w:customStyle="1" w:styleId="affffe">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f">
    <w:name w:val="标准书眉一"/>
    <w:qFormat/>
    <w:pPr>
      <w:jc w:val="both"/>
    </w:pPr>
    <w:rPr>
      <w:rFonts w:eastAsiaTheme="minorEastAsia"/>
    </w:rPr>
  </w:style>
  <w:style w:type="paragraph" w:customStyle="1" w:styleId="afffff0">
    <w:name w:val="附录五级无"/>
    <w:basedOn w:val="afffb"/>
    <w:qFormat/>
    <w:pPr>
      <w:tabs>
        <w:tab w:val="clear" w:pos="360"/>
      </w:tabs>
      <w:spacing w:afterLines="0"/>
    </w:pPr>
    <w:rPr>
      <w:rFonts w:ascii="宋体" w:eastAsia="宋体"/>
      <w:szCs w:val="21"/>
    </w:rPr>
  </w:style>
  <w:style w:type="paragraph" w:customStyle="1" w:styleId="afffff1">
    <w:name w:val="图的脚注"/>
    <w:next w:val="afb"/>
    <w:qFormat/>
    <w:pPr>
      <w:widowControl w:val="0"/>
      <w:ind w:leftChars="200" w:left="840" w:hangingChars="200" w:hanging="420"/>
      <w:jc w:val="both"/>
    </w:pPr>
    <w:rPr>
      <w:rFonts w:ascii="宋体" w:eastAsiaTheme="minorEastAsia"/>
      <w:sz w:val="18"/>
    </w:rPr>
  </w:style>
  <w:style w:type="character" w:customStyle="1" w:styleId="af3">
    <w:name w:val="尾注文本 字符"/>
    <w:basedOn w:val="a0"/>
    <w:link w:val="af2"/>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f2">
    <w:name w:val="编号列项（三级）"/>
    <w:qFormat/>
    <w:rPr>
      <w:rFonts w:ascii="宋体" w:eastAsiaTheme="minorEastAsia"/>
      <w:sz w:val="21"/>
    </w:rPr>
  </w:style>
  <w:style w:type="paragraph" w:customStyle="1" w:styleId="afffff3">
    <w:name w:val="附录公式编号制表符"/>
    <w:basedOn w:val="a"/>
    <w:next w:val="afb"/>
    <w:qFormat/>
    <w:pPr>
      <w:widowControl/>
      <w:tabs>
        <w:tab w:val="center" w:pos="4201"/>
        <w:tab w:val="right" w:leader="dot" w:pos="9298"/>
      </w:tabs>
      <w:autoSpaceDE w:val="0"/>
      <w:autoSpaceDN w:val="0"/>
    </w:pPr>
    <w:rPr>
      <w:rFonts w:ascii="宋体"/>
      <w:kern w:val="0"/>
      <w:szCs w:val="20"/>
    </w:rPr>
  </w:style>
  <w:style w:type="paragraph" w:customStyle="1" w:styleId="afffff4">
    <w:name w:val="参考文献、索引标题"/>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f5">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f6">
    <w:name w:val="示例后文字"/>
    <w:basedOn w:val="afb"/>
    <w:next w:val="afb"/>
    <w:qFormat/>
    <w:pPr>
      <w:ind w:firstLine="360"/>
    </w:pPr>
    <w:rPr>
      <w:sz w:val="18"/>
    </w:rPr>
  </w:style>
  <w:style w:type="paragraph" w:customStyle="1" w:styleId="afffff7">
    <w:name w:val="图标脚注说明"/>
    <w:basedOn w:val="afb"/>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f8">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f9">
    <w:name w:val="参考文献"/>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a">
    <w:name w:val="正文图标题"/>
    <w:next w:val="afb"/>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b">
    <w:name w:val="其他实施日期"/>
    <w:basedOn w:val="affff2"/>
    <w:qFormat/>
  </w:style>
  <w:style w:type="paragraph" w:customStyle="1" w:styleId="afffffc">
    <w:name w:val="附录标识"/>
    <w:basedOn w:val="a"/>
    <w:next w:val="afb"/>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d">
    <w:name w:val="四级无"/>
    <w:basedOn w:val="afff7"/>
    <w:qFormat/>
    <w:rPr>
      <w:rFonts w:ascii="宋体" w:eastAsia="宋体"/>
    </w:rPr>
  </w:style>
  <w:style w:type="paragraph" w:customStyle="1" w:styleId="afffffe">
    <w:name w:val="示例×："/>
    <w:basedOn w:val="afff8"/>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4"/>
    <w:qFormat/>
  </w:style>
  <w:style w:type="paragraph" w:customStyle="1" w:styleId="affffff">
    <w:name w:val="其他发布日期"/>
    <w:basedOn w:val="affff3"/>
    <w:qFormat/>
  </w:style>
  <w:style w:type="paragraph" w:customStyle="1" w:styleId="B4">
    <w:name w:val="B4"/>
    <w:basedOn w:val="44"/>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f0">
    <w:name w:val="注×：（正文）"/>
    <w:qFormat/>
    <w:pPr>
      <w:ind w:firstLine="363"/>
      <w:jc w:val="both"/>
    </w:pPr>
    <w:rPr>
      <w:rFonts w:ascii="宋体" w:eastAsiaTheme="minorEastAsia"/>
      <w:sz w:val="18"/>
      <w:szCs w:val="18"/>
    </w:rPr>
  </w:style>
  <w:style w:type="paragraph" w:customStyle="1" w:styleId="affffff1">
    <w:name w:val="附录表标号"/>
    <w:basedOn w:val="a"/>
    <w:next w:val="afb"/>
    <w:qFormat/>
    <w:pPr>
      <w:spacing w:line="14" w:lineRule="exact"/>
      <w:ind w:left="811" w:hanging="448"/>
      <w:jc w:val="center"/>
      <w:outlineLvl w:val="0"/>
    </w:pPr>
    <w:rPr>
      <w:color w:val="FFFFFF"/>
    </w:rPr>
  </w:style>
  <w:style w:type="paragraph" w:customStyle="1" w:styleId="affffff2">
    <w:name w:val="附录图标题"/>
    <w:basedOn w:val="a"/>
    <w:next w:val="afb"/>
    <w:qFormat/>
    <w:pPr>
      <w:tabs>
        <w:tab w:val="left" w:pos="363"/>
      </w:tabs>
      <w:spacing w:afterLines="50"/>
      <w:jc w:val="center"/>
    </w:pPr>
    <w:rPr>
      <w:rFonts w:ascii="黑体" w:eastAsia="黑体"/>
      <w:szCs w:val="21"/>
    </w:rPr>
  </w:style>
  <w:style w:type="paragraph" w:customStyle="1" w:styleId="affffff3">
    <w:name w:val="附录标题"/>
    <w:basedOn w:val="afb"/>
    <w:next w:val="afb"/>
    <w:qFormat/>
    <w:pPr>
      <w:ind w:firstLineChars="0" w:firstLine="0"/>
      <w:jc w:val="center"/>
    </w:pPr>
    <w:rPr>
      <w:rFonts w:ascii="黑体" w:eastAsia="黑体"/>
    </w:rPr>
  </w:style>
  <w:style w:type="paragraph" w:customStyle="1" w:styleId="affffff4">
    <w:name w:val="数字编号列项（二级）"/>
    <w:qFormat/>
    <w:pPr>
      <w:tabs>
        <w:tab w:val="left" w:pos="1260"/>
      </w:tabs>
      <w:ind w:left="1190" w:hanging="567"/>
      <w:jc w:val="both"/>
    </w:pPr>
    <w:rPr>
      <w:rFonts w:ascii="宋体" w:eastAsiaTheme="minorEastAsia"/>
      <w:sz w:val="21"/>
    </w:rPr>
  </w:style>
  <w:style w:type="paragraph" w:customStyle="1" w:styleId="affffff5">
    <w:name w:val="标准书眉_偶数页"/>
    <w:basedOn w:val="afff0"/>
    <w:next w:val="a"/>
    <w:qFormat/>
    <w:pPr>
      <w:jc w:val="left"/>
    </w:pPr>
  </w:style>
  <w:style w:type="paragraph" w:customStyle="1" w:styleId="affffff6">
    <w:name w:val="附录三级无"/>
    <w:basedOn w:val="afffd"/>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7">
    <w:name w:val="字母编号列项（一级）"/>
    <w:qFormat/>
    <w:pPr>
      <w:tabs>
        <w:tab w:val="left" w:pos="840"/>
      </w:tabs>
      <w:ind w:left="623" w:hanging="425"/>
      <w:jc w:val="both"/>
    </w:pPr>
    <w:rPr>
      <w:rFonts w:ascii="宋体" w:eastAsiaTheme="minorEastAsia"/>
      <w:sz w:val="21"/>
    </w:rPr>
  </w:style>
  <w:style w:type="paragraph" w:customStyle="1" w:styleId="affffff8">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9">
    <w:name w:val="目次、索引正文"/>
    <w:qFormat/>
    <w:pPr>
      <w:spacing w:line="320" w:lineRule="exact"/>
      <w:jc w:val="both"/>
    </w:pPr>
    <w:rPr>
      <w:rFonts w:ascii="宋体" w:eastAsiaTheme="minorEastAsia"/>
      <w:sz w:val="21"/>
    </w:rPr>
  </w:style>
  <w:style w:type="paragraph" w:customStyle="1" w:styleId="affffffa">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b">
    <w:name w:val="二级无"/>
    <w:basedOn w:val="afff3"/>
    <w:qFormat/>
    <w:rPr>
      <w:rFonts w:ascii="宋体" w:eastAsia="宋体"/>
    </w:rPr>
  </w:style>
  <w:style w:type="paragraph" w:customStyle="1" w:styleId="affffffc">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d">
    <w:name w:val="注：（正文）"/>
    <w:basedOn w:val="afffa"/>
    <w:next w:val="afb"/>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e">
    <w:name w:val="终结线"/>
    <w:basedOn w:val="a"/>
    <w:qFormat/>
  </w:style>
  <w:style w:type="paragraph" w:customStyle="1" w:styleId="afffffff">
    <w:name w:val="五级无"/>
    <w:basedOn w:val="affff8"/>
    <w:qFormat/>
    <w:rPr>
      <w:rFonts w:ascii="宋体" w:eastAsia="宋体"/>
    </w:rPr>
  </w:style>
  <w:style w:type="paragraph" w:customStyle="1" w:styleId="afffffff0">
    <w:name w:val="正文公式编号制表符"/>
    <w:basedOn w:val="afb"/>
    <w:next w:val="afb"/>
    <w:qFormat/>
    <w:pPr>
      <w:ind w:firstLineChars="0" w:firstLine="0"/>
    </w:pPr>
  </w:style>
  <w:style w:type="paragraph" w:customStyle="1" w:styleId="afffffff1">
    <w:name w:val="列项——（一级）"/>
    <w:qFormat/>
    <w:pPr>
      <w:widowControl w:val="0"/>
      <w:tabs>
        <w:tab w:val="left" w:pos="839"/>
      </w:tabs>
      <w:ind w:left="839" w:hanging="419"/>
      <w:jc w:val="both"/>
    </w:pPr>
    <w:rPr>
      <w:rFonts w:ascii="宋体" w:eastAsiaTheme="minorEastAsia"/>
      <w:sz w:val="21"/>
    </w:rPr>
  </w:style>
  <w:style w:type="paragraph" w:customStyle="1" w:styleId="2a">
    <w:name w:val="封面标准文稿编辑信息2"/>
    <w:basedOn w:val="afffffff2"/>
    <w:qFormat/>
  </w:style>
  <w:style w:type="paragraph" w:customStyle="1" w:styleId="afffffff2">
    <w:name w:val="封面标准文稿编辑信息"/>
    <w:basedOn w:val="affff4"/>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f3">
    <w:name w:val="列项●（二级）"/>
    <w:qFormat/>
    <w:pPr>
      <w:tabs>
        <w:tab w:val="left" w:pos="760"/>
        <w:tab w:val="left" w:pos="840"/>
      </w:tabs>
      <w:ind w:left="839" w:hanging="419"/>
      <w:jc w:val="both"/>
    </w:pPr>
    <w:rPr>
      <w:rFonts w:ascii="宋体" w:eastAsiaTheme="minorEastAsia"/>
      <w:sz w:val="21"/>
    </w:rPr>
  </w:style>
  <w:style w:type="paragraph" w:customStyle="1" w:styleId="2b">
    <w:name w:val="封面标准名称2"/>
    <w:basedOn w:val="affff7"/>
    <w:qFormat/>
    <w:pPr>
      <w:spacing w:beforeLines="630"/>
    </w:pPr>
  </w:style>
  <w:style w:type="paragraph" w:customStyle="1" w:styleId="afffffff4">
    <w:name w:val="前言、引言标题"/>
    <w:next w:val="afb"/>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f5">
    <w:name w:val="附录表标题"/>
    <w:basedOn w:val="a"/>
    <w:next w:val="afb"/>
    <w:qFormat/>
    <w:pPr>
      <w:tabs>
        <w:tab w:val="left" w:pos="180"/>
      </w:tabs>
      <w:spacing w:afterLines="50"/>
      <w:jc w:val="center"/>
    </w:pPr>
    <w:rPr>
      <w:rFonts w:ascii="黑体" w:eastAsia="黑体"/>
      <w:szCs w:val="21"/>
    </w:rPr>
  </w:style>
  <w:style w:type="paragraph" w:customStyle="1" w:styleId="afffffff6">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7">
    <w:name w:val="标准书脚_奇数页"/>
    <w:qFormat/>
    <w:pPr>
      <w:spacing w:before="120"/>
      <w:ind w:right="198"/>
      <w:jc w:val="right"/>
    </w:pPr>
    <w:rPr>
      <w:rFonts w:ascii="宋体" w:eastAsiaTheme="minorEastAsia"/>
      <w:sz w:val="18"/>
      <w:szCs w:val="18"/>
    </w:rPr>
  </w:style>
  <w:style w:type="paragraph" w:customStyle="1" w:styleId="afffffff8">
    <w:name w:val="附录二级无"/>
    <w:basedOn w:val="afffe"/>
    <w:qFormat/>
    <w:pPr>
      <w:tabs>
        <w:tab w:val="clear" w:pos="360"/>
      </w:tabs>
      <w:spacing w:afterLines="0"/>
    </w:pPr>
    <w:rPr>
      <w:rFonts w:ascii="宋体" w:eastAsia="宋体"/>
      <w:szCs w:val="21"/>
    </w:rPr>
  </w:style>
  <w:style w:type="paragraph" w:customStyle="1" w:styleId="afffffff9">
    <w:name w:val="附录一级无"/>
    <w:basedOn w:val="afff5"/>
    <w:qFormat/>
    <w:pPr>
      <w:tabs>
        <w:tab w:val="clear" w:pos="360"/>
      </w:tabs>
      <w:spacing w:beforeLines="0" w:afterLines="0"/>
    </w:pPr>
    <w:rPr>
      <w:rFonts w:ascii="宋体" w:eastAsia="宋体"/>
      <w:szCs w:val="21"/>
    </w:rPr>
  </w:style>
  <w:style w:type="paragraph" w:customStyle="1" w:styleId="afffffffa">
    <w:name w:val="列项说明数字编号"/>
    <w:qFormat/>
    <w:pPr>
      <w:ind w:leftChars="400" w:left="600" w:hangingChars="200" w:hanging="200"/>
    </w:pPr>
    <w:rPr>
      <w:rFonts w:ascii="宋体" w:eastAsiaTheme="minorEastAsia"/>
      <w:sz w:val="21"/>
    </w:rPr>
  </w:style>
  <w:style w:type="paragraph" w:customStyle="1" w:styleId="afffffffb">
    <w:name w:val="目次、标准名称标题"/>
    <w:basedOn w:val="a"/>
    <w:next w:val="af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c">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d">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3">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a"/>
    <w:link w:val="affffffff"/>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0">
    <w:name w:val="标题 5 字符"/>
    <w:basedOn w:val="a0"/>
    <w:link w:val="5"/>
    <w:qFormat/>
    <w:rPr>
      <w:rFonts w:ascii="Arial" w:eastAsia="黑体" w:hAnsi="Arial"/>
      <w:b/>
      <w:bCs/>
      <w:sz w:val="28"/>
      <w:szCs w:val="32"/>
      <w:lang w:val="en-GB"/>
    </w:rPr>
  </w:style>
  <w:style w:type="character" w:customStyle="1" w:styleId="40">
    <w:name w:val="标题 4 字符"/>
    <w:basedOn w:val="a0"/>
    <w:link w:val="4"/>
    <w:uiPriority w:val="9"/>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affffffff">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ffffe"/>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f0">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3">
    <w:name w:val="List Number 3"/>
    <w:basedOn w:val="21"/>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a0"/>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Extracts\R2-2100459_TP%20for%20TR%2038875%20on%20evaluation%20for%20RRM%20relaxation.docx"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archive\RAN2\RAN2%23112\Tdocs\R2-2010761.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Data\3GPP\RAN2\Docs\R2-210146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2.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3.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11F16A6-53EF-4F34-93D9-AE67B4487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6464</Words>
  <Characters>36850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43228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陈喆</cp:lastModifiedBy>
  <cp:revision>3</cp:revision>
  <cp:lastPrinted>2021-01-06T08:07:00Z</cp:lastPrinted>
  <dcterms:created xsi:type="dcterms:W3CDTF">2021-01-31T06:01:00Z</dcterms:created>
  <dcterms:modified xsi:type="dcterms:W3CDTF">2021-02-01T01:48:00Z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ies>
</file>