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2" w:tooltip="C:Data3GPPExtractsR2-2100569 Report of Email discussion[155][REDCAP] RRM relaxations.docx" w:history="1">
        <w:r w:rsidRPr="00066886">
          <w:rPr>
            <w:rStyle w:val="af9"/>
          </w:rPr>
          <w:t>R2-2100569</w:t>
        </w:r>
      </w:hyperlink>
      <w:r>
        <w:rPr>
          <w:rStyle w:val="af9"/>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3" w:tooltip="C:Data3GPPExtractsR2-2100569 Report of Email discussion[155][REDCAP] RRM relaxations.docx" w:history="1">
        <w:r w:rsidRPr="00066886">
          <w:rPr>
            <w:rStyle w:val="af9"/>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4"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c"/>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33236DDB" w:rsidR="00EE5BDF" w:rsidRDefault="00EE5BDF" w:rsidP="00EE5BDF"/>
        </w:tc>
        <w:tc>
          <w:tcPr>
            <w:tcW w:w="6998" w:type="dxa"/>
          </w:tcPr>
          <w:p w14:paraId="4BAF626E" w14:textId="7E7394E1" w:rsidR="00DA1F67" w:rsidRDefault="00DA1F67" w:rsidP="00DA1F67">
            <w:pPr>
              <w:tabs>
                <w:tab w:val="left" w:pos="3280"/>
              </w:tabs>
            </w:pPr>
          </w:p>
        </w:tc>
      </w:tr>
      <w:tr w:rsidR="000E7217" w14:paraId="3A082AE6" w14:textId="77777777" w:rsidTr="004D3510">
        <w:tc>
          <w:tcPr>
            <w:tcW w:w="2547" w:type="dxa"/>
          </w:tcPr>
          <w:p w14:paraId="5512220F" w14:textId="614DE685" w:rsidR="000E7217" w:rsidRDefault="000E7217" w:rsidP="000E7217"/>
        </w:tc>
        <w:tc>
          <w:tcPr>
            <w:tcW w:w="6998" w:type="dxa"/>
          </w:tcPr>
          <w:p w14:paraId="33B175FD" w14:textId="713A369C" w:rsidR="000E7217" w:rsidRDefault="000E7217" w:rsidP="000E7217"/>
        </w:tc>
      </w:tr>
      <w:tr w:rsidR="001D490D" w14:paraId="26747D66" w14:textId="77777777" w:rsidTr="004D3510">
        <w:tc>
          <w:tcPr>
            <w:tcW w:w="2547" w:type="dxa"/>
          </w:tcPr>
          <w:p w14:paraId="6662980A" w14:textId="5AFE5C06" w:rsidR="001D490D" w:rsidRDefault="001D490D" w:rsidP="001D490D"/>
        </w:tc>
        <w:tc>
          <w:tcPr>
            <w:tcW w:w="6998" w:type="dxa"/>
          </w:tcPr>
          <w:p w14:paraId="6F6F9358" w14:textId="0491733B" w:rsidR="001D490D" w:rsidRDefault="001D490D" w:rsidP="001D490D"/>
        </w:tc>
      </w:tr>
      <w:tr w:rsidR="000E7217" w:rsidRPr="00DC70CB" w14:paraId="558D3399" w14:textId="77777777" w:rsidTr="004D3510">
        <w:tc>
          <w:tcPr>
            <w:tcW w:w="2547" w:type="dxa"/>
          </w:tcPr>
          <w:p w14:paraId="5DFB7138" w14:textId="5AF4B90E" w:rsidR="000E7217" w:rsidRDefault="000E7217" w:rsidP="000E7217"/>
        </w:tc>
        <w:tc>
          <w:tcPr>
            <w:tcW w:w="6998" w:type="dxa"/>
          </w:tcPr>
          <w:p w14:paraId="12334FE8" w14:textId="6B1D37DB" w:rsidR="000E7217" w:rsidRPr="00DC70CB" w:rsidRDefault="000E7217" w:rsidP="000E7217">
            <w:pPr>
              <w:rPr>
                <w:lang w:val="fr-FR"/>
              </w:rPr>
            </w:pPr>
          </w:p>
        </w:tc>
      </w:tr>
      <w:tr w:rsidR="005161BC" w:rsidRPr="00DC70CB" w14:paraId="7F580B64" w14:textId="77777777" w:rsidTr="004D3510">
        <w:tc>
          <w:tcPr>
            <w:tcW w:w="2547" w:type="dxa"/>
          </w:tcPr>
          <w:p w14:paraId="604A5721" w14:textId="455B7FBC" w:rsidR="005161BC" w:rsidRDefault="005161BC" w:rsidP="000E7217"/>
        </w:tc>
        <w:tc>
          <w:tcPr>
            <w:tcW w:w="6998" w:type="dxa"/>
          </w:tcPr>
          <w:p w14:paraId="1EFD8806" w14:textId="796C2885" w:rsidR="005161BC" w:rsidRPr="00DC70CB" w:rsidRDefault="005161BC" w:rsidP="000E7217">
            <w:pPr>
              <w:rPr>
                <w:lang w:val="fr-FR" w:eastAsia="zh-CN"/>
              </w:rPr>
            </w:pPr>
          </w:p>
        </w:tc>
      </w:tr>
      <w:tr w:rsidR="005A059E" w:rsidRPr="00DC70CB" w14:paraId="0659C01E" w14:textId="77777777" w:rsidTr="004D3510">
        <w:tc>
          <w:tcPr>
            <w:tcW w:w="2547" w:type="dxa"/>
          </w:tcPr>
          <w:p w14:paraId="4D1C5FC0" w14:textId="533A6C97" w:rsidR="005A059E" w:rsidRPr="00FB0B0F" w:rsidRDefault="005A059E" w:rsidP="000E7217">
            <w:pPr>
              <w:rPr>
                <w:szCs w:val="21"/>
              </w:rPr>
            </w:pPr>
          </w:p>
        </w:tc>
        <w:tc>
          <w:tcPr>
            <w:tcW w:w="6998" w:type="dxa"/>
          </w:tcPr>
          <w:p w14:paraId="549229C8" w14:textId="62402E3B" w:rsidR="005A059E" w:rsidRDefault="005A059E" w:rsidP="000E7217">
            <w:pPr>
              <w:rPr>
                <w:lang w:val="fr-FR"/>
              </w:rPr>
            </w:pPr>
          </w:p>
        </w:tc>
      </w:tr>
      <w:tr w:rsidR="00E6144E" w:rsidRPr="00DC70CB" w14:paraId="4358CF91" w14:textId="77777777" w:rsidTr="004D3510">
        <w:tc>
          <w:tcPr>
            <w:tcW w:w="2547" w:type="dxa"/>
          </w:tcPr>
          <w:p w14:paraId="63EA3E39" w14:textId="4DAFAF12" w:rsidR="00E6144E" w:rsidRDefault="00E6144E" w:rsidP="000E7217">
            <w:pPr>
              <w:rPr>
                <w:szCs w:val="21"/>
                <w:lang w:eastAsia="zh-CN"/>
              </w:rPr>
            </w:pPr>
          </w:p>
        </w:tc>
        <w:tc>
          <w:tcPr>
            <w:tcW w:w="6998" w:type="dxa"/>
          </w:tcPr>
          <w:p w14:paraId="2C61E9F3" w14:textId="0364D0EC" w:rsidR="00E6144E" w:rsidRDefault="00E6144E" w:rsidP="000E7217">
            <w:pPr>
              <w:rPr>
                <w:lang w:val="fr-FR" w:eastAsia="zh-CN"/>
              </w:rPr>
            </w:pP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bookmarkStart w:id="2" w:name="_GoBack"/>
      <w:bookmarkEnd w:id="2"/>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c"/>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lastRenderedPageBreak/>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66F704D3"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FA74EB" w14:paraId="7F5AE8B5" w14:textId="77777777" w:rsidTr="00AF6745">
        <w:tc>
          <w:tcPr>
            <w:tcW w:w="1649"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7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13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AF6745">
        <w:tc>
          <w:tcPr>
            <w:tcW w:w="1649" w:type="dxa"/>
          </w:tcPr>
          <w:p w14:paraId="01A04617" w14:textId="57A13FE4" w:rsidR="00E33451" w:rsidRPr="00FA74EB" w:rsidRDefault="00E33451" w:rsidP="00C92799">
            <w:pPr>
              <w:rPr>
                <w:sz w:val="20"/>
                <w:szCs w:val="20"/>
              </w:rPr>
            </w:pPr>
          </w:p>
        </w:tc>
        <w:tc>
          <w:tcPr>
            <w:tcW w:w="1742" w:type="dxa"/>
          </w:tcPr>
          <w:p w14:paraId="7CAD9BB2" w14:textId="577F6672" w:rsidR="00E33451" w:rsidRPr="00FA74EB" w:rsidRDefault="00E33451" w:rsidP="00C92799">
            <w:pPr>
              <w:rPr>
                <w:sz w:val="20"/>
                <w:szCs w:val="20"/>
              </w:rPr>
            </w:pPr>
          </w:p>
        </w:tc>
        <w:tc>
          <w:tcPr>
            <w:tcW w:w="6130" w:type="dxa"/>
          </w:tcPr>
          <w:p w14:paraId="2B3AF679" w14:textId="78FF09ED" w:rsidR="00E33451" w:rsidRPr="00FA74EB" w:rsidRDefault="00E33451" w:rsidP="00C92799">
            <w:pPr>
              <w:rPr>
                <w:sz w:val="20"/>
                <w:szCs w:val="20"/>
              </w:rPr>
            </w:pPr>
          </w:p>
        </w:tc>
      </w:tr>
      <w:tr w:rsidR="00FA74EB" w14:paraId="6971BE75" w14:textId="77777777" w:rsidTr="00AF6745">
        <w:tc>
          <w:tcPr>
            <w:tcW w:w="1649" w:type="dxa"/>
          </w:tcPr>
          <w:p w14:paraId="11A8F802" w14:textId="77777777" w:rsidR="00E33451" w:rsidRPr="00FA74EB" w:rsidRDefault="00E33451" w:rsidP="00C92799">
            <w:pPr>
              <w:rPr>
                <w:sz w:val="20"/>
                <w:szCs w:val="20"/>
              </w:rPr>
            </w:pPr>
          </w:p>
        </w:tc>
        <w:tc>
          <w:tcPr>
            <w:tcW w:w="1742" w:type="dxa"/>
          </w:tcPr>
          <w:p w14:paraId="1A3F2564" w14:textId="77777777" w:rsidR="00E33451" w:rsidRPr="00FA74EB" w:rsidRDefault="00E33451" w:rsidP="00C92799">
            <w:pPr>
              <w:rPr>
                <w:sz w:val="20"/>
                <w:szCs w:val="20"/>
              </w:rPr>
            </w:pPr>
          </w:p>
        </w:tc>
        <w:tc>
          <w:tcPr>
            <w:tcW w:w="6130" w:type="dxa"/>
          </w:tcPr>
          <w:p w14:paraId="038A3DCE" w14:textId="77777777" w:rsidR="00E33451" w:rsidRPr="00FA74EB" w:rsidRDefault="00E33451" w:rsidP="00C92799">
            <w:pPr>
              <w:rPr>
                <w:sz w:val="20"/>
                <w:szCs w:val="20"/>
              </w:rPr>
            </w:pPr>
          </w:p>
        </w:tc>
      </w:tr>
      <w:tr w:rsidR="00E33451" w14:paraId="5683A409" w14:textId="77777777" w:rsidTr="00AF6745">
        <w:tc>
          <w:tcPr>
            <w:tcW w:w="1649" w:type="dxa"/>
          </w:tcPr>
          <w:p w14:paraId="20EEC0A9" w14:textId="77777777" w:rsidR="00E33451" w:rsidRPr="00FA74EB" w:rsidRDefault="00E33451" w:rsidP="00C92799">
            <w:pPr>
              <w:rPr>
                <w:sz w:val="20"/>
                <w:szCs w:val="20"/>
              </w:rPr>
            </w:pPr>
          </w:p>
        </w:tc>
        <w:tc>
          <w:tcPr>
            <w:tcW w:w="1742" w:type="dxa"/>
          </w:tcPr>
          <w:p w14:paraId="0261D7F5" w14:textId="77777777" w:rsidR="00E33451" w:rsidRPr="00FA74EB" w:rsidRDefault="00E33451" w:rsidP="00C92799">
            <w:pPr>
              <w:rPr>
                <w:sz w:val="20"/>
                <w:szCs w:val="20"/>
              </w:rPr>
            </w:pPr>
          </w:p>
        </w:tc>
        <w:tc>
          <w:tcPr>
            <w:tcW w:w="6130" w:type="dxa"/>
          </w:tcPr>
          <w:p w14:paraId="7EA68D32" w14:textId="77777777" w:rsidR="00E33451" w:rsidRPr="00FA74EB" w:rsidRDefault="00E33451" w:rsidP="00C92799">
            <w:pPr>
              <w:rPr>
                <w:sz w:val="20"/>
                <w:szCs w:val="20"/>
              </w:rPr>
            </w:pPr>
          </w:p>
        </w:tc>
      </w:tr>
    </w:tbl>
    <w:p w14:paraId="72067032" w14:textId="78189AA6"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0583E004" w14:textId="77777777" w:rsidTr="00A752A4">
        <w:tc>
          <w:tcPr>
            <w:tcW w:w="1657" w:type="dxa"/>
            <w:shd w:val="clear" w:color="auto" w:fill="BFBFBF" w:themeFill="background1" w:themeFillShade="BF"/>
            <w:vAlign w:val="center"/>
          </w:tcPr>
          <w:p w14:paraId="7C0B1569" w14:textId="77777777" w:rsidR="00AF6745" w:rsidRDefault="00AF6745" w:rsidP="00A752A4">
            <w:pPr>
              <w:rPr>
                <w:b/>
              </w:rPr>
            </w:pPr>
            <w:r>
              <w:rPr>
                <w:b/>
              </w:rPr>
              <w:t>Company</w:t>
            </w:r>
          </w:p>
        </w:tc>
        <w:tc>
          <w:tcPr>
            <w:tcW w:w="1759" w:type="dxa"/>
            <w:shd w:val="clear" w:color="auto" w:fill="BFBFBF" w:themeFill="background1" w:themeFillShade="BF"/>
            <w:vAlign w:val="center"/>
          </w:tcPr>
          <w:p w14:paraId="50416909" w14:textId="77777777" w:rsidR="00AF6745" w:rsidRDefault="00AF6745" w:rsidP="00A752A4">
            <w:pPr>
              <w:rPr>
                <w:b/>
              </w:rPr>
            </w:pPr>
            <w:r>
              <w:rPr>
                <w:b/>
              </w:rPr>
              <w:t>Agree</w:t>
            </w:r>
          </w:p>
          <w:p w14:paraId="78675CE7" w14:textId="77777777" w:rsidR="00AF6745" w:rsidRDefault="00AF6745" w:rsidP="00A752A4">
            <w:pPr>
              <w:rPr>
                <w:b/>
              </w:rPr>
            </w:pPr>
            <w:r>
              <w:rPr>
                <w:b/>
              </w:rPr>
              <w:t>(Yes or No)</w:t>
            </w:r>
          </w:p>
        </w:tc>
        <w:tc>
          <w:tcPr>
            <w:tcW w:w="6218" w:type="dxa"/>
            <w:shd w:val="clear" w:color="auto" w:fill="BFBFBF" w:themeFill="background1" w:themeFillShade="BF"/>
            <w:vAlign w:val="center"/>
          </w:tcPr>
          <w:p w14:paraId="3063F391" w14:textId="77777777" w:rsidR="00AF6745" w:rsidRDefault="00AF6745" w:rsidP="00A752A4">
            <w:pPr>
              <w:rPr>
                <w:b/>
              </w:rPr>
            </w:pPr>
            <w:r>
              <w:rPr>
                <w:b/>
              </w:rPr>
              <w:t>Comments</w:t>
            </w:r>
          </w:p>
        </w:tc>
      </w:tr>
      <w:tr w:rsidR="00AF6745" w14:paraId="4E7F1B9A" w14:textId="77777777" w:rsidTr="00A752A4">
        <w:tc>
          <w:tcPr>
            <w:tcW w:w="1657" w:type="dxa"/>
          </w:tcPr>
          <w:p w14:paraId="2F35A0DE" w14:textId="3986DC9E" w:rsidR="00AF6745" w:rsidRPr="00FA74EB" w:rsidRDefault="00AF6745" w:rsidP="00A752A4">
            <w:pPr>
              <w:rPr>
                <w:sz w:val="20"/>
                <w:szCs w:val="20"/>
              </w:rPr>
            </w:pPr>
          </w:p>
        </w:tc>
        <w:tc>
          <w:tcPr>
            <w:tcW w:w="1759" w:type="dxa"/>
          </w:tcPr>
          <w:p w14:paraId="37692CF5" w14:textId="5B205A28" w:rsidR="00AF6745" w:rsidRPr="00FA74EB" w:rsidRDefault="00AF6745" w:rsidP="00A752A4">
            <w:pPr>
              <w:rPr>
                <w:sz w:val="20"/>
                <w:szCs w:val="20"/>
              </w:rPr>
            </w:pPr>
          </w:p>
        </w:tc>
        <w:tc>
          <w:tcPr>
            <w:tcW w:w="6218" w:type="dxa"/>
          </w:tcPr>
          <w:p w14:paraId="58EE7158" w14:textId="77777777" w:rsidR="00AF6745" w:rsidRPr="00FA74EB" w:rsidRDefault="00AF6745" w:rsidP="00A752A4">
            <w:pPr>
              <w:rPr>
                <w:sz w:val="20"/>
                <w:szCs w:val="20"/>
              </w:rPr>
            </w:pPr>
          </w:p>
        </w:tc>
      </w:tr>
      <w:tr w:rsidR="00AF6745" w14:paraId="29DBEE42" w14:textId="77777777" w:rsidTr="00A752A4">
        <w:tc>
          <w:tcPr>
            <w:tcW w:w="1657" w:type="dxa"/>
          </w:tcPr>
          <w:p w14:paraId="7D52CC97" w14:textId="77777777" w:rsidR="00AF6745" w:rsidRPr="00FA74EB" w:rsidRDefault="00AF6745" w:rsidP="00A752A4">
            <w:pPr>
              <w:rPr>
                <w:sz w:val="20"/>
                <w:szCs w:val="20"/>
              </w:rPr>
            </w:pPr>
          </w:p>
        </w:tc>
        <w:tc>
          <w:tcPr>
            <w:tcW w:w="1759" w:type="dxa"/>
          </w:tcPr>
          <w:p w14:paraId="6C7FC167" w14:textId="77777777" w:rsidR="00AF6745" w:rsidRPr="00FA74EB" w:rsidRDefault="00AF6745" w:rsidP="00A752A4">
            <w:pPr>
              <w:rPr>
                <w:sz w:val="20"/>
                <w:szCs w:val="20"/>
              </w:rPr>
            </w:pPr>
          </w:p>
        </w:tc>
        <w:tc>
          <w:tcPr>
            <w:tcW w:w="6218" w:type="dxa"/>
          </w:tcPr>
          <w:p w14:paraId="7C2B72B1" w14:textId="77777777" w:rsidR="00AF6745" w:rsidRPr="00FA74EB" w:rsidRDefault="00AF6745" w:rsidP="00A752A4">
            <w:pPr>
              <w:rPr>
                <w:sz w:val="20"/>
                <w:szCs w:val="20"/>
              </w:rPr>
            </w:pPr>
          </w:p>
        </w:tc>
      </w:tr>
      <w:tr w:rsidR="00AF6745" w14:paraId="6FBAA225" w14:textId="77777777" w:rsidTr="00A752A4">
        <w:tc>
          <w:tcPr>
            <w:tcW w:w="1657" w:type="dxa"/>
          </w:tcPr>
          <w:p w14:paraId="75501A7D" w14:textId="77777777" w:rsidR="00AF6745" w:rsidRPr="00FA74EB" w:rsidRDefault="00AF6745" w:rsidP="00A752A4">
            <w:pPr>
              <w:rPr>
                <w:sz w:val="20"/>
                <w:szCs w:val="20"/>
              </w:rPr>
            </w:pPr>
          </w:p>
        </w:tc>
        <w:tc>
          <w:tcPr>
            <w:tcW w:w="1759" w:type="dxa"/>
          </w:tcPr>
          <w:p w14:paraId="1D151650" w14:textId="77777777" w:rsidR="00AF6745" w:rsidRPr="00FA74EB" w:rsidRDefault="00AF6745" w:rsidP="00A752A4">
            <w:pPr>
              <w:rPr>
                <w:sz w:val="20"/>
                <w:szCs w:val="20"/>
              </w:rPr>
            </w:pPr>
          </w:p>
        </w:tc>
        <w:tc>
          <w:tcPr>
            <w:tcW w:w="6218" w:type="dxa"/>
          </w:tcPr>
          <w:p w14:paraId="4D05B9ED" w14:textId="77777777" w:rsidR="00AF6745" w:rsidRPr="00FA74EB" w:rsidRDefault="00AF6745" w:rsidP="00A752A4">
            <w:pPr>
              <w:rPr>
                <w:sz w:val="20"/>
                <w:szCs w:val="20"/>
              </w:rPr>
            </w:pPr>
          </w:p>
        </w:tc>
      </w:tr>
    </w:tbl>
    <w:p w14:paraId="5F0E42F1" w14:textId="5251C160"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5734F790" w14:textId="77777777" w:rsidTr="00A752A4">
        <w:tc>
          <w:tcPr>
            <w:tcW w:w="1657" w:type="dxa"/>
            <w:shd w:val="clear" w:color="auto" w:fill="BFBFBF" w:themeFill="background1" w:themeFillShade="BF"/>
            <w:vAlign w:val="center"/>
          </w:tcPr>
          <w:p w14:paraId="412B0146" w14:textId="77777777" w:rsidR="00AF6745" w:rsidRDefault="00AF6745" w:rsidP="00A752A4">
            <w:pPr>
              <w:rPr>
                <w:b/>
              </w:rPr>
            </w:pPr>
            <w:r>
              <w:rPr>
                <w:b/>
              </w:rPr>
              <w:lastRenderedPageBreak/>
              <w:t>Company</w:t>
            </w:r>
          </w:p>
        </w:tc>
        <w:tc>
          <w:tcPr>
            <w:tcW w:w="1759" w:type="dxa"/>
            <w:shd w:val="clear" w:color="auto" w:fill="BFBFBF" w:themeFill="background1" w:themeFillShade="BF"/>
            <w:vAlign w:val="center"/>
          </w:tcPr>
          <w:p w14:paraId="29DCBF96" w14:textId="77777777" w:rsidR="00AF6745" w:rsidRDefault="00AF6745" w:rsidP="00A752A4">
            <w:pPr>
              <w:rPr>
                <w:b/>
              </w:rPr>
            </w:pPr>
            <w:r>
              <w:rPr>
                <w:b/>
              </w:rPr>
              <w:t>Agree</w:t>
            </w:r>
          </w:p>
          <w:p w14:paraId="14AE9937" w14:textId="77777777" w:rsidR="00AF6745" w:rsidRDefault="00AF6745" w:rsidP="00A752A4">
            <w:pPr>
              <w:rPr>
                <w:b/>
              </w:rPr>
            </w:pPr>
            <w:r>
              <w:rPr>
                <w:b/>
              </w:rPr>
              <w:t>(Yes or No)</w:t>
            </w:r>
          </w:p>
        </w:tc>
        <w:tc>
          <w:tcPr>
            <w:tcW w:w="6218" w:type="dxa"/>
            <w:shd w:val="clear" w:color="auto" w:fill="BFBFBF" w:themeFill="background1" w:themeFillShade="BF"/>
            <w:vAlign w:val="center"/>
          </w:tcPr>
          <w:p w14:paraId="09387D8B" w14:textId="77777777" w:rsidR="00AF6745" w:rsidRDefault="00AF6745" w:rsidP="00A752A4">
            <w:pPr>
              <w:rPr>
                <w:b/>
              </w:rPr>
            </w:pPr>
            <w:r>
              <w:rPr>
                <w:b/>
              </w:rPr>
              <w:t>Comments</w:t>
            </w:r>
          </w:p>
        </w:tc>
      </w:tr>
      <w:tr w:rsidR="00AF6745" w14:paraId="5A6B4174" w14:textId="77777777" w:rsidTr="00A752A4">
        <w:tc>
          <w:tcPr>
            <w:tcW w:w="1657" w:type="dxa"/>
          </w:tcPr>
          <w:p w14:paraId="260A46C0" w14:textId="07AFCBE6" w:rsidR="00AF6745" w:rsidRPr="00FA74EB" w:rsidRDefault="00AF6745" w:rsidP="00A752A4">
            <w:pPr>
              <w:rPr>
                <w:sz w:val="20"/>
                <w:szCs w:val="20"/>
              </w:rPr>
            </w:pPr>
          </w:p>
        </w:tc>
        <w:tc>
          <w:tcPr>
            <w:tcW w:w="1759" w:type="dxa"/>
          </w:tcPr>
          <w:p w14:paraId="7348FBC1" w14:textId="23C6A3BD" w:rsidR="00AF6745" w:rsidRPr="00FA74EB" w:rsidRDefault="00AF6745" w:rsidP="00A752A4">
            <w:pPr>
              <w:rPr>
                <w:sz w:val="20"/>
                <w:szCs w:val="20"/>
              </w:rPr>
            </w:pPr>
          </w:p>
        </w:tc>
        <w:tc>
          <w:tcPr>
            <w:tcW w:w="6218" w:type="dxa"/>
          </w:tcPr>
          <w:p w14:paraId="51EF0A4E" w14:textId="77777777" w:rsidR="00AF6745" w:rsidRPr="00FA74EB" w:rsidRDefault="00AF6745" w:rsidP="00A752A4">
            <w:pPr>
              <w:rPr>
                <w:sz w:val="20"/>
                <w:szCs w:val="20"/>
              </w:rPr>
            </w:pPr>
          </w:p>
        </w:tc>
      </w:tr>
      <w:tr w:rsidR="00AF6745" w14:paraId="3F28673B" w14:textId="77777777" w:rsidTr="00A752A4">
        <w:tc>
          <w:tcPr>
            <w:tcW w:w="1657" w:type="dxa"/>
          </w:tcPr>
          <w:p w14:paraId="5FBAE74A" w14:textId="77777777" w:rsidR="00AF6745" w:rsidRPr="00FA74EB" w:rsidRDefault="00AF6745" w:rsidP="00A752A4">
            <w:pPr>
              <w:rPr>
                <w:sz w:val="20"/>
                <w:szCs w:val="20"/>
              </w:rPr>
            </w:pPr>
          </w:p>
        </w:tc>
        <w:tc>
          <w:tcPr>
            <w:tcW w:w="1759" w:type="dxa"/>
          </w:tcPr>
          <w:p w14:paraId="2047EE28" w14:textId="77777777" w:rsidR="00AF6745" w:rsidRPr="00FA74EB" w:rsidRDefault="00AF6745" w:rsidP="00A752A4">
            <w:pPr>
              <w:rPr>
                <w:sz w:val="20"/>
                <w:szCs w:val="20"/>
              </w:rPr>
            </w:pPr>
          </w:p>
        </w:tc>
        <w:tc>
          <w:tcPr>
            <w:tcW w:w="6218" w:type="dxa"/>
          </w:tcPr>
          <w:p w14:paraId="02883A12" w14:textId="77777777" w:rsidR="00AF6745" w:rsidRPr="00FA74EB" w:rsidRDefault="00AF6745" w:rsidP="00A752A4">
            <w:pPr>
              <w:rPr>
                <w:sz w:val="20"/>
                <w:szCs w:val="20"/>
              </w:rPr>
            </w:pPr>
          </w:p>
        </w:tc>
      </w:tr>
      <w:tr w:rsidR="00AF6745" w14:paraId="4CDC6FD1" w14:textId="77777777" w:rsidTr="00A752A4">
        <w:tc>
          <w:tcPr>
            <w:tcW w:w="1657" w:type="dxa"/>
          </w:tcPr>
          <w:p w14:paraId="0C0D201A" w14:textId="77777777" w:rsidR="00AF6745" w:rsidRPr="00FA74EB" w:rsidRDefault="00AF6745" w:rsidP="00A752A4">
            <w:pPr>
              <w:rPr>
                <w:sz w:val="20"/>
                <w:szCs w:val="20"/>
              </w:rPr>
            </w:pPr>
          </w:p>
        </w:tc>
        <w:tc>
          <w:tcPr>
            <w:tcW w:w="1759" w:type="dxa"/>
          </w:tcPr>
          <w:p w14:paraId="6E952B82" w14:textId="77777777" w:rsidR="00AF6745" w:rsidRPr="00FA74EB" w:rsidRDefault="00AF6745" w:rsidP="00A752A4">
            <w:pPr>
              <w:rPr>
                <w:sz w:val="20"/>
                <w:szCs w:val="20"/>
              </w:rPr>
            </w:pPr>
          </w:p>
        </w:tc>
        <w:tc>
          <w:tcPr>
            <w:tcW w:w="6218" w:type="dxa"/>
          </w:tcPr>
          <w:p w14:paraId="6BB2FE8E" w14:textId="77777777" w:rsidR="00AF6745" w:rsidRPr="00FA74EB" w:rsidRDefault="00AF6745" w:rsidP="00A752A4">
            <w:pPr>
              <w:rPr>
                <w:sz w:val="20"/>
                <w:szCs w:val="20"/>
              </w:rPr>
            </w:pPr>
          </w:p>
        </w:tc>
      </w:tr>
    </w:tbl>
    <w:p w14:paraId="71616E14" w14:textId="7CDEC4E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2CAC0418" w14:textId="77777777" w:rsidTr="00A752A4">
        <w:tc>
          <w:tcPr>
            <w:tcW w:w="1657" w:type="dxa"/>
            <w:shd w:val="clear" w:color="auto" w:fill="BFBFBF" w:themeFill="background1" w:themeFillShade="BF"/>
            <w:vAlign w:val="center"/>
          </w:tcPr>
          <w:p w14:paraId="41C8E954" w14:textId="77777777" w:rsidR="00AF6745" w:rsidRDefault="00AF6745" w:rsidP="00A752A4">
            <w:pPr>
              <w:rPr>
                <w:b/>
              </w:rPr>
            </w:pPr>
            <w:r>
              <w:rPr>
                <w:b/>
              </w:rPr>
              <w:t>Company</w:t>
            </w:r>
          </w:p>
        </w:tc>
        <w:tc>
          <w:tcPr>
            <w:tcW w:w="1759" w:type="dxa"/>
            <w:shd w:val="clear" w:color="auto" w:fill="BFBFBF" w:themeFill="background1" w:themeFillShade="BF"/>
            <w:vAlign w:val="center"/>
          </w:tcPr>
          <w:p w14:paraId="53AC234A" w14:textId="77777777" w:rsidR="00AF6745" w:rsidRDefault="00AF6745" w:rsidP="00A752A4">
            <w:pPr>
              <w:rPr>
                <w:b/>
              </w:rPr>
            </w:pPr>
            <w:r>
              <w:rPr>
                <w:b/>
              </w:rPr>
              <w:t>Agree</w:t>
            </w:r>
          </w:p>
          <w:p w14:paraId="0DD2BDAE" w14:textId="77777777" w:rsidR="00AF6745" w:rsidRDefault="00AF6745" w:rsidP="00A752A4">
            <w:pPr>
              <w:rPr>
                <w:b/>
              </w:rPr>
            </w:pPr>
            <w:r>
              <w:rPr>
                <w:b/>
              </w:rPr>
              <w:t>(Yes or No)</w:t>
            </w:r>
          </w:p>
        </w:tc>
        <w:tc>
          <w:tcPr>
            <w:tcW w:w="6218" w:type="dxa"/>
            <w:shd w:val="clear" w:color="auto" w:fill="BFBFBF" w:themeFill="background1" w:themeFillShade="BF"/>
            <w:vAlign w:val="center"/>
          </w:tcPr>
          <w:p w14:paraId="68C36FFC" w14:textId="77777777" w:rsidR="00AF6745" w:rsidRDefault="00AF6745" w:rsidP="00A752A4">
            <w:pPr>
              <w:rPr>
                <w:b/>
              </w:rPr>
            </w:pPr>
            <w:r>
              <w:rPr>
                <w:b/>
              </w:rPr>
              <w:t>Comments</w:t>
            </w:r>
          </w:p>
        </w:tc>
      </w:tr>
      <w:tr w:rsidR="00AF6745" w14:paraId="1B88A6A5" w14:textId="77777777" w:rsidTr="00A752A4">
        <w:tc>
          <w:tcPr>
            <w:tcW w:w="1657" w:type="dxa"/>
          </w:tcPr>
          <w:p w14:paraId="5E25D59F" w14:textId="1CEB6BE8" w:rsidR="00AF6745" w:rsidRPr="00FA74EB" w:rsidRDefault="00AF6745" w:rsidP="00A752A4">
            <w:pPr>
              <w:rPr>
                <w:sz w:val="20"/>
                <w:szCs w:val="20"/>
              </w:rPr>
            </w:pPr>
          </w:p>
        </w:tc>
        <w:tc>
          <w:tcPr>
            <w:tcW w:w="1759" w:type="dxa"/>
          </w:tcPr>
          <w:p w14:paraId="6C812AD9" w14:textId="12C89BF8" w:rsidR="00AF6745" w:rsidRPr="00FA74EB" w:rsidRDefault="00AF6745" w:rsidP="00A752A4">
            <w:pPr>
              <w:rPr>
                <w:sz w:val="20"/>
                <w:szCs w:val="20"/>
              </w:rPr>
            </w:pPr>
          </w:p>
        </w:tc>
        <w:tc>
          <w:tcPr>
            <w:tcW w:w="6218" w:type="dxa"/>
          </w:tcPr>
          <w:p w14:paraId="3255AADD" w14:textId="77777777" w:rsidR="00AF6745" w:rsidRPr="00FA74EB" w:rsidRDefault="00AF6745" w:rsidP="00A752A4">
            <w:pPr>
              <w:rPr>
                <w:sz w:val="20"/>
                <w:szCs w:val="20"/>
              </w:rPr>
            </w:pPr>
          </w:p>
        </w:tc>
      </w:tr>
      <w:tr w:rsidR="00AF6745" w14:paraId="367C66E3" w14:textId="77777777" w:rsidTr="00A752A4">
        <w:tc>
          <w:tcPr>
            <w:tcW w:w="1657" w:type="dxa"/>
          </w:tcPr>
          <w:p w14:paraId="646DD0EB" w14:textId="77777777" w:rsidR="00AF6745" w:rsidRPr="00FA74EB" w:rsidRDefault="00AF6745" w:rsidP="00A752A4">
            <w:pPr>
              <w:rPr>
                <w:sz w:val="20"/>
                <w:szCs w:val="20"/>
              </w:rPr>
            </w:pPr>
          </w:p>
        </w:tc>
        <w:tc>
          <w:tcPr>
            <w:tcW w:w="1759" w:type="dxa"/>
          </w:tcPr>
          <w:p w14:paraId="63F4C46D" w14:textId="77777777" w:rsidR="00AF6745" w:rsidRPr="00FA74EB" w:rsidRDefault="00AF6745" w:rsidP="00A752A4">
            <w:pPr>
              <w:rPr>
                <w:sz w:val="20"/>
                <w:szCs w:val="20"/>
              </w:rPr>
            </w:pPr>
          </w:p>
        </w:tc>
        <w:tc>
          <w:tcPr>
            <w:tcW w:w="6218" w:type="dxa"/>
          </w:tcPr>
          <w:p w14:paraId="40206982" w14:textId="77777777" w:rsidR="00AF6745" w:rsidRPr="00FA74EB" w:rsidRDefault="00AF6745" w:rsidP="00A752A4">
            <w:pPr>
              <w:rPr>
                <w:sz w:val="20"/>
                <w:szCs w:val="20"/>
              </w:rPr>
            </w:pPr>
          </w:p>
        </w:tc>
      </w:tr>
      <w:tr w:rsidR="00AF6745" w14:paraId="72D96F1C" w14:textId="77777777" w:rsidTr="00A752A4">
        <w:tc>
          <w:tcPr>
            <w:tcW w:w="1657" w:type="dxa"/>
          </w:tcPr>
          <w:p w14:paraId="5D83D0F4" w14:textId="77777777" w:rsidR="00AF6745" w:rsidRPr="00FA74EB" w:rsidRDefault="00AF6745" w:rsidP="00A752A4">
            <w:pPr>
              <w:rPr>
                <w:sz w:val="20"/>
                <w:szCs w:val="20"/>
              </w:rPr>
            </w:pPr>
          </w:p>
        </w:tc>
        <w:tc>
          <w:tcPr>
            <w:tcW w:w="1759" w:type="dxa"/>
          </w:tcPr>
          <w:p w14:paraId="24F40D37" w14:textId="77777777" w:rsidR="00AF6745" w:rsidRPr="00FA74EB" w:rsidRDefault="00AF6745" w:rsidP="00A752A4">
            <w:pPr>
              <w:rPr>
                <w:sz w:val="20"/>
                <w:szCs w:val="20"/>
              </w:rPr>
            </w:pPr>
          </w:p>
        </w:tc>
        <w:tc>
          <w:tcPr>
            <w:tcW w:w="6218" w:type="dxa"/>
          </w:tcPr>
          <w:p w14:paraId="41ABB206" w14:textId="77777777" w:rsidR="00AF6745" w:rsidRPr="00FA74EB" w:rsidRDefault="00AF6745" w:rsidP="00A752A4">
            <w:pPr>
              <w:rPr>
                <w:sz w:val="20"/>
                <w:szCs w:val="20"/>
              </w:rPr>
            </w:pPr>
          </w:p>
        </w:tc>
      </w:tr>
    </w:tbl>
    <w:p w14:paraId="033D9C85" w14:textId="68296A8D"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6C64DBFB" w14:textId="77777777" w:rsidTr="00A752A4">
        <w:tc>
          <w:tcPr>
            <w:tcW w:w="1657" w:type="dxa"/>
            <w:shd w:val="clear" w:color="auto" w:fill="BFBFBF" w:themeFill="background1" w:themeFillShade="BF"/>
            <w:vAlign w:val="center"/>
          </w:tcPr>
          <w:p w14:paraId="6DAA433A" w14:textId="77777777" w:rsidR="00AF6745" w:rsidRDefault="00AF6745" w:rsidP="00A752A4">
            <w:pPr>
              <w:rPr>
                <w:b/>
              </w:rPr>
            </w:pPr>
            <w:r>
              <w:rPr>
                <w:b/>
              </w:rPr>
              <w:t>Company</w:t>
            </w:r>
          </w:p>
        </w:tc>
        <w:tc>
          <w:tcPr>
            <w:tcW w:w="1759" w:type="dxa"/>
            <w:shd w:val="clear" w:color="auto" w:fill="BFBFBF" w:themeFill="background1" w:themeFillShade="BF"/>
            <w:vAlign w:val="center"/>
          </w:tcPr>
          <w:p w14:paraId="37E1E8A8" w14:textId="77777777" w:rsidR="00AF6745" w:rsidRDefault="00AF6745" w:rsidP="00A752A4">
            <w:pPr>
              <w:rPr>
                <w:b/>
              </w:rPr>
            </w:pPr>
            <w:r>
              <w:rPr>
                <w:b/>
              </w:rPr>
              <w:t>Agree</w:t>
            </w:r>
          </w:p>
          <w:p w14:paraId="70A744AD" w14:textId="77777777" w:rsidR="00AF6745" w:rsidRDefault="00AF6745" w:rsidP="00A752A4">
            <w:pPr>
              <w:rPr>
                <w:b/>
              </w:rPr>
            </w:pPr>
            <w:r>
              <w:rPr>
                <w:b/>
              </w:rPr>
              <w:t>(Yes or No)</w:t>
            </w:r>
          </w:p>
        </w:tc>
        <w:tc>
          <w:tcPr>
            <w:tcW w:w="6218" w:type="dxa"/>
            <w:shd w:val="clear" w:color="auto" w:fill="BFBFBF" w:themeFill="background1" w:themeFillShade="BF"/>
            <w:vAlign w:val="center"/>
          </w:tcPr>
          <w:p w14:paraId="5C02A445" w14:textId="77777777" w:rsidR="00AF6745" w:rsidRDefault="00AF6745" w:rsidP="00A752A4">
            <w:pPr>
              <w:rPr>
                <w:b/>
              </w:rPr>
            </w:pPr>
            <w:r>
              <w:rPr>
                <w:b/>
              </w:rPr>
              <w:t>Comments</w:t>
            </w:r>
          </w:p>
        </w:tc>
      </w:tr>
      <w:tr w:rsidR="00AF6745" w14:paraId="50E5397B" w14:textId="77777777" w:rsidTr="00A752A4">
        <w:tc>
          <w:tcPr>
            <w:tcW w:w="1657" w:type="dxa"/>
          </w:tcPr>
          <w:p w14:paraId="7458221E" w14:textId="4164E66C" w:rsidR="00AF6745" w:rsidRPr="00FA74EB" w:rsidRDefault="00AF6745" w:rsidP="00A752A4">
            <w:pPr>
              <w:rPr>
                <w:sz w:val="20"/>
                <w:szCs w:val="20"/>
              </w:rPr>
            </w:pPr>
          </w:p>
        </w:tc>
        <w:tc>
          <w:tcPr>
            <w:tcW w:w="1759" w:type="dxa"/>
          </w:tcPr>
          <w:p w14:paraId="7421D580" w14:textId="60B7EFC4" w:rsidR="00AF6745" w:rsidRPr="00FA74EB" w:rsidRDefault="00AF6745" w:rsidP="00A752A4">
            <w:pPr>
              <w:rPr>
                <w:sz w:val="20"/>
                <w:szCs w:val="20"/>
              </w:rPr>
            </w:pPr>
          </w:p>
        </w:tc>
        <w:tc>
          <w:tcPr>
            <w:tcW w:w="6218" w:type="dxa"/>
          </w:tcPr>
          <w:p w14:paraId="51089266" w14:textId="77777777" w:rsidR="00AF6745" w:rsidRPr="00FA74EB" w:rsidRDefault="00AF6745" w:rsidP="00A752A4">
            <w:pPr>
              <w:rPr>
                <w:sz w:val="20"/>
                <w:szCs w:val="20"/>
              </w:rPr>
            </w:pPr>
          </w:p>
        </w:tc>
      </w:tr>
      <w:tr w:rsidR="00AF6745" w14:paraId="412B6EA5" w14:textId="77777777" w:rsidTr="00A752A4">
        <w:tc>
          <w:tcPr>
            <w:tcW w:w="1657" w:type="dxa"/>
          </w:tcPr>
          <w:p w14:paraId="04DB0924" w14:textId="77777777" w:rsidR="00AF6745" w:rsidRPr="00FA74EB" w:rsidRDefault="00AF6745" w:rsidP="00A752A4">
            <w:pPr>
              <w:rPr>
                <w:sz w:val="20"/>
                <w:szCs w:val="20"/>
              </w:rPr>
            </w:pPr>
          </w:p>
        </w:tc>
        <w:tc>
          <w:tcPr>
            <w:tcW w:w="1759" w:type="dxa"/>
          </w:tcPr>
          <w:p w14:paraId="61FA5B4E" w14:textId="77777777" w:rsidR="00AF6745" w:rsidRPr="00FA74EB" w:rsidRDefault="00AF6745" w:rsidP="00A752A4">
            <w:pPr>
              <w:rPr>
                <w:sz w:val="20"/>
                <w:szCs w:val="20"/>
              </w:rPr>
            </w:pPr>
          </w:p>
        </w:tc>
        <w:tc>
          <w:tcPr>
            <w:tcW w:w="6218" w:type="dxa"/>
          </w:tcPr>
          <w:p w14:paraId="5C8DA623" w14:textId="77777777" w:rsidR="00AF6745" w:rsidRPr="00FA74EB" w:rsidRDefault="00AF6745" w:rsidP="00A752A4">
            <w:pPr>
              <w:rPr>
                <w:sz w:val="20"/>
                <w:szCs w:val="20"/>
              </w:rPr>
            </w:pPr>
          </w:p>
        </w:tc>
      </w:tr>
      <w:tr w:rsidR="00AF6745" w14:paraId="7FA1067A" w14:textId="77777777" w:rsidTr="00A752A4">
        <w:tc>
          <w:tcPr>
            <w:tcW w:w="1657" w:type="dxa"/>
          </w:tcPr>
          <w:p w14:paraId="3A40994B" w14:textId="77777777" w:rsidR="00AF6745" w:rsidRPr="00FA74EB" w:rsidRDefault="00AF6745" w:rsidP="00A752A4">
            <w:pPr>
              <w:rPr>
                <w:sz w:val="20"/>
                <w:szCs w:val="20"/>
              </w:rPr>
            </w:pPr>
          </w:p>
        </w:tc>
        <w:tc>
          <w:tcPr>
            <w:tcW w:w="1759" w:type="dxa"/>
          </w:tcPr>
          <w:p w14:paraId="5B45948E" w14:textId="77777777" w:rsidR="00AF6745" w:rsidRPr="00FA74EB" w:rsidRDefault="00AF6745" w:rsidP="00A752A4">
            <w:pPr>
              <w:rPr>
                <w:sz w:val="20"/>
                <w:szCs w:val="20"/>
              </w:rPr>
            </w:pPr>
          </w:p>
        </w:tc>
        <w:tc>
          <w:tcPr>
            <w:tcW w:w="6218" w:type="dxa"/>
          </w:tcPr>
          <w:p w14:paraId="17610246" w14:textId="77777777" w:rsidR="00AF6745" w:rsidRPr="00FA74EB" w:rsidRDefault="00AF6745" w:rsidP="00A752A4">
            <w:pPr>
              <w:rPr>
                <w:sz w:val="20"/>
                <w:szCs w:val="20"/>
              </w:rPr>
            </w:pPr>
          </w:p>
        </w:tc>
      </w:tr>
    </w:tbl>
    <w:p w14:paraId="3286238A" w14:textId="77777777" w:rsidR="00AF6745" w:rsidRDefault="00AF6745"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c"/>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For triggering neighbour cell RRM relaxation for RedCap UEs in RRC_IDLE and RRC_INACTIVE, based on Rel-16 triggering criterion, following enhancements can be considered:</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S</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3"/>
            <w:r w:rsidRPr="00DA3784">
              <w:rPr>
                <w:rFonts w:ascii="Times New Roman" w:eastAsia="宋体" w:hAnsi="Times New Roman"/>
                <w:kern w:val="0"/>
                <w:sz w:val="20"/>
                <w:szCs w:val="20"/>
                <w:lang w:val="en-GB"/>
              </w:rPr>
              <w:t>Stationary: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3"/>
            <w:r>
              <w:rPr>
                <w:rStyle w:val="afa"/>
                <w:lang w:eastAsia="zh-CN"/>
              </w:rPr>
              <w:commentReference w:id="3"/>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4"/>
            <w:r w:rsidRPr="00DA3784">
              <w:rPr>
                <w:rFonts w:ascii="Times" w:eastAsia="宋体" w:hAnsi="Times" w:cs="Times"/>
                <w:b/>
                <w:kern w:val="0"/>
                <w:sz w:val="20"/>
                <w:szCs w:val="20"/>
                <w:lang w:val="en-GB" w:eastAsia="ja-JP"/>
              </w:rPr>
              <w:t>Enhancement 2</w:t>
            </w:r>
            <w:commentRangeEnd w:id="4"/>
            <w:r w:rsidRPr="00DA3784">
              <w:rPr>
                <w:rFonts w:ascii="Times New Roman" w:eastAsia="宋体" w:hAnsi="Times New Roman"/>
                <w:kern w:val="0"/>
                <w:sz w:val="16"/>
                <w:szCs w:val="16"/>
                <w:lang w:val="en-GB"/>
              </w:rPr>
              <w:commentReference w:id="4"/>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Introduce additional T</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5"/>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5"/>
            <w:r>
              <w:rPr>
                <w:rStyle w:val="afa"/>
                <w:lang w:eastAsia="zh-CN"/>
              </w:rPr>
              <w:commentReference w:id="5"/>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Only applicable to limited scenarios, e.g.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Introduce an additional S</w:t>
            </w:r>
            <w:r w:rsidRPr="00DA3784">
              <w:rPr>
                <w:rFonts w:ascii="Times" w:eastAsia="宋体" w:hAnsi="Times" w:cs="Times"/>
                <w:kern w:val="0"/>
                <w:sz w:val="20"/>
                <w:szCs w:val="20"/>
                <w:vertAlign w:val="subscript"/>
                <w:lang w:val="en-GB" w:eastAsia="ja-JP"/>
              </w:rPr>
              <w:t>searchDeltaP_correction</w:t>
            </w:r>
            <w:r w:rsidRPr="00DA3784">
              <w:rPr>
                <w:rFonts w:ascii="Times" w:eastAsia="宋体"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60041C93"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Covers only a very specific use case.</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c"/>
        <w:tblW w:w="0" w:type="auto"/>
        <w:tblInd w:w="250" w:type="dxa"/>
        <w:tblLook w:val="04A0" w:firstRow="1" w:lastRow="0" w:firstColumn="1" w:lastColumn="0" w:noHBand="0" w:noVBand="1"/>
      </w:tblPr>
      <w:tblGrid>
        <w:gridCol w:w="1648"/>
        <w:gridCol w:w="1742"/>
        <w:gridCol w:w="6131"/>
      </w:tblGrid>
      <w:tr w:rsidR="003C6C2A" w14:paraId="043C80BE" w14:textId="77777777" w:rsidTr="00C92799">
        <w:tc>
          <w:tcPr>
            <w:tcW w:w="1657"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59"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218"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C92799">
        <w:tc>
          <w:tcPr>
            <w:tcW w:w="1657" w:type="dxa"/>
          </w:tcPr>
          <w:p w14:paraId="2023A23C" w14:textId="7716FADC" w:rsidR="003C6C2A" w:rsidRPr="00FA74EB" w:rsidRDefault="003C6C2A" w:rsidP="00C92799">
            <w:pPr>
              <w:rPr>
                <w:sz w:val="20"/>
                <w:szCs w:val="20"/>
              </w:rPr>
            </w:pPr>
          </w:p>
        </w:tc>
        <w:tc>
          <w:tcPr>
            <w:tcW w:w="1759" w:type="dxa"/>
          </w:tcPr>
          <w:p w14:paraId="1213ADE5" w14:textId="50A2229E" w:rsidR="003C6C2A" w:rsidRPr="00FA74EB" w:rsidRDefault="003C6C2A" w:rsidP="00C92799">
            <w:pPr>
              <w:rPr>
                <w:sz w:val="20"/>
                <w:szCs w:val="20"/>
              </w:rPr>
            </w:pPr>
          </w:p>
        </w:tc>
        <w:tc>
          <w:tcPr>
            <w:tcW w:w="6218" w:type="dxa"/>
          </w:tcPr>
          <w:p w14:paraId="1802D25B" w14:textId="77777777" w:rsidR="003C6C2A" w:rsidRPr="00FA74EB" w:rsidRDefault="003C6C2A" w:rsidP="00C92799">
            <w:pPr>
              <w:rPr>
                <w:sz w:val="20"/>
                <w:szCs w:val="20"/>
              </w:rPr>
            </w:pPr>
          </w:p>
        </w:tc>
      </w:tr>
      <w:tr w:rsidR="003C6C2A" w14:paraId="13B82950" w14:textId="77777777" w:rsidTr="00C92799">
        <w:tc>
          <w:tcPr>
            <w:tcW w:w="1657" w:type="dxa"/>
          </w:tcPr>
          <w:p w14:paraId="7BC861A4" w14:textId="77777777" w:rsidR="003C6C2A" w:rsidRPr="00FA74EB" w:rsidRDefault="003C6C2A" w:rsidP="00C92799">
            <w:pPr>
              <w:rPr>
                <w:sz w:val="20"/>
                <w:szCs w:val="20"/>
              </w:rPr>
            </w:pPr>
          </w:p>
        </w:tc>
        <w:tc>
          <w:tcPr>
            <w:tcW w:w="1759" w:type="dxa"/>
          </w:tcPr>
          <w:p w14:paraId="5156D952" w14:textId="77777777" w:rsidR="003C6C2A" w:rsidRPr="00FA74EB" w:rsidRDefault="003C6C2A" w:rsidP="00C92799">
            <w:pPr>
              <w:rPr>
                <w:sz w:val="20"/>
                <w:szCs w:val="20"/>
              </w:rPr>
            </w:pPr>
          </w:p>
        </w:tc>
        <w:tc>
          <w:tcPr>
            <w:tcW w:w="6218" w:type="dxa"/>
          </w:tcPr>
          <w:p w14:paraId="0BDC0BAA" w14:textId="77777777" w:rsidR="003C6C2A" w:rsidRPr="00FA74EB" w:rsidRDefault="003C6C2A" w:rsidP="00C92799">
            <w:pPr>
              <w:rPr>
                <w:sz w:val="20"/>
                <w:szCs w:val="20"/>
              </w:rPr>
            </w:pPr>
          </w:p>
        </w:tc>
      </w:tr>
      <w:tr w:rsidR="003C6C2A" w14:paraId="167BC04B" w14:textId="77777777" w:rsidTr="00C92799">
        <w:tc>
          <w:tcPr>
            <w:tcW w:w="1657" w:type="dxa"/>
          </w:tcPr>
          <w:p w14:paraId="1B15B084" w14:textId="77777777" w:rsidR="003C6C2A" w:rsidRPr="00FA74EB" w:rsidRDefault="003C6C2A" w:rsidP="00C92799">
            <w:pPr>
              <w:rPr>
                <w:sz w:val="20"/>
                <w:szCs w:val="20"/>
              </w:rPr>
            </w:pPr>
          </w:p>
        </w:tc>
        <w:tc>
          <w:tcPr>
            <w:tcW w:w="1759" w:type="dxa"/>
          </w:tcPr>
          <w:p w14:paraId="2A217240" w14:textId="77777777" w:rsidR="003C6C2A" w:rsidRPr="00FA74EB" w:rsidRDefault="003C6C2A" w:rsidP="00C92799">
            <w:pPr>
              <w:rPr>
                <w:sz w:val="20"/>
                <w:szCs w:val="20"/>
              </w:rPr>
            </w:pPr>
          </w:p>
        </w:tc>
        <w:tc>
          <w:tcPr>
            <w:tcW w:w="6218" w:type="dxa"/>
          </w:tcPr>
          <w:p w14:paraId="6028C0DD" w14:textId="77777777" w:rsidR="003C6C2A" w:rsidRPr="00FA74EB" w:rsidRDefault="003C6C2A" w:rsidP="00C92799">
            <w:pPr>
              <w:rPr>
                <w:sz w:val="20"/>
                <w:szCs w:val="20"/>
              </w:rPr>
            </w:pPr>
          </w:p>
        </w:tc>
      </w:tr>
    </w:tbl>
    <w:p w14:paraId="0A176326" w14:textId="77777777" w:rsidR="00FC092D" w:rsidRDefault="00FC092D" w:rsidP="004D3510"/>
    <w:p w14:paraId="4F74A7C7" w14:textId="28B4DE98"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c"/>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lastRenderedPageBreak/>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c"/>
        <w:tblW w:w="0" w:type="auto"/>
        <w:tblInd w:w="250" w:type="dxa"/>
        <w:tblLook w:val="04A0" w:firstRow="1" w:lastRow="0" w:firstColumn="1" w:lastColumn="0" w:noHBand="0" w:noVBand="1"/>
      </w:tblPr>
      <w:tblGrid>
        <w:gridCol w:w="1648"/>
        <w:gridCol w:w="1742"/>
        <w:gridCol w:w="6131"/>
      </w:tblGrid>
      <w:tr w:rsidR="006A0963" w14:paraId="6C98AA7E" w14:textId="77777777" w:rsidTr="00C92799">
        <w:tc>
          <w:tcPr>
            <w:tcW w:w="165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5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218"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C92799">
        <w:tc>
          <w:tcPr>
            <w:tcW w:w="1657" w:type="dxa"/>
          </w:tcPr>
          <w:p w14:paraId="37D1A7DF" w14:textId="61920209" w:rsidR="006A0963" w:rsidRPr="00FA74EB" w:rsidRDefault="006A0963" w:rsidP="00C92799">
            <w:pPr>
              <w:rPr>
                <w:sz w:val="20"/>
                <w:szCs w:val="20"/>
              </w:rPr>
            </w:pPr>
          </w:p>
        </w:tc>
        <w:tc>
          <w:tcPr>
            <w:tcW w:w="1759" w:type="dxa"/>
          </w:tcPr>
          <w:p w14:paraId="0121F8D9" w14:textId="6F6A7186" w:rsidR="006A0963" w:rsidRPr="00FA74EB" w:rsidRDefault="006A0963" w:rsidP="00C92799">
            <w:pPr>
              <w:rPr>
                <w:sz w:val="20"/>
                <w:szCs w:val="20"/>
              </w:rPr>
            </w:pPr>
          </w:p>
        </w:tc>
        <w:tc>
          <w:tcPr>
            <w:tcW w:w="6218" w:type="dxa"/>
          </w:tcPr>
          <w:p w14:paraId="0F54405A" w14:textId="77777777" w:rsidR="006A0963" w:rsidRPr="00FA74EB" w:rsidRDefault="006A0963" w:rsidP="00C92799">
            <w:pPr>
              <w:rPr>
                <w:sz w:val="20"/>
                <w:szCs w:val="20"/>
              </w:rPr>
            </w:pPr>
          </w:p>
        </w:tc>
      </w:tr>
      <w:tr w:rsidR="006A0963" w14:paraId="1B442E22" w14:textId="77777777" w:rsidTr="00C92799">
        <w:tc>
          <w:tcPr>
            <w:tcW w:w="1657" w:type="dxa"/>
          </w:tcPr>
          <w:p w14:paraId="53ACDEB1" w14:textId="77777777" w:rsidR="006A0963" w:rsidRPr="00FA74EB" w:rsidRDefault="006A0963" w:rsidP="00C92799">
            <w:pPr>
              <w:rPr>
                <w:sz w:val="20"/>
                <w:szCs w:val="20"/>
              </w:rPr>
            </w:pPr>
          </w:p>
        </w:tc>
        <w:tc>
          <w:tcPr>
            <w:tcW w:w="1759" w:type="dxa"/>
          </w:tcPr>
          <w:p w14:paraId="29E8061B" w14:textId="77777777" w:rsidR="006A0963" w:rsidRPr="00FA74EB" w:rsidRDefault="006A0963" w:rsidP="00C92799">
            <w:pPr>
              <w:rPr>
                <w:sz w:val="20"/>
                <w:szCs w:val="20"/>
              </w:rPr>
            </w:pPr>
          </w:p>
        </w:tc>
        <w:tc>
          <w:tcPr>
            <w:tcW w:w="6218" w:type="dxa"/>
          </w:tcPr>
          <w:p w14:paraId="453EF4DA" w14:textId="77777777" w:rsidR="006A0963" w:rsidRPr="00FA74EB" w:rsidRDefault="006A0963" w:rsidP="00C92799">
            <w:pPr>
              <w:rPr>
                <w:sz w:val="20"/>
                <w:szCs w:val="20"/>
              </w:rPr>
            </w:pPr>
          </w:p>
        </w:tc>
      </w:tr>
      <w:tr w:rsidR="006A0963" w14:paraId="0FD5A324" w14:textId="77777777" w:rsidTr="00C92799">
        <w:tc>
          <w:tcPr>
            <w:tcW w:w="1657" w:type="dxa"/>
          </w:tcPr>
          <w:p w14:paraId="21AA8726" w14:textId="77777777" w:rsidR="006A0963" w:rsidRPr="00FA74EB" w:rsidRDefault="006A0963" w:rsidP="00C92799">
            <w:pPr>
              <w:rPr>
                <w:sz w:val="20"/>
                <w:szCs w:val="20"/>
              </w:rPr>
            </w:pPr>
          </w:p>
        </w:tc>
        <w:tc>
          <w:tcPr>
            <w:tcW w:w="1759" w:type="dxa"/>
          </w:tcPr>
          <w:p w14:paraId="260F8A82" w14:textId="77777777" w:rsidR="006A0963" w:rsidRPr="00FA74EB" w:rsidRDefault="006A0963" w:rsidP="00C92799">
            <w:pPr>
              <w:rPr>
                <w:sz w:val="20"/>
                <w:szCs w:val="20"/>
              </w:rPr>
            </w:pPr>
          </w:p>
        </w:tc>
        <w:tc>
          <w:tcPr>
            <w:tcW w:w="6218" w:type="dxa"/>
          </w:tcPr>
          <w:p w14:paraId="3D415E91" w14:textId="77777777" w:rsidR="006A0963" w:rsidRPr="00FA74EB" w:rsidRDefault="006A0963" w:rsidP="00C92799">
            <w:pPr>
              <w:rPr>
                <w:sz w:val="20"/>
                <w:szCs w:val="20"/>
              </w:rPr>
            </w:pPr>
          </w:p>
        </w:tc>
      </w:tr>
    </w:tbl>
    <w:p w14:paraId="6ADC6312" w14:textId="77777777" w:rsidR="006A0963" w:rsidRDefault="006A0963" w:rsidP="004D3510"/>
    <w:p w14:paraId="4DD8D375" w14:textId="58018B84" w:rsidR="001F737D" w:rsidRDefault="001F737D" w:rsidP="001F737D">
      <w:pPr>
        <w:pStyle w:val="afffffff3"/>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c"/>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triggering neighbour cell RRM relaxation for RedCap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Reusing Rel-16 mechanism in Connected UEs, maximize the commonality with idle/inactive UEs;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AMF sends “stationary” indication to gNB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neighbour cell RRM relaxation methods for RedCap UEs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c"/>
        <w:tblW w:w="0" w:type="auto"/>
        <w:tblInd w:w="250" w:type="dxa"/>
        <w:tblLook w:val="04A0" w:firstRow="1" w:lastRow="0" w:firstColumn="1" w:lastColumn="0" w:noHBand="0" w:noVBand="1"/>
      </w:tblPr>
      <w:tblGrid>
        <w:gridCol w:w="1648"/>
        <w:gridCol w:w="1742"/>
        <w:gridCol w:w="6131"/>
      </w:tblGrid>
      <w:tr w:rsidR="001F737D" w14:paraId="7F7AE8B2" w14:textId="77777777" w:rsidTr="00C92799">
        <w:tc>
          <w:tcPr>
            <w:tcW w:w="1657"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1759"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6218"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C92799">
        <w:tc>
          <w:tcPr>
            <w:tcW w:w="1657" w:type="dxa"/>
          </w:tcPr>
          <w:p w14:paraId="293DE1D6" w14:textId="7352F587" w:rsidR="001F737D" w:rsidRPr="00FA74EB" w:rsidRDefault="001F737D" w:rsidP="00C92799">
            <w:pPr>
              <w:rPr>
                <w:sz w:val="20"/>
                <w:szCs w:val="20"/>
              </w:rPr>
            </w:pPr>
          </w:p>
        </w:tc>
        <w:tc>
          <w:tcPr>
            <w:tcW w:w="1759" w:type="dxa"/>
          </w:tcPr>
          <w:p w14:paraId="460D9B3E" w14:textId="396503E3" w:rsidR="001F737D" w:rsidRPr="00FA74EB" w:rsidRDefault="001F737D" w:rsidP="00C92799">
            <w:pPr>
              <w:rPr>
                <w:sz w:val="20"/>
                <w:szCs w:val="20"/>
              </w:rPr>
            </w:pPr>
          </w:p>
        </w:tc>
        <w:tc>
          <w:tcPr>
            <w:tcW w:w="6218" w:type="dxa"/>
          </w:tcPr>
          <w:p w14:paraId="130984D3" w14:textId="77777777" w:rsidR="001F737D" w:rsidRPr="00FA74EB" w:rsidRDefault="001F737D" w:rsidP="00C92799">
            <w:pPr>
              <w:rPr>
                <w:sz w:val="20"/>
                <w:szCs w:val="20"/>
              </w:rPr>
            </w:pPr>
          </w:p>
        </w:tc>
      </w:tr>
      <w:tr w:rsidR="001F737D" w14:paraId="35A9C716" w14:textId="77777777" w:rsidTr="00C92799">
        <w:tc>
          <w:tcPr>
            <w:tcW w:w="1657" w:type="dxa"/>
          </w:tcPr>
          <w:p w14:paraId="03E52A6C" w14:textId="77777777" w:rsidR="001F737D" w:rsidRPr="00FA74EB" w:rsidRDefault="001F737D" w:rsidP="00C92799">
            <w:pPr>
              <w:rPr>
                <w:sz w:val="20"/>
                <w:szCs w:val="20"/>
              </w:rPr>
            </w:pPr>
          </w:p>
        </w:tc>
        <w:tc>
          <w:tcPr>
            <w:tcW w:w="1759" w:type="dxa"/>
          </w:tcPr>
          <w:p w14:paraId="099923D1" w14:textId="77777777" w:rsidR="001F737D" w:rsidRPr="00FA74EB" w:rsidRDefault="001F737D" w:rsidP="00C92799">
            <w:pPr>
              <w:rPr>
                <w:sz w:val="20"/>
                <w:szCs w:val="20"/>
              </w:rPr>
            </w:pPr>
          </w:p>
        </w:tc>
        <w:tc>
          <w:tcPr>
            <w:tcW w:w="6218" w:type="dxa"/>
          </w:tcPr>
          <w:p w14:paraId="52FFAD57" w14:textId="77777777" w:rsidR="001F737D" w:rsidRPr="00FA74EB" w:rsidRDefault="001F737D" w:rsidP="00C92799">
            <w:pPr>
              <w:rPr>
                <w:sz w:val="20"/>
                <w:szCs w:val="20"/>
              </w:rPr>
            </w:pPr>
          </w:p>
        </w:tc>
      </w:tr>
      <w:tr w:rsidR="001F737D" w14:paraId="5F307C2A" w14:textId="77777777" w:rsidTr="00C92799">
        <w:tc>
          <w:tcPr>
            <w:tcW w:w="1657" w:type="dxa"/>
          </w:tcPr>
          <w:p w14:paraId="4D4760B9" w14:textId="77777777" w:rsidR="001F737D" w:rsidRPr="00FA74EB" w:rsidRDefault="001F737D" w:rsidP="00C92799">
            <w:pPr>
              <w:rPr>
                <w:sz w:val="20"/>
                <w:szCs w:val="20"/>
              </w:rPr>
            </w:pPr>
          </w:p>
        </w:tc>
        <w:tc>
          <w:tcPr>
            <w:tcW w:w="1759" w:type="dxa"/>
          </w:tcPr>
          <w:p w14:paraId="465668DB" w14:textId="77777777" w:rsidR="001F737D" w:rsidRPr="00FA74EB" w:rsidRDefault="001F737D" w:rsidP="00C92799">
            <w:pPr>
              <w:rPr>
                <w:sz w:val="20"/>
                <w:szCs w:val="20"/>
              </w:rPr>
            </w:pPr>
          </w:p>
        </w:tc>
        <w:tc>
          <w:tcPr>
            <w:tcW w:w="6218" w:type="dxa"/>
          </w:tcPr>
          <w:p w14:paraId="7C01769E" w14:textId="77777777" w:rsidR="001F737D" w:rsidRPr="00FA74EB" w:rsidRDefault="001F737D" w:rsidP="00C92799">
            <w:pPr>
              <w:rPr>
                <w:sz w:val="20"/>
                <w:szCs w:val="20"/>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c"/>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A752A4">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A752A4">
            <w:pPr>
              <w:rPr>
                <w:b/>
              </w:rPr>
            </w:pPr>
            <w:r>
              <w:rPr>
                <w:b/>
              </w:rPr>
              <w:t>Comments or TP suggestions</w:t>
            </w:r>
          </w:p>
        </w:tc>
      </w:tr>
      <w:tr w:rsidR="00BE1DC3" w14:paraId="62F8BB0E" w14:textId="77777777" w:rsidTr="00BE1DC3">
        <w:tc>
          <w:tcPr>
            <w:tcW w:w="1648" w:type="dxa"/>
          </w:tcPr>
          <w:p w14:paraId="38239ABB" w14:textId="013D4623" w:rsidR="00BE1DC3" w:rsidRPr="00FA74EB" w:rsidRDefault="00BE1DC3" w:rsidP="00A752A4">
            <w:pPr>
              <w:rPr>
                <w:sz w:val="20"/>
                <w:szCs w:val="20"/>
              </w:rPr>
            </w:pPr>
          </w:p>
        </w:tc>
        <w:tc>
          <w:tcPr>
            <w:tcW w:w="7878" w:type="dxa"/>
          </w:tcPr>
          <w:p w14:paraId="48E3B738" w14:textId="77777777" w:rsidR="00BE1DC3" w:rsidRPr="00FA74EB" w:rsidRDefault="00BE1DC3" w:rsidP="00A752A4">
            <w:pPr>
              <w:rPr>
                <w:sz w:val="20"/>
                <w:szCs w:val="20"/>
              </w:rPr>
            </w:pPr>
          </w:p>
        </w:tc>
      </w:tr>
      <w:tr w:rsidR="00BE1DC3" w14:paraId="4B002F09" w14:textId="77777777" w:rsidTr="00BE1DC3">
        <w:tc>
          <w:tcPr>
            <w:tcW w:w="1648" w:type="dxa"/>
          </w:tcPr>
          <w:p w14:paraId="7B2CEE82" w14:textId="77777777" w:rsidR="00BE1DC3" w:rsidRPr="00FA74EB" w:rsidRDefault="00BE1DC3" w:rsidP="00A752A4">
            <w:pPr>
              <w:rPr>
                <w:sz w:val="20"/>
                <w:szCs w:val="20"/>
              </w:rPr>
            </w:pPr>
          </w:p>
        </w:tc>
        <w:tc>
          <w:tcPr>
            <w:tcW w:w="7878" w:type="dxa"/>
          </w:tcPr>
          <w:p w14:paraId="3DE666BD" w14:textId="77777777" w:rsidR="00BE1DC3" w:rsidRPr="00FA74EB" w:rsidRDefault="00BE1DC3" w:rsidP="00A752A4">
            <w:pPr>
              <w:rPr>
                <w:sz w:val="20"/>
                <w:szCs w:val="20"/>
              </w:rPr>
            </w:pPr>
          </w:p>
        </w:tc>
      </w:tr>
      <w:tr w:rsidR="00BE1DC3" w14:paraId="0CECD9BF" w14:textId="77777777" w:rsidTr="00BE1DC3">
        <w:tc>
          <w:tcPr>
            <w:tcW w:w="1648" w:type="dxa"/>
          </w:tcPr>
          <w:p w14:paraId="611945F5" w14:textId="77777777" w:rsidR="00BE1DC3" w:rsidRPr="00FA74EB" w:rsidRDefault="00BE1DC3" w:rsidP="00A752A4">
            <w:pPr>
              <w:rPr>
                <w:sz w:val="20"/>
                <w:szCs w:val="20"/>
              </w:rPr>
            </w:pPr>
          </w:p>
        </w:tc>
        <w:tc>
          <w:tcPr>
            <w:tcW w:w="7878" w:type="dxa"/>
          </w:tcPr>
          <w:p w14:paraId="39C67114" w14:textId="77777777" w:rsidR="00BE1DC3" w:rsidRPr="00FA74EB" w:rsidRDefault="00BE1DC3" w:rsidP="00A752A4">
            <w:pPr>
              <w:rPr>
                <w:sz w:val="20"/>
                <w:szCs w:val="20"/>
              </w:rPr>
            </w:pPr>
          </w:p>
        </w:tc>
      </w:tr>
    </w:tbl>
    <w:p w14:paraId="76A91493" w14:textId="77777777" w:rsidR="00494A06" w:rsidRDefault="00494A06" w:rsidP="004D3510"/>
    <w:p w14:paraId="13ABB3A6" w14:textId="77777777"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055A20" w:rsidP="008D0968">
      <w:pPr>
        <w:pStyle w:val="Doc-title"/>
      </w:pPr>
      <w:hyperlink r:id="rId17" w:tooltip="C:Data3GPPExtractsR2-2100459_TP for TR 38875 on evaluation for RRM relaxation.docx" w:history="1">
        <w:r w:rsidR="008D0968" w:rsidRPr="00066886">
          <w:rPr>
            <w:rStyle w:val="af9"/>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Pr="00C92799" w:rsidRDefault="00055A20" w:rsidP="00C92799">
      <w:pPr>
        <w:pStyle w:val="Doc-title"/>
      </w:pPr>
      <w:hyperlink r:id="rId18" w:tooltip="C:Data3GPPRAN2DocsR2-2101461.zip" w:history="1">
        <w:r w:rsidR="00C92799" w:rsidRPr="00917BC9">
          <w:rPr>
            <w:rStyle w:val="af9"/>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6E5F65FB" w14:textId="473AFB63" w:rsidR="008D0968" w:rsidRDefault="00C92799" w:rsidP="004D3510">
      <w:r>
        <w:t xml:space="preserve">For R2-2100459, it is requested to add simulation results to the TR, including the simulation results for </w:t>
      </w:r>
      <w:r>
        <w:lastRenderedPageBreak/>
        <w:t xml:space="preserve">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c"/>
        <w:tblW w:w="0" w:type="auto"/>
        <w:tblInd w:w="250" w:type="dxa"/>
        <w:tblLook w:val="04A0" w:firstRow="1" w:lastRow="0" w:firstColumn="1" w:lastColumn="0" w:noHBand="0" w:noVBand="1"/>
      </w:tblPr>
      <w:tblGrid>
        <w:gridCol w:w="1648"/>
        <w:gridCol w:w="1742"/>
        <w:gridCol w:w="6131"/>
      </w:tblGrid>
      <w:tr w:rsidR="00C92799" w14:paraId="7192AD56" w14:textId="77777777" w:rsidTr="00C92799">
        <w:tc>
          <w:tcPr>
            <w:tcW w:w="1657"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59"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218"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C92799">
        <w:tc>
          <w:tcPr>
            <w:tcW w:w="1657" w:type="dxa"/>
          </w:tcPr>
          <w:p w14:paraId="2310B2EE" w14:textId="321E4F4E" w:rsidR="00C92799" w:rsidRPr="00FA74EB" w:rsidRDefault="00C92799" w:rsidP="00C92799">
            <w:pPr>
              <w:rPr>
                <w:sz w:val="20"/>
                <w:szCs w:val="20"/>
              </w:rPr>
            </w:pPr>
          </w:p>
        </w:tc>
        <w:tc>
          <w:tcPr>
            <w:tcW w:w="1759" w:type="dxa"/>
          </w:tcPr>
          <w:p w14:paraId="52AD2382" w14:textId="0C97AEEC" w:rsidR="00C92799" w:rsidRPr="00FA74EB" w:rsidRDefault="00C92799" w:rsidP="00C92799">
            <w:pPr>
              <w:rPr>
                <w:sz w:val="20"/>
                <w:szCs w:val="20"/>
              </w:rPr>
            </w:pPr>
          </w:p>
        </w:tc>
        <w:tc>
          <w:tcPr>
            <w:tcW w:w="6218" w:type="dxa"/>
          </w:tcPr>
          <w:p w14:paraId="57382444" w14:textId="77777777" w:rsidR="00C92799" w:rsidRPr="00FA74EB" w:rsidRDefault="00C92799" w:rsidP="00C92799">
            <w:pPr>
              <w:rPr>
                <w:sz w:val="20"/>
                <w:szCs w:val="20"/>
              </w:rPr>
            </w:pPr>
          </w:p>
        </w:tc>
      </w:tr>
      <w:tr w:rsidR="00C92799" w14:paraId="22B00786" w14:textId="77777777" w:rsidTr="00C92799">
        <w:tc>
          <w:tcPr>
            <w:tcW w:w="1657" w:type="dxa"/>
          </w:tcPr>
          <w:p w14:paraId="2A452DE8" w14:textId="77777777" w:rsidR="00C92799" w:rsidRPr="00FA74EB" w:rsidRDefault="00C92799" w:rsidP="00C92799">
            <w:pPr>
              <w:rPr>
                <w:sz w:val="20"/>
                <w:szCs w:val="20"/>
              </w:rPr>
            </w:pPr>
          </w:p>
        </w:tc>
        <w:tc>
          <w:tcPr>
            <w:tcW w:w="1759" w:type="dxa"/>
          </w:tcPr>
          <w:p w14:paraId="3AFEF16D" w14:textId="77777777" w:rsidR="00C92799" w:rsidRPr="00FA74EB" w:rsidRDefault="00C92799" w:rsidP="00C92799">
            <w:pPr>
              <w:rPr>
                <w:sz w:val="20"/>
                <w:szCs w:val="20"/>
              </w:rPr>
            </w:pPr>
          </w:p>
        </w:tc>
        <w:tc>
          <w:tcPr>
            <w:tcW w:w="6218" w:type="dxa"/>
          </w:tcPr>
          <w:p w14:paraId="6180BBC3" w14:textId="77777777" w:rsidR="00C92799" w:rsidRPr="00FA74EB" w:rsidRDefault="00C92799" w:rsidP="00C92799">
            <w:pPr>
              <w:rPr>
                <w:sz w:val="20"/>
                <w:szCs w:val="20"/>
              </w:rPr>
            </w:pPr>
          </w:p>
        </w:tc>
      </w:tr>
      <w:tr w:rsidR="00C92799" w14:paraId="24744E89" w14:textId="77777777" w:rsidTr="00C92799">
        <w:tc>
          <w:tcPr>
            <w:tcW w:w="1657" w:type="dxa"/>
          </w:tcPr>
          <w:p w14:paraId="561D77CB" w14:textId="77777777" w:rsidR="00C92799" w:rsidRPr="00FA74EB" w:rsidRDefault="00C92799" w:rsidP="00C92799">
            <w:pPr>
              <w:rPr>
                <w:sz w:val="20"/>
                <w:szCs w:val="20"/>
              </w:rPr>
            </w:pPr>
          </w:p>
        </w:tc>
        <w:tc>
          <w:tcPr>
            <w:tcW w:w="1759" w:type="dxa"/>
          </w:tcPr>
          <w:p w14:paraId="438997F6" w14:textId="77777777" w:rsidR="00C92799" w:rsidRPr="00FA74EB" w:rsidRDefault="00C92799" w:rsidP="00C92799">
            <w:pPr>
              <w:rPr>
                <w:sz w:val="20"/>
                <w:szCs w:val="20"/>
              </w:rPr>
            </w:pPr>
          </w:p>
        </w:tc>
        <w:tc>
          <w:tcPr>
            <w:tcW w:w="6218" w:type="dxa"/>
          </w:tcPr>
          <w:p w14:paraId="1097A3D1" w14:textId="77777777" w:rsidR="00C92799" w:rsidRPr="00FA74EB" w:rsidRDefault="00C92799" w:rsidP="00C92799">
            <w:pPr>
              <w:rPr>
                <w:sz w:val="20"/>
                <w:szCs w:val="20"/>
              </w:rPr>
            </w:pP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afc"/>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afc"/>
        <w:tblW w:w="0" w:type="auto"/>
        <w:tblInd w:w="250" w:type="dxa"/>
        <w:tblLook w:val="04A0" w:firstRow="1" w:lastRow="0" w:firstColumn="1" w:lastColumn="0" w:noHBand="0" w:noVBand="1"/>
      </w:tblPr>
      <w:tblGrid>
        <w:gridCol w:w="1648"/>
        <w:gridCol w:w="1742"/>
        <w:gridCol w:w="6131"/>
      </w:tblGrid>
      <w:tr w:rsidR="003C253A" w14:paraId="02C05DF8" w14:textId="77777777" w:rsidTr="00A752A4">
        <w:tc>
          <w:tcPr>
            <w:tcW w:w="1657" w:type="dxa"/>
            <w:shd w:val="clear" w:color="auto" w:fill="BFBFBF" w:themeFill="background1" w:themeFillShade="BF"/>
            <w:vAlign w:val="center"/>
          </w:tcPr>
          <w:p w14:paraId="61AB7A41" w14:textId="77777777" w:rsidR="003C253A" w:rsidRDefault="003C253A" w:rsidP="00A752A4">
            <w:pPr>
              <w:rPr>
                <w:b/>
              </w:rPr>
            </w:pPr>
            <w:r>
              <w:rPr>
                <w:b/>
              </w:rPr>
              <w:t>Company</w:t>
            </w:r>
          </w:p>
        </w:tc>
        <w:tc>
          <w:tcPr>
            <w:tcW w:w="1759" w:type="dxa"/>
            <w:shd w:val="clear" w:color="auto" w:fill="BFBFBF" w:themeFill="background1" w:themeFillShade="BF"/>
            <w:vAlign w:val="center"/>
          </w:tcPr>
          <w:p w14:paraId="0A7DFC56" w14:textId="77777777" w:rsidR="003C253A" w:rsidRDefault="003C253A" w:rsidP="00A752A4">
            <w:pPr>
              <w:rPr>
                <w:b/>
              </w:rPr>
            </w:pPr>
            <w:r>
              <w:rPr>
                <w:b/>
              </w:rPr>
              <w:t>Agree</w:t>
            </w:r>
          </w:p>
          <w:p w14:paraId="1E46383A" w14:textId="77777777" w:rsidR="003C253A" w:rsidRDefault="003C253A" w:rsidP="00A752A4">
            <w:pPr>
              <w:rPr>
                <w:b/>
              </w:rPr>
            </w:pPr>
            <w:r>
              <w:rPr>
                <w:b/>
              </w:rPr>
              <w:t>(Yes or No)</w:t>
            </w:r>
          </w:p>
        </w:tc>
        <w:tc>
          <w:tcPr>
            <w:tcW w:w="6218" w:type="dxa"/>
            <w:shd w:val="clear" w:color="auto" w:fill="BFBFBF" w:themeFill="background1" w:themeFillShade="BF"/>
            <w:vAlign w:val="center"/>
          </w:tcPr>
          <w:p w14:paraId="06E7B967" w14:textId="77777777" w:rsidR="003C253A" w:rsidRDefault="003C253A" w:rsidP="00A752A4">
            <w:pPr>
              <w:rPr>
                <w:b/>
              </w:rPr>
            </w:pPr>
            <w:r>
              <w:rPr>
                <w:b/>
              </w:rPr>
              <w:t>Comments or TP suggestions</w:t>
            </w:r>
          </w:p>
        </w:tc>
      </w:tr>
      <w:tr w:rsidR="003C253A" w14:paraId="462FD0D7" w14:textId="77777777" w:rsidTr="00A752A4">
        <w:tc>
          <w:tcPr>
            <w:tcW w:w="1657" w:type="dxa"/>
          </w:tcPr>
          <w:p w14:paraId="28E19364" w14:textId="77777777" w:rsidR="003C253A" w:rsidRPr="00FA74EB" w:rsidRDefault="003C253A" w:rsidP="00A752A4">
            <w:pPr>
              <w:rPr>
                <w:sz w:val="20"/>
                <w:szCs w:val="20"/>
              </w:rPr>
            </w:pPr>
          </w:p>
        </w:tc>
        <w:tc>
          <w:tcPr>
            <w:tcW w:w="1759" w:type="dxa"/>
          </w:tcPr>
          <w:p w14:paraId="70E021D1" w14:textId="77777777" w:rsidR="003C253A" w:rsidRPr="00FA74EB" w:rsidRDefault="003C253A" w:rsidP="00A752A4">
            <w:pPr>
              <w:rPr>
                <w:sz w:val="20"/>
                <w:szCs w:val="20"/>
              </w:rPr>
            </w:pPr>
          </w:p>
        </w:tc>
        <w:tc>
          <w:tcPr>
            <w:tcW w:w="6218" w:type="dxa"/>
          </w:tcPr>
          <w:p w14:paraId="617E5280" w14:textId="77777777" w:rsidR="003C253A" w:rsidRPr="00FA74EB" w:rsidRDefault="003C253A" w:rsidP="00A752A4">
            <w:pPr>
              <w:rPr>
                <w:sz w:val="20"/>
                <w:szCs w:val="20"/>
              </w:rPr>
            </w:pPr>
          </w:p>
        </w:tc>
      </w:tr>
      <w:tr w:rsidR="003C253A" w14:paraId="44CF3558" w14:textId="77777777" w:rsidTr="00A752A4">
        <w:tc>
          <w:tcPr>
            <w:tcW w:w="1657" w:type="dxa"/>
          </w:tcPr>
          <w:p w14:paraId="336BA7DD" w14:textId="77777777" w:rsidR="003C253A" w:rsidRPr="00FA74EB" w:rsidRDefault="003C253A" w:rsidP="00A752A4">
            <w:pPr>
              <w:rPr>
                <w:sz w:val="20"/>
                <w:szCs w:val="20"/>
              </w:rPr>
            </w:pPr>
          </w:p>
        </w:tc>
        <w:tc>
          <w:tcPr>
            <w:tcW w:w="1759" w:type="dxa"/>
          </w:tcPr>
          <w:p w14:paraId="4413A85F" w14:textId="77777777" w:rsidR="003C253A" w:rsidRPr="00FA74EB" w:rsidRDefault="003C253A" w:rsidP="00A752A4">
            <w:pPr>
              <w:rPr>
                <w:sz w:val="20"/>
                <w:szCs w:val="20"/>
              </w:rPr>
            </w:pPr>
          </w:p>
        </w:tc>
        <w:tc>
          <w:tcPr>
            <w:tcW w:w="6218" w:type="dxa"/>
          </w:tcPr>
          <w:p w14:paraId="412F0B3F" w14:textId="77777777" w:rsidR="003C253A" w:rsidRPr="00FA74EB" w:rsidRDefault="003C253A" w:rsidP="00A752A4">
            <w:pPr>
              <w:rPr>
                <w:sz w:val="20"/>
                <w:szCs w:val="20"/>
              </w:rPr>
            </w:pPr>
          </w:p>
        </w:tc>
      </w:tr>
      <w:tr w:rsidR="003C253A" w14:paraId="2D94812F" w14:textId="77777777" w:rsidTr="00A752A4">
        <w:tc>
          <w:tcPr>
            <w:tcW w:w="1657" w:type="dxa"/>
          </w:tcPr>
          <w:p w14:paraId="5C3E596B" w14:textId="77777777" w:rsidR="003C253A" w:rsidRPr="00FA74EB" w:rsidRDefault="003C253A" w:rsidP="00A752A4">
            <w:pPr>
              <w:rPr>
                <w:sz w:val="20"/>
                <w:szCs w:val="20"/>
              </w:rPr>
            </w:pPr>
          </w:p>
        </w:tc>
        <w:tc>
          <w:tcPr>
            <w:tcW w:w="1759" w:type="dxa"/>
          </w:tcPr>
          <w:p w14:paraId="5EF93FA7" w14:textId="77777777" w:rsidR="003C253A" w:rsidRPr="00FA74EB" w:rsidRDefault="003C253A" w:rsidP="00A752A4">
            <w:pPr>
              <w:rPr>
                <w:sz w:val="20"/>
                <w:szCs w:val="20"/>
              </w:rPr>
            </w:pPr>
          </w:p>
        </w:tc>
        <w:tc>
          <w:tcPr>
            <w:tcW w:w="6218" w:type="dxa"/>
          </w:tcPr>
          <w:p w14:paraId="1B0BC515" w14:textId="77777777" w:rsidR="003C253A" w:rsidRPr="00FA74EB" w:rsidRDefault="003C253A" w:rsidP="00A752A4">
            <w:pPr>
              <w:rPr>
                <w:sz w:val="20"/>
                <w:szCs w:val="20"/>
              </w:rPr>
            </w:pPr>
          </w:p>
        </w:tc>
      </w:tr>
    </w:tbl>
    <w:p w14:paraId="20920D77" w14:textId="77777777" w:rsidR="008D0968" w:rsidRDefault="008D0968" w:rsidP="004D3510"/>
    <w:p w14:paraId="134588D5" w14:textId="77777777" w:rsidR="00F23939" w:rsidRPr="0085014A" w:rsidRDefault="00F23939" w:rsidP="0085014A"/>
    <w:p w14:paraId="32FA75B3" w14:textId="2D8A0611"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3"/>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3"/>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even" r:id="rId19"/>
      <w:headerReference w:type="default" r:id="rId20"/>
      <w:footerReference w:type="even" r:id="rId21"/>
      <w:footerReference w:type="default" r:id="rId22"/>
      <w:headerReference w:type="first" r:id="rId23"/>
      <w:footerReference w:type="first" r:id="rId24"/>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ZTE" w:date="2021-01-27T20:03:00Z" w:initials="ZTE">
    <w:p w14:paraId="622FAF5E" w14:textId="6CAACC7A" w:rsidR="00C92799" w:rsidRDefault="00C92799">
      <w:pPr>
        <w:pStyle w:val="a4"/>
      </w:pPr>
      <w:r>
        <w:rPr>
          <w:rStyle w:val="afa"/>
        </w:rPr>
        <w:annotationRef/>
      </w:r>
      <w:r>
        <w:t>Requested by R2-2101540.</w:t>
      </w:r>
    </w:p>
  </w:comment>
  <w:comment w:id="4" w:author="ZTE" w:date="2021-01-27T18:38:00Z" w:initials="ZTE">
    <w:p w14:paraId="767DDA23" w14:textId="5EBF74A3" w:rsidR="00C92799" w:rsidRDefault="00C92799" w:rsidP="00DA3784">
      <w:pPr>
        <w:pStyle w:val="a4"/>
      </w:pPr>
      <w:r>
        <w:rPr>
          <w:rStyle w:val="afa"/>
        </w:rPr>
        <w:annotationRef/>
      </w:r>
      <w:r>
        <w:rPr>
          <w:noProof/>
        </w:rPr>
        <w:t>Original Enhancement #5, renumber other enhancements</w:t>
      </w:r>
    </w:p>
  </w:comment>
  <w:comment w:id="5" w:author="ZTE" w:date="2021-01-27T20:02:00Z" w:initials="ZTE">
    <w:p w14:paraId="71EA813B" w14:textId="6F734354" w:rsidR="00C92799" w:rsidRDefault="00C92799">
      <w:pPr>
        <w:pStyle w:val="a4"/>
      </w:pPr>
      <w:r>
        <w:rPr>
          <w:rStyle w:val="afa"/>
        </w:rPr>
        <w:annotationRef/>
      </w:r>
      <w:r>
        <w:t>Requested by R2-2101540.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FAF5E" w15:done="0"/>
  <w15:commentEx w15:paraId="767DDA23" w15:done="0"/>
  <w15:commentEx w15:paraId="71EA81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8150B" w16cex:dateUtc="2021-01-12T10:31:00Z"/>
  <w16cex:commentExtensible w16cex:durableId="23A8171E" w16cex:dateUtc="2021-01-12T10:39:00Z"/>
  <w16cex:commentExtensible w16cex:durableId="23A81600" w16cex:dateUtc="2021-01-12T10:35:00Z"/>
  <w16cex:commentExtensible w16cex:durableId="23A8168D" w16cex:dateUtc="2021-01-12T10:37:00Z"/>
  <w16cex:commentExtensible w16cex:durableId="23A816A2" w16cex:dateUtc="2021-01-12T10:37:00Z"/>
  <w16cex:commentExtensible w16cex:durableId="23A816C7" w16cex:dateUtc="2021-01-12T10:38:00Z"/>
  <w16cex:commentExtensible w16cex:durableId="23A81710" w16cex:dateUtc="2021-01-12T10:39:00Z"/>
  <w16cex:commentExtensible w16cex:durableId="23A819DB" w16cex:dateUtc="2021-01-12T10:51:00Z"/>
  <w16cex:commentExtensible w16cex:durableId="23A819EF" w16cex:dateUtc="2021-01-12T10:51:00Z"/>
  <w16cex:commentExtensible w16cex:durableId="23A81B91" w16cex:dateUtc="2021-01-12T10:58:00Z"/>
  <w16cex:commentExtensible w16cex:durableId="23A81C30" w16cex:dateUtc="2021-01-12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557887" w16cid:durableId="23A8150B"/>
  <w16cid:commentId w16cid:paraId="54741B7B" w16cid:durableId="23A8171E"/>
  <w16cid:commentId w16cid:paraId="6192C111" w16cid:durableId="23A81600"/>
  <w16cid:commentId w16cid:paraId="6B5D2E2C" w16cid:durableId="23A8168D"/>
  <w16cid:commentId w16cid:paraId="57762D46" w16cid:durableId="23A816A2"/>
  <w16cid:commentId w16cid:paraId="39911191" w16cid:durableId="23A816C7"/>
  <w16cid:commentId w16cid:paraId="2264DF23" w16cid:durableId="23A81710"/>
  <w16cid:commentId w16cid:paraId="725C346C" w16cid:durableId="23A819DB"/>
  <w16cid:commentId w16cid:paraId="140729CF" w16cid:durableId="23A819EF"/>
  <w16cid:commentId w16cid:paraId="768F5A3C" w16cid:durableId="238C70EF"/>
  <w16cid:commentId w16cid:paraId="5A028B15" w16cid:durableId="23A008F4"/>
  <w16cid:commentId w16cid:paraId="68EBDD61" w16cid:durableId="23A81B91"/>
  <w16cid:commentId w16cid:paraId="3926E54D" w16cid:durableId="23A81C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343AE" w14:textId="77777777" w:rsidR="00055A20" w:rsidRDefault="00055A20">
      <w:pPr>
        <w:spacing w:after="0"/>
      </w:pPr>
      <w:r>
        <w:separator/>
      </w:r>
    </w:p>
  </w:endnote>
  <w:endnote w:type="continuationSeparator" w:id="0">
    <w:p w14:paraId="0E24D8D8" w14:textId="77777777" w:rsidR="00055A20" w:rsidRDefault="00055A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Times New Roman"/>
    <w:panose1 w:val="02020603050405020304"/>
    <w:charset w:val="00"/>
    <w:family w:val="roman"/>
    <w:pitch w:val="default"/>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C92799" w:rsidRDefault="00C92799">
    <w:pPr>
      <w:pStyle w:val="a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936AAD0" w14:textId="77777777" w:rsidR="00C92799" w:rsidRDefault="00C92799">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C92799" w:rsidRDefault="00C92799">
    <w:pPr>
      <w:pStyle w:val="ae"/>
      <w:ind w:right="360"/>
      <w:jc w:val="both"/>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647CE" w14:textId="77777777" w:rsidR="00F03F16" w:rsidRDefault="00F03F1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7091C" w14:textId="77777777" w:rsidR="00055A20" w:rsidRDefault="00055A20">
      <w:pPr>
        <w:spacing w:after="0"/>
      </w:pPr>
      <w:r>
        <w:separator/>
      </w:r>
    </w:p>
  </w:footnote>
  <w:footnote w:type="continuationSeparator" w:id="0">
    <w:p w14:paraId="5AAFCAA6" w14:textId="77777777" w:rsidR="00055A20" w:rsidRDefault="00055A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BAC66" w14:textId="77777777" w:rsidR="00F03F16" w:rsidRDefault="00F03F1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C92799" w:rsidRDefault="00C92799">
    <w:pPr>
      <w:jc w:val="distribute"/>
      <w:rPr>
        <w:rFonts w:eastAsia="华文仿宋"/>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382A7" w14:textId="77777777" w:rsidR="00F03F16" w:rsidRDefault="00F03F1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4">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29">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9">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4"/>
  </w:num>
  <w:num w:numId="4">
    <w:abstractNumId w:val="24"/>
  </w:num>
  <w:num w:numId="5">
    <w:abstractNumId w:val="21"/>
  </w:num>
  <w:num w:numId="6">
    <w:abstractNumId w:val="20"/>
  </w:num>
  <w:num w:numId="7">
    <w:abstractNumId w:val="33"/>
  </w:num>
  <w:num w:numId="8">
    <w:abstractNumId w:val="39"/>
  </w:num>
  <w:num w:numId="9">
    <w:abstractNumId w:val="32"/>
  </w:num>
  <w:num w:numId="10">
    <w:abstractNumId w:val="7"/>
  </w:num>
  <w:num w:numId="11">
    <w:abstractNumId w:val="5"/>
  </w:num>
  <w:num w:numId="12">
    <w:abstractNumId w:val="18"/>
  </w:num>
  <w:num w:numId="13">
    <w:abstractNumId w:val="37"/>
  </w:num>
  <w:num w:numId="14">
    <w:abstractNumId w:val="10"/>
  </w:num>
  <w:num w:numId="15">
    <w:abstractNumId w:val="29"/>
  </w:num>
  <w:num w:numId="16">
    <w:abstractNumId w:val="8"/>
  </w:num>
  <w:num w:numId="17">
    <w:abstractNumId w:val="22"/>
  </w:num>
  <w:num w:numId="18">
    <w:abstractNumId w:val="6"/>
  </w:num>
  <w:num w:numId="19">
    <w:abstractNumId w:val="23"/>
  </w:num>
  <w:num w:numId="20">
    <w:abstractNumId w:val="25"/>
  </w:num>
  <w:num w:numId="21">
    <w:abstractNumId w:val="35"/>
  </w:num>
  <w:num w:numId="22">
    <w:abstractNumId w:val="31"/>
  </w:num>
  <w:num w:numId="23">
    <w:abstractNumId w:val="17"/>
  </w:num>
  <w:num w:numId="24">
    <w:abstractNumId w:val="12"/>
  </w:num>
  <w:num w:numId="25">
    <w:abstractNumId w:val="30"/>
  </w:num>
  <w:num w:numId="26">
    <w:abstractNumId w:val="16"/>
  </w:num>
  <w:num w:numId="27">
    <w:abstractNumId w:val="34"/>
  </w:num>
  <w:num w:numId="28">
    <w:abstractNumId w:val="36"/>
  </w:num>
  <w:num w:numId="29">
    <w:abstractNumId w:val="15"/>
  </w:num>
  <w:num w:numId="30">
    <w:abstractNumId w:val="3"/>
  </w:num>
  <w:num w:numId="31">
    <w:abstractNumId w:val="9"/>
  </w:num>
  <w:num w:numId="32">
    <w:abstractNumId w:val="0"/>
  </w:num>
  <w:num w:numId="33">
    <w:abstractNumId w:val="14"/>
  </w:num>
  <w:num w:numId="34">
    <w:abstractNumId w:val="27"/>
  </w:num>
  <w:num w:numId="35">
    <w:abstractNumId w:val="26"/>
  </w:num>
  <w:num w:numId="36">
    <w:abstractNumId w:val="38"/>
  </w:num>
  <w:num w:numId="37">
    <w:abstractNumId w:val="2"/>
  </w:num>
  <w:num w:numId="38">
    <w:abstractNumId w:val="11"/>
  </w:num>
  <w:num w:numId="39">
    <w:abstractNumId w:val="28"/>
  </w:num>
  <w:num w:numId="40">
    <w:abstractNumId w:val="13"/>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7"/>
  <w:doNotDisplayPageBoundaries/>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045E"/>
    <w:rsid w:val="00021259"/>
    <w:rsid w:val="00021359"/>
    <w:rsid w:val="00023004"/>
    <w:rsid w:val="000237E4"/>
    <w:rsid w:val="00023FCC"/>
    <w:rsid w:val="000248FC"/>
    <w:rsid w:val="0002660A"/>
    <w:rsid w:val="00026899"/>
    <w:rsid w:val="0002698B"/>
    <w:rsid w:val="00027585"/>
    <w:rsid w:val="00027614"/>
    <w:rsid w:val="0003059F"/>
    <w:rsid w:val="00030A23"/>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3C8F"/>
    <w:rsid w:val="000541D8"/>
    <w:rsid w:val="000541F0"/>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529"/>
    <w:rsid w:val="0009084A"/>
    <w:rsid w:val="00090927"/>
    <w:rsid w:val="000915A4"/>
    <w:rsid w:val="0009278C"/>
    <w:rsid w:val="00092939"/>
    <w:rsid w:val="000941E2"/>
    <w:rsid w:val="00097209"/>
    <w:rsid w:val="00097368"/>
    <w:rsid w:val="0009777E"/>
    <w:rsid w:val="000A0410"/>
    <w:rsid w:val="000A204F"/>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1033"/>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29F"/>
    <w:rsid w:val="00241832"/>
    <w:rsid w:val="00242414"/>
    <w:rsid w:val="00243D8C"/>
    <w:rsid w:val="00244D42"/>
    <w:rsid w:val="00245567"/>
    <w:rsid w:val="002465EF"/>
    <w:rsid w:val="0024680D"/>
    <w:rsid w:val="00246FFA"/>
    <w:rsid w:val="00247076"/>
    <w:rsid w:val="00247F70"/>
    <w:rsid w:val="0025100F"/>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319"/>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FC0"/>
    <w:rsid w:val="003469FC"/>
    <w:rsid w:val="003472E7"/>
    <w:rsid w:val="003474D5"/>
    <w:rsid w:val="00347800"/>
    <w:rsid w:val="003504B5"/>
    <w:rsid w:val="0035151A"/>
    <w:rsid w:val="0035158F"/>
    <w:rsid w:val="003526FC"/>
    <w:rsid w:val="0035352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402"/>
    <w:rsid w:val="0039188A"/>
    <w:rsid w:val="003918F4"/>
    <w:rsid w:val="00391F3E"/>
    <w:rsid w:val="00391F87"/>
    <w:rsid w:val="00393338"/>
    <w:rsid w:val="00394D53"/>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53A"/>
    <w:rsid w:val="003C264C"/>
    <w:rsid w:val="003C2B86"/>
    <w:rsid w:val="003C3653"/>
    <w:rsid w:val="003C39EE"/>
    <w:rsid w:val="003C3E62"/>
    <w:rsid w:val="003C62F4"/>
    <w:rsid w:val="003C6C2A"/>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65C5"/>
    <w:rsid w:val="0042220A"/>
    <w:rsid w:val="004228A3"/>
    <w:rsid w:val="004229AC"/>
    <w:rsid w:val="00423D3B"/>
    <w:rsid w:val="00423EF3"/>
    <w:rsid w:val="004245A3"/>
    <w:rsid w:val="00424A48"/>
    <w:rsid w:val="004251CC"/>
    <w:rsid w:val="004256F9"/>
    <w:rsid w:val="004274EC"/>
    <w:rsid w:val="00427917"/>
    <w:rsid w:val="00431DD0"/>
    <w:rsid w:val="00431E74"/>
    <w:rsid w:val="00432A25"/>
    <w:rsid w:val="004336B1"/>
    <w:rsid w:val="0043381D"/>
    <w:rsid w:val="00436238"/>
    <w:rsid w:val="00441090"/>
    <w:rsid w:val="00441EB5"/>
    <w:rsid w:val="00442587"/>
    <w:rsid w:val="004431CC"/>
    <w:rsid w:val="0044341B"/>
    <w:rsid w:val="00443D84"/>
    <w:rsid w:val="00444F7D"/>
    <w:rsid w:val="00445007"/>
    <w:rsid w:val="00446514"/>
    <w:rsid w:val="00446A9B"/>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687"/>
    <w:rsid w:val="004A2E79"/>
    <w:rsid w:val="004A3E88"/>
    <w:rsid w:val="004A402F"/>
    <w:rsid w:val="004A5BB2"/>
    <w:rsid w:val="004A6761"/>
    <w:rsid w:val="004A77D5"/>
    <w:rsid w:val="004B02CF"/>
    <w:rsid w:val="004B0E25"/>
    <w:rsid w:val="004B2B05"/>
    <w:rsid w:val="004B2BBA"/>
    <w:rsid w:val="004B3425"/>
    <w:rsid w:val="004B4414"/>
    <w:rsid w:val="004B45D5"/>
    <w:rsid w:val="004B478A"/>
    <w:rsid w:val="004B4829"/>
    <w:rsid w:val="004B6983"/>
    <w:rsid w:val="004B6A2B"/>
    <w:rsid w:val="004B6B21"/>
    <w:rsid w:val="004B71F4"/>
    <w:rsid w:val="004B753E"/>
    <w:rsid w:val="004B76B6"/>
    <w:rsid w:val="004B7989"/>
    <w:rsid w:val="004B7AD9"/>
    <w:rsid w:val="004C00D6"/>
    <w:rsid w:val="004C015B"/>
    <w:rsid w:val="004C04F5"/>
    <w:rsid w:val="004C0B2B"/>
    <w:rsid w:val="004C0B5E"/>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10CA"/>
    <w:rsid w:val="004F4675"/>
    <w:rsid w:val="004F4A4E"/>
    <w:rsid w:val="004F557E"/>
    <w:rsid w:val="004F7762"/>
    <w:rsid w:val="005001A5"/>
    <w:rsid w:val="00501570"/>
    <w:rsid w:val="005017DA"/>
    <w:rsid w:val="00502611"/>
    <w:rsid w:val="005037FA"/>
    <w:rsid w:val="0050411A"/>
    <w:rsid w:val="00504C5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7BE"/>
    <w:rsid w:val="005D680C"/>
    <w:rsid w:val="005D75FC"/>
    <w:rsid w:val="005D7835"/>
    <w:rsid w:val="005E06D3"/>
    <w:rsid w:val="005E27C0"/>
    <w:rsid w:val="005E380C"/>
    <w:rsid w:val="005E4F1C"/>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3DA7"/>
    <w:rsid w:val="00634F89"/>
    <w:rsid w:val="006357BD"/>
    <w:rsid w:val="00636583"/>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4786"/>
    <w:rsid w:val="007F502E"/>
    <w:rsid w:val="007F6432"/>
    <w:rsid w:val="007F64D3"/>
    <w:rsid w:val="007F65F6"/>
    <w:rsid w:val="007F6A42"/>
    <w:rsid w:val="008013CA"/>
    <w:rsid w:val="00801875"/>
    <w:rsid w:val="008037CF"/>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6B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35EF"/>
    <w:rsid w:val="009152EC"/>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FBC"/>
    <w:rsid w:val="009F6383"/>
    <w:rsid w:val="009F6A79"/>
    <w:rsid w:val="00A00E96"/>
    <w:rsid w:val="00A019EE"/>
    <w:rsid w:val="00A03D24"/>
    <w:rsid w:val="00A03D3F"/>
    <w:rsid w:val="00A04688"/>
    <w:rsid w:val="00A049AC"/>
    <w:rsid w:val="00A04BEB"/>
    <w:rsid w:val="00A04DE2"/>
    <w:rsid w:val="00A11A20"/>
    <w:rsid w:val="00A11DFB"/>
    <w:rsid w:val="00A11F1E"/>
    <w:rsid w:val="00A14BA5"/>
    <w:rsid w:val="00A15C80"/>
    <w:rsid w:val="00A15DA4"/>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739"/>
    <w:rsid w:val="00A446EE"/>
    <w:rsid w:val="00A44BE1"/>
    <w:rsid w:val="00A4500D"/>
    <w:rsid w:val="00A451A2"/>
    <w:rsid w:val="00A47109"/>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7B16"/>
    <w:rsid w:val="00AF0B65"/>
    <w:rsid w:val="00AF0F18"/>
    <w:rsid w:val="00AF2F56"/>
    <w:rsid w:val="00AF48F3"/>
    <w:rsid w:val="00AF4979"/>
    <w:rsid w:val="00AF4EC1"/>
    <w:rsid w:val="00AF6745"/>
    <w:rsid w:val="00AF73F5"/>
    <w:rsid w:val="00AF7EEF"/>
    <w:rsid w:val="00B002E0"/>
    <w:rsid w:val="00B0053F"/>
    <w:rsid w:val="00B012E8"/>
    <w:rsid w:val="00B0132A"/>
    <w:rsid w:val="00B029C1"/>
    <w:rsid w:val="00B02E73"/>
    <w:rsid w:val="00B03289"/>
    <w:rsid w:val="00B042F9"/>
    <w:rsid w:val="00B06D5D"/>
    <w:rsid w:val="00B075CE"/>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30278"/>
    <w:rsid w:val="00B31C1B"/>
    <w:rsid w:val="00B35285"/>
    <w:rsid w:val="00B35581"/>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91B"/>
    <w:rsid w:val="00B52464"/>
    <w:rsid w:val="00B52C1F"/>
    <w:rsid w:val="00B538FC"/>
    <w:rsid w:val="00B55453"/>
    <w:rsid w:val="00B55CF3"/>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5820"/>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42CB"/>
    <w:rsid w:val="00BE4CDE"/>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6FEA"/>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1425"/>
    <w:rsid w:val="00C72471"/>
    <w:rsid w:val="00C73A01"/>
    <w:rsid w:val="00C74AF1"/>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BB3"/>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50AC"/>
    <w:rsid w:val="00CF6809"/>
    <w:rsid w:val="00CF7CDB"/>
    <w:rsid w:val="00D01778"/>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3C01"/>
    <w:rsid w:val="00ED4BA4"/>
    <w:rsid w:val="00ED5032"/>
    <w:rsid w:val="00ED5270"/>
    <w:rsid w:val="00ED6649"/>
    <w:rsid w:val="00ED7856"/>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54E0"/>
    <w:rsid w:val="00F15B55"/>
    <w:rsid w:val="00F17E20"/>
    <w:rsid w:val="00F2015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7DFB"/>
    <w:rsid w:val="00F8012B"/>
    <w:rsid w:val="00F81303"/>
    <w:rsid w:val="00F81422"/>
    <w:rsid w:val="00F8205B"/>
    <w:rsid w:val="00F824CA"/>
    <w:rsid w:val="00F83593"/>
    <w:rsid w:val="00F837F7"/>
    <w:rsid w:val="00F8499F"/>
    <w:rsid w:val="00F84C9F"/>
    <w:rsid w:val="00F85C70"/>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16BC"/>
    <w:rsid w:val="00FB1923"/>
    <w:rsid w:val="00FB25A0"/>
    <w:rsid w:val="00FB2D7C"/>
    <w:rsid w:val="00FB3195"/>
    <w:rsid w:val="00FB4D21"/>
    <w:rsid w:val="00FB4F37"/>
    <w:rsid w:val="00FB53CF"/>
    <w:rsid w:val="00FB79F1"/>
    <w:rsid w:val="00FB7E5A"/>
    <w:rsid w:val="00FC092D"/>
    <w:rsid w:val="00FC1ADD"/>
    <w:rsid w:val="00FC25AB"/>
    <w:rsid w:val="00FC3544"/>
    <w:rsid w:val="00FC48F0"/>
    <w:rsid w:val="00FC4F39"/>
    <w:rsid w:val="00FC5F00"/>
    <w:rsid w:val="00FC696D"/>
    <w:rsid w:val="00FC6E54"/>
    <w:rsid w:val="00FD148D"/>
    <w:rsid w:val="00FD19CD"/>
    <w:rsid w:val="00FD2BE2"/>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0"/>
    <w:next w:val="a"/>
    <w:link w:val="4Char"/>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Char"/>
    <w:semiHidden/>
    <w:qFormat/>
    <w:pPr>
      <w:widowControl/>
      <w:spacing w:before="40"/>
    </w:pPr>
    <w:rPr>
      <w:rFonts w:eastAsia="MS Mincho"/>
      <w:b/>
      <w:bCs/>
      <w:kern w:val="0"/>
      <w:szCs w:val="20"/>
      <w:lang w:val="en-GB" w:eastAsia="en-GB"/>
    </w:rPr>
  </w:style>
  <w:style w:type="paragraph" w:styleId="a4">
    <w:name w:val="annotation text"/>
    <w:basedOn w:val="a"/>
    <w:link w:val="Char1"/>
    <w:uiPriority w:val="99"/>
    <w:unhideWhenUsed/>
    <w:qFormat/>
    <w:pPr>
      <w:jc w:val="left"/>
    </w:p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2"/>
    <w:qFormat/>
    <w:pPr>
      <w:ind w:left="1418"/>
    </w:pPr>
  </w:style>
  <w:style w:type="paragraph" w:styleId="32">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0"/>
    <w:qFormat/>
    <w:pPr>
      <w:spacing w:before="152"/>
    </w:pPr>
    <w:rPr>
      <w:rFonts w:eastAsia="黑体"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宋体"/>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basedOn w:val="a"/>
    <w:link w:val="Char3"/>
    <w:qFormat/>
    <w:pPr>
      <w:widowControl/>
      <w:spacing w:before="40"/>
      <w:jc w:val="left"/>
    </w:pPr>
    <w:rPr>
      <w:rFonts w:eastAsia="MS Mincho"/>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3">
    <w:name w:val="toc 3"/>
    <w:basedOn w:val="a"/>
    <w:next w:val="a"/>
    <w:qFormat/>
    <w:pPr>
      <w:tabs>
        <w:tab w:val="right" w:leader="dot" w:pos="9241"/>
      </w:tabs>
      <w:ind w:firstLineChars="100" w:firstLine="100"/>
      <w:jc w:val="left"/>
    </w:pPr>
    <w:rPr>
      <w:rFonts w:ascii="宋体"/>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4">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0">
    <w:name w:val="index heading"/>
    <w:basedOn w:val="a"/>
    <w:next w:val="11"/>
    <w:qFormat/>
    <w:pPr>
      <w:jc w:val="center"/>
    </w:pPr>
    <w:rPr>
      <w:rFonts w:ascii="Calibri" w:hAnsi="Calibri"/>
      <w:b/>
      <w:bCs/>
      <w:iCs/>
      <w:szCs w:val="20"/>
    </w:rPr>
  </w:style>
  <w:style w:type="paragraph" w:styleId="11">
    <w:name w:val="index 1"/>
    <w:basedOn w:val="a"/>
    <w:next w:val="af1"/>
    <w:qFormat/>
    <w:pPr>
      <w:tabs>
        <w:tab w:val="right" w:leader="dot" w:pos="9299"/>
      </w:tabs>
      <w:jc w:val="left"/>
    </w:pPr>
    <w:rPr>
      <w:rFonts w:ascii="宋体"/>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2">
    <w:name w:val="footnote text"/>
    <w:basedOn w:val="a"/>
    <w:link w:val="Char9"/>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框文本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文档结构图 Char"/>
    <w:basedOn w:val="a0"/>
    <w:link w:val="a9"/>
    <w:qFormat/>
    <w:rPr>
      <w:rFonts w:ascii="宋体"/>
      <w:kern w:val="2"/>
      <w:sz w:val="18"/>
      <w:szCs w:val="18"/>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qFormat/>
    <w:rPr>
      <w:rFonts w:eastAsiaTheme="minorEastAsia"/>
      <w:b/>
      <w:bCs/>
      <w:kern w:val="44"/>
      <w:sz w:val="30"/>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Char0">
    <w:name w:val="题注 Char"/>
    <w:link w:val="a8"/>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
    <w:name w:val="批注主题 Char"/>
    <w:basedOn w:val="Chara"/>
    <w:link w:val="a3"/>
    <w:semiHidden/>
    <w:qFormat/>
    <w:rPr>
      <w:rFonts w:ascii="Arial" w:eastAsia="MS Mincho" w:hAnsi="Arial"/>
      <w:b/>
      <w:bCs/>
      <w:lang w:val="en-GB" w:eastAsia="en-GB"/>
    </w:rPr>
  </w:style>
  <w:style w:type="character" w:customStyle="1" w:styleId="Chara">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页脚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宋体"/>
      <w:sz w:val="21"/>
    </w:rPr>
  </w:style>
  <w:style w:type="paragraph" w:customStyle="1" w:styleId="afd">
    <w:name w:val="附录公式"/>
    <w:basedOn w:val="af1"/>
    <w:next w:val="af1"/>
    <w:link w:val="CharChar0"/>
    <w:qFormat/>
  </w:style>
  <w:style w:type="character" w:customStyle="1" w:styleId="Char4">
    <w:name w:val="纯文本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宋体" w:hAnsi="宋体"/>
      <w:kern w:val="2"/>
      <w:sz w:val="18"/>
      <w:szCs w:val="18"/>
    </w:rPr>
  </w:style>
  <w:style w:type="paragraph" w:customStyle="1" w:styleId="afe">
    <w:name w:val="首示例"/>
    <w:next w:val="af1"/>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ind w:left="1135" w:hanging="284"/>
    </w:pPr>
    <w:rPr>
      <w:rFonts w:ascii="Times New Roman" w:eastAsia="Malgun Gothic" w:hAnsi="Times New Roman"/>
      <w:szCs w:val="20"/>
      <w:lang w:val="en-US" w:eastAsia="en-US"/>
    </w:rPr>
  </w:style>
  <w:style w:type="character" w:customStyle="1" w:styleId="Char3">
    <w:name w:val="正文文本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Char8">
    <w:name w:val="页眉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黑体" w:eastAsia="黑体"/>
      <w:b w:val="0"/>
    </w:rPr>
  </w:style>
  <w:style w:type="paragraph" w:customStyle="1" w:styleId="aff1">
    <w:name w:val="发布部门"/>
    <w:next w:val="af1"/>
    <w:qFormat/>
    <w:pPr>
      <w:jc w:val="center"/>
    </w:pPr>
    <w:rPr>
      <w:rFonts w:ascii="宋体" w:eastAsiaTheme="minorEastAsia"/>
      <w:b/>
      <w:spacing w:val="20"/>
      <w:w w:val="135"/>
      <w:sz w:val="28"/>
    </w:rPr>
  </w:style>
  <w:style w:type="paragraph" w:customStyle="1" w:styleId="aff2">
    <w:name w:val="示例"/>
    <w:next w:val="aff3"/>
    <w:qFormat/>
    <w:pPr>
      <w:widowControl w:val="0"/>
      <w:ind w:left="360" w:hanging="360"/>
      <w:jc w:val="both"/>
    </w:pPr>
    <w:rPr>
      <w:rFonts w:ascii="宋体" w:eastAsiaTheme="minorEastAsia"/>
      <w:sz w:val="18"/>
      <w:szCs w:val="18"/>
    </w:rPr>
  </w:style>
  <w:style w:type="paragraph" w:customStyle="1" w:styleId="aff3">
    <w:name w:val="示例内容"/>
    <w:qFormat/>
    <w:pPr>
      <w:ind w:firstLineChars="200" w:firstLine="200"/>
    </w:pPr>
    <w:rPr>
      <w:rFonts w:ascii="宋体" w:eastAsiaTheme="minorEastAsia"/>
      <w:sz w:val="18"/>
      <w:szCs w:val="18"/>
    </w:rPr>
  </w:style>
  <w:style w:type="paragraph" w:customStyle="1" w:styleId="aff4">
    <w:name w:val="附录数字编号列项（二级）"/>
    <w:qFormat/>
    <w:pPr>
      <w:tabs>
        <w:tab w:val="left" w:pos="363"/>
        <w:tab w:val="left" w:pos="840"/>
      </w:tabs>
      <w:ind w:firstLine="363"/>
    </w:pPr>
    <w:rPr>
      <w:rFonts w:ascii="宋体" w:eastAsiaTheme="minorEastAsia"/>
      <w:sz w:val="21"/>
    </w:rPr>
  </w:style>
  <w:style w:type="paragraph" w:customStyle="1" w:styleId="aff5">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6">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c">
    <w:name w:val="四级条标题"/>
    <w:basedOn w:val="aff7"/>
    <w:next w:val="af1"/>
    <w:qFormat/>
    <w:pPr>
      <w:outlineLvl w:val="5"/>
    </w:pPr>
  </w:style>
  <w:style w:type="character" w:customStyle="1" w:styleId="Char9">
    <w:name w:val="脚注文本 Char"/>
    <w:basedOn w:val="a0"/>
    <w:link w:val="af2"/>
    <w:qFormat/>
    <w:rPr>
      <w:rFonts w:ascii="宋体"/>
      <w:kern w:val="2"/>
      <w:sz w:val="18"/>
      <w:szCs w:val="18"/>
    </w:rPr>
  </w:style>
  <w:style w:type="paragraph" w:customStyle="1" w:styleId="affd">
    <w:name w:val="章标题"/>
    <w:next w:val="af1"/>
    <w:qFormat/>
    <w:pPr>
      <w:spacing w:beforeLines="100" w:afterLines="100"/>
      <w:jc w:val="both"/>
      <w:outlineLvl w:val="1"/>
    </w:pPr>
    <w:rPr>
      <w:rFonts w:ascii="黑体" w:eastAsia="黑体"/>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宋体"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4">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5">
    <w:name w:val="一级无"/>
    <w:basedOn w:val="aff9"/>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宋体" w:eastAsia="宋体"/>
      <w:szCs w:val="21"/>
    </w:rPr>
  </w:style>
  <w:style w:type="paragraph" w:customStyle="1" w:styleId="afff7">
    <w:name w:val="实施日期"/>
    <w:basedOn w:val="afff8"/>
    <w:qFormat/>
    <w:pPr>
      <w:jc w:val="right"/>
    </w:pPr>
  </w:style>
  <w:style w:type="paragraph" w:customStyle="1" w:styleId="afff8">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宋体" w:eastAsia="宋体"/>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黑体" w:eastAsia="黑体"/>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宋体" w:eastAsiaTheme="minorEastAsia"/>
      <w:sz w:val="21"/>
      <w:szCs w:val="21"/>
    </w:rPr>
  </w:style>
  <w:style w:type="character" w:customStyle="1" w:styleId="Char1">
    <w:name w:val="批注文字 Char1"/>
    <w:basedOn w:val="a0"/>
    <w:link w:val="a4"/>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宋体"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宋体" w:eastAsia="宋体"/>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宋体" w:eastAsia="宋体"/>
      <w:szCs w:val="21"/>
    </w:rPr>
  </w:style>
  <w:style w:type="paragraph" w:customStyle="1" w:styleId="affff6">
    <w:name w:val="图的脚注"/>
    <w:next w:val="af1"/>
    <w:qFormat/>
    <w:pPr>
      <w:widowControl w:val="0"/>
      <w:ind w:leftChars="200" w:left="840" w:hangingChars="200" w:hanging="420"/>
      <w:jc w:val="both"/>
    </w:pPr>
    <w:rPr>
      <w:rFonts w:ascii="宋体" w:eastAsiaTheme="minorEastAsia"/>
      <w:sz w:val="18"/>
    </w:rPr>
  </w:style>
  <w:style w:type="character" w:customStyle="1" w:styleId="Char5">
    <w:name w:val="尾注文本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宋体"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宋体"/>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2">
    <w:name w:val="四级无"/>
    <w:basedOn w:val="affc"/>
    <w:qFormat/>
    <w:rPr>
      <w:rFonts w:ascii="宋体" w:eastAsia="宋体"/>
    </w:rPr>
  </w:style>
  <w:style w:type="paragraph" w:customStyle="1" w:styleId="afffff3">
    <w:name w:val="示例×："/>
    <w:basedOn w:val="affd"/>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宋体"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黑体" w:eastAsia="黑体"/>
      <w:szCs w:val="21"/>
    </w:rPr>
  </w:style>
  <w:style w:type="paragraph" w:customStyle="1" w:styleId="afffff8">
    <w:name w:val="附录标题"/>
    <w:basedOn w:val="af1"/>
    <w:next w:val="af1"/>
    <w:qFormat/>
    <w:pPr>
      <w:ind w:firstLineChars="0" w:firstLine="0"/>
      <w:jc w:val="center"/>
    </w:pPr>
    <w:rPr>
      <w:rFonts w:ascii="黑体" w:eastAsia="黑体"/>
    </w:rPr>
  </w:style>
  <w:style w:type="paragraph" w:customStyle="1" w:styleId="afffff9">
    <w:name w:val="数字编号列项（二级）"/>
    <w:qFormat/>
    <w:pPr>
      <w:tabs>
        <w:tab w:val="left" w:pos="1260"/>
      </w:tabs>
      <w:ind w:left="1190" w:hanging="567"/>
      <w:jc w:val="both"/>
    </w:pPr>
    <w:rPr>
      <w:rFonts w:ascii="宋体"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宋体" w:eastAsiaTheme="minorEastAsia"/>
      <w:sz w:val="21"/>
    </w:rPr>
  </w:style>
  <w:style w:type="paragraph" w:customStyle="1" w:styleId="afffffd">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宋体"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0">
    <w:name w:val="二级无"/>
    <w:basedOn w:val="aff8"/>
    <w:qFormat/>
    <w:rPr>
      <w:rFonts w:ascii="宋体" w:eastAsia="宋体"/>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宋体" w:eastAsia="宋体"/>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黑体" w:eastAsia="黑体"/>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宋体" w:eastAsiaTheme="minorEastAsia"/>
      <w:sz w:val="18"/>
      <w:szCs w:val="18"/>
    </w:rPr>
  </w:style>
  <w:style w:type="paragraph" w:customStyle="1" w:styleId="affffffd">
    <w:name w:val="附录二级无"/>
    <w:basedOn w:val="afff3"/>
    <w:qFormat/>
    <w:pPr>
      <w:tabs>
        <w:tab w:val="clear" w:pos="360"/>
      </w:tabs>
      <w:spacing w:afterLines="0"/>
    </w:pPr>
    <w:rPr>
      <w:rFonts w:ascii="宋体" w:eastAsia="宋体"/>
      <w:szCs w:val="21"/>
    </w:rPr>
  </w:style>
  <w:style w:type="paragraph" w:customStyle="1" w:styleId="affffffe">
    <w:name w:val="附录一级无"/>
    <w:basedOn w:val="affa"/>
    <w:qFormat/>
    <w:pPr>
      <w:tabs>
        <w:tab w:val="clear" w:pos="360"/>
      </w:tabs>
      <w:spacing w:beforeLines="0" w:afterLines="0"/>
    </w:pPr>
    <w:rPr>
      <w:rFonts w:ascii="宋体" w:eastAsia="宋体"/>
      <w:szCs w:val="21"/>
    </w:rPr>
  </w:style>
  <w:style w:type="paragraph" w:customStyle="1" w:styleId="afffffff">
    <w:name w:val="列项说明数字编号"/>
    <w:qFormat/>
    <w:pPr>
      <w:ind w:leftChars="400" w:left="600" w:hangingChars="200" w:hanging="200"/>
    </w:pPr>
    <w:rPr>
      <w:rFonts w:ascii="宋体"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tblInd w:w="0" w:type="dxa"/>
      <w:tblCellMar>
        <w:top w:w="0" w:type="dxa"/>
        <w:left w:w="108" w:type="dxa"/>
        <w:bottom w:w="0" w:type="dxa"/>
        <w:right w:w="108" w:type="dxa"/>
      </w:tblCellMa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
    <w:link w:val="Charb"/>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Char">
    <w:name w:val="标题 5 Char"/>
    <w:basedOn w:val="a0"/>
    <w:link w:val="5"/>
    <w:qFormat/>
    <w:rPr>
      <w:rFonts w:ascii="Arial" w:eastAsia="黑体" w:hAnsi="Arial"/>
      <w:b/>
      <w:bCs/>
      <w:sz w:val="28"/>
      <w:szCs w:val="32"/>
      <w:lang w:val="en-GB"/>
    </w:rPr>
  </w:style>
  <w:style w:type="character" w:customStyle="1" w:styleId="4Char">
    <w:name w:val="标题 4 Char"/>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4">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0"/>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RAN2\Docs\R2-2101461.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Data\3GPP\Extracts\R2-2100569%20Report%20of%20Email%20discussion%5b155%5d%5bREDCAP%5d%20RRM%20relaxations.docx" TargetMode="External"/><Relationship Id="rId17" Type="http://schemas.openxmlformats.org/officeDocument/2006/relationships/hyperlink" Target="file:///C:\Data\3GPP\Extracts\R2-2100459_TP%20for%20TR%2038875%20on%20evaluation%20for%20RRM%20relaxation.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archive\RAN2\RAN2%23112\Tdocs\R2-2010761.zip"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9" ma:contentTypeDescription="Create a new document." ma:contentTypeScope="" ma:versionID="71bdc49367423a3ffac21002fd3bf238">
  <xsd:schema xmlns:xsd="http://www.w3.org/2001/XMLSchema" xmlns:xs="http://www.w3.org/2001/XMLSchema" xmlns:p="http://schemas.microsoft.com/office/2006/metadata/properties" xmlns:ns2="e24db902-3311-40af-94a3-258b104acfb4" targetNamespace="http://schemas.microsoft.com/office/2006/metadata/properties" ma:root="true" ma:fieldsID="0e60bfaa0e107d312a0b575bb05d0478"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93C2BA-E919-4D80-B5DA-15382A8A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5.xml><?xml version="1.0" encoding="utf-8"?>
<ds:datastoreItem xmlns:ds="http://schemas.openxmlformats.org/officeDocument/2006/customXml" ds:itemID="{B0D55873-6EDE-420D-8CF4-BA4759F0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11</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cp:lastModifiedBy>
  <cp:revision>77</cp:revision>
  <cp:lastPrinted>2021-01-06T08:07:00Z</cp:lastPrinted>
  <dcterms:created xsi:type="dcterms:W3CDTF">2021-01-12T10:28:00Z</dcterms:created>
  <dcterms:modified xsi:type="dcterms:W3CDTF">2021-01-27T17:22:00Z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0x010100445FDBF28B9EAC4CA7D16FC43FD6F691</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1609812497</vt:lpwstr>
  </property>
</Properties>
</file>