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5pt;height:166.9pt" o:ole="">
            <v:imagedata r:id="rId16" o:title=""/>
            <o:lock v:ext="edit" aspectratio="f"/>
          </v:shape>
          <o:OLEObject Type="Embed" ProgID="VisioViewer.Viewer.1" ShapeID="_x0000_i1025" DrawAspect="Content" ObjectID="_1673462010"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9pt;height:219.75pt" o:ole="">
                  <v:imagedata r:id="rId18" o:title=""/>
                  <o:lock v:ext="edit" aspectratio="f"/>
                </v:shape>
                <o:OLEObject Type="Embed" ProgID="Visio.Drawing.15" ShapeID="_x0000_i1026" DrawAspect="Content" ObjectID="_1673462011"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15pt;height:322.15pt" o:ole="">
                  <v:imagedata r:id="rId20" o:title=""/>
                  <o:lock v:ext="edit" aspectratio="f"/>
                </v:shape>
                <o:OLEObject Type="Embed" ProgID="Visio.Drawing.15" ShapeID="_x0000_i1027" DrawAspect="Content" ObjectID="_1673462012"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51D3D">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51D3D">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851D3D">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851D3D">
        <w:tc>
          <w:tcPr>
            <w:tcW w:w="1555" w:type="dxa"/>
          </w:tcPr>
          <w:p w14:paraId="3D176E38" w14:textId="77777777" w:rsidR="00C376A8" w:rsidRDefault="00C376A8" w:rsidP="00C00461">
            <w:pPr>
              <w:rPr>
                <w:rFonts w:eastAsia="Malgun Gothic"/>
                <w:lang w:val="en-US" w:eastAsia="ko-KR"/>
              </w:rPr>
            </w:pPr>
          </w:p>
        </w:tc>
        <w:tc>
          <w:tcPr>
            <w:tcW w:w="2126" w:type="dxa"/>
          </w:tcPr>
          <w:p w14:paraId="46EC2BB7" w14:textId="77777777" w:rsidR="00C376A8" w:rsidRDefault="00C376A8" w:rsidP="00C00461">
            <w:pPr>
              <w:rPr>
                <w:rFonts w:eastAsia="Malgun Gothic"/>
                <w:lang w:val="en-US" w:eastAsia="ko-KR"/>
              </w:rPr>
            </w:pPr>
          </w:p>
        </w:tc>
        <w:tc>
          <w:tcPr>
            <w:tcW w:w="5950" w:type="dxa"/>
          </w:tcPr>
          <w:p w14:paraId="6D55EF5C" w14:textId="77777777" w:rsidR="00C376A8" w:rsidRDefault="00C376A8" w:rsidP="00C00461">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15pt;height:322.15pt" o:ole="">
                  <v:imagedata r:id="rId20" o:title=""/>
                  <o:lock v:ext="edit" aspectratio="f"/>
                </v:shape>
                <o:OLEObject Type="Embed" ProgID="Visio.Drawing.15" ShapeID="_x0000_i1028" DrawAspect="Content" ObjectID="_1673462013"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51D3D">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w:t>
            </w:r>
            <w:r>
              <w:rPr>
                <w:rFonts w:ascii="Arial" w:eastAsia="Helvetica" w:hAnsi="Arial" w:cs="Arial"/>
                <w:lang w:val="en-US"/>
              </w:rPr>
              <w:lastRenderedPageBreak/>
              <w:t>explained in our TDoc [7] and as argued by Panasonic, configuring multiple TAs for UEs as part of a legacy Registration Area for boundary UEs would solve most TAU and battery consumption problems</w:t>
            </w:r>
          </w:p>
        </w:tc>
      </w:tr>
      <w:tr w:rsidR="00C00461" w14:paraId="0B36EDD9" w14:textId="77777777" w:rsidTr="00851D3D">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lastRenderedPageBreak/>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51D3D">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51D3D">
        <w:tc>
          <w:tcPr>
            <w:tcW w:w="1555" w:type="dxa"/>
          </w:tcPr>
          <w:p w14:paraId="2EB736F7" w14:textId="77777777" w:rsidR="00A11022" w:rsidRPr="00B80C76" w:rsidRDefault="00A11022" w:rsidP="00A11022">
            <w:pPr>
              <w:rPr>
                <w:rFonts w:ascii="Arial" w:eastAsia="Malgun Gothic" w:hAnsi="Arial" w:cs="Arial"/>
                <w:lang w:val="en-US" w:eastAsia="ko-KR"/>
              </w:rPr>
            </w:pPr>
          </w:p>
        </w:tc>
        <w:tc>
          <w:tcPr>
            <w:tcW w:w="2126" w:type="dxa"/>
          </w:tcPr>
          <w:p w14:paraId="45C46132" w14:textId="77777777" w:rsidR="00A11022" w:rsidRPr="00B80C76" w:rsidRDefault="00A11022" w:rsidP="00A11022">
            <w:pPr>
              <w:rPr>
                <w:rFonts w:ascii="Arial" w:eastAsia="Malgun Gothic" w:hAnsi="Arial" w:cs="Arial"/>
                <w:lang w:val="en-US" w:eastAsia="ko-KR"/>
              </w:rPr>
            </w:pPr>
          </w:p>
        </w:tc>
        <w:tc>
          <w:tcPr>
            <w:tcW w:w="5950" w:type="dxa"/>
          </w:tcPr>
          <w:p w14:paraId="19D18F3C" w14:textId="77777777" w:rsidR="00A11022" w:rsidRDefault="00A11022" w:rsidP="00A11022">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w:t>
            </w:r>
            <w:r w:rsidRPr="00B519A1">
              <w:rPr>
                <w:rFonts w:ascii="Arial" w:eastAsia="Helvetica" w:hAnsi="Arial" w:cs="Arial"/>
                <w:lang w:val="en-US"/>
              </w:rPr>
              <w:lastRenderedPageBreak/>
              <w:t xml:space="preserve">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A418AF">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A418AF">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A418AF">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lastRenderedPageBreak/>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lastRenderedPageBreak/>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51D3D">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51D3D">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851D3D">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lastRenderedPageBreak/>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51D3D">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851D3D">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51D3D">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lastRenderedPageBreak/>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0C3C18">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0C3C18">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0C3C18">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lastRenderedPageBreak/>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3" w:name="_Ref54304593"/>
      <w:bookmarkStart w:id="4" w:name="_Ref20917677"/>
      <w:bookmarkStart w:id="5" w:name="_Ref54304312"/>
      <w:r w:rsidR="00E175D8" w:rsidRPr="007B3B9F">
        <w:t>3GPP TR 38.821 Solutions for NR to support non-terrestrial networks (NTN), version 16.0.0</w:t>
      </w:r>
      <w:bookmarkEnd w:id="3"/>
    </w:p>
    <w:p w14:paraId="22A560EA" w14:textId="77777777" w:rsidR="007B3B9F" w:rsidRPr="007B3B9F" w:rsidRDefault="007B3B9F" w:rsidP="007B3B9F">
      <w:pPr>
        <w:pStyle w:val="Reference"/>
        <w:numPr>
          <w:ilvl w:val="0"/>
          <w:numId w:val="13"/>
        </w:numPr>
        <w:ind w:right="200"/>
        <w:jc w:val="both"/>
      </w:pPr>
      <w:bookmarkStart w:id="6" w:name="_Ref62661744"/>
      <w:r w:rsidRPr="007B3B9F">
        <w:t xml:space="preserve">R2-209820, </w:t>
      </w:r>
      <w:bookmarkEnd w:id="4"/>
      <w:r w:rsidRPr="007B3B9F">
        <w:t>[POST111e][910][NTN] Impacts of earth fixed and moving beams (Ericsson)</w:t>
      </w:r>
      <w:bookmarkEnd w:id="5"/>
      <w:bookmarkEnd w:id="6"/>
    </w:p>
    <w:p w14:paraId="3D83B6FE" w14:textId="77777777" w:rsidR="00004219" w:rsidRPr="00004219" w:rsidRDefault="00004219" w:rsidP="00004219">
      <w:pPr>
        <w:pStyle w:val="Reference"/>
        <w:numPr>
          <w:ilvl w:val="0"/>
          <w:numId w:val="13"/>
        </w:numPr>
        <w:tabs>
          <w:tab w:val="num" w:pos="567"/>
        </w:tabs>
        <w:ind w:right="200"/>
        <w:jc w:val="both"/>
      </w:pPr>
      <w:bookmarkStart w:id="7" w:name="_Ref62662854"/>
      <w:r w:rsidRPr="00004219">
        <w:t>R2-2101607</w:t>
      </w:r>
      <w:r w:rsidRPr="00004219">
        <w:tab/>
        <w:t>Considerations on Soft TAI Update</w:t>
      </w:r>
      <w:r w:rsidRPr="00004219">
        <w:tab/>
        <w:t>CMCC</w:t>
      </w:r>
      <w:r w:rsidRPr="00004219">
        <w:tab/>
        <w:t>discussion</w:t>
      </w:r>
      <w:r w:rsidRPr="00004219">
        <w:tab/>
        <w:t>Rel-17</w:t>
      </w:r>
      <w:bookmarkEnd w:id="7"/>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8" w:name="_Ref62662857"/>
      <w:r w:rsidRPr="00004219">
        <w:t>R2-2100259</w:t>
      </w:r>
      <w:r w:rsidRPr="00004219">
        <w:tab/>
        <w:t>Improving Tracking Area Updates in NR-NTN</w:t>
      </w:r>
      <w:r w:rsidRPr="00004219">
        <w:tab/>
        <w:t>MediaTek Inc.</w:t>
      </w:r>
      <w:r w:rsidRPr="00004219">
        <w:tab/>
        <w:t>discussion</w:t>
      </w:r>
      <w:bookmarkEnd w:id="8"/>
    </w:p>
    <w:p w14:paraId="5D14693A" w14:textId="77777777" w:rsidR="00004219" w:rsidRPr="00004219" w:rsidRDefault="00004219" w:rsidP="00004219">
      <w:pPr>
        <w:pStyle w:val="Reference"/>
        <w:numPr>
          <w:ilvl w:val="0"/>
          <w:numId w:val="13"/>
        </w:numPr>
        <w:tabs>
          <w:tab w:val="num" w:pos="567"/>
        </w:tabs>
        <w:ind w:right="200"/>
        <w:jc w:val="both"/>
      </w:pPr>
      <w:bookmarkStart w:id="9" w:name="_Ref62649618"/>
      <w:r w:rsidRPr="00004219">
        <w:t>R2-2100742</w:t>
      </w:r>
      <w:r w:rsidRPr="00004219">
        <w:tab/>
        <w:t>TAC update procedure</w:t>
      </w:r>
      <w:r w:rsidRPr="00004219">
        <w:tab/>
        <w:t>Qualcomm Incorporated</w:t>
      </w:r>
      <w:r w:rsidRPr="00004219">
        <w:tab/>
        <w:t>discussion</w:t>
      </w:r>
      <w:r w:rsidRPr="00004219">
        <w:tab/>
        <w:t>Rel-17</w:t>
      </w:r>
      <w:bookmarkEnd w:id="9"/>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0"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0"/>
    </w:p>
    <w:p w14:paraId="22AB538A" w14:textId="77777777" w:rsidR="007B3B9F" w:rsidRDefault="00004219" w:rsidP="0089121A">
      <w:pPr>
        <w:pStyle w:val="Reference"/>
        <w:numPr>
          <w:ilvl w:val="0"/>
          <w:numId w:val="13"/>
        </w:numPr>
        <w:tabs>
          <w:tab w:val="num" w:pos="567"/>
        </w:tabs>
        <w:spacing w:before="134" w:after="0"/>
        <w:ind w:right="200"/>
        <w:jc w:val="both"/>
      </w:pPr>
      <w:bookmarkStart w:id="11" w:name="_Ref62662861"/>
      <w:r w:rsidRPr="00004219">
        <w:t>R2-2101406</w:t>
      </w:r>
      <w:r w:rsidRPr="00004219">
        <w:tab/>
        <w:t>TAI update for earth moving cell</w:t>
      </w:r>
      <w:r w:rsidRPr="00004219">
        <w:tab/>
        <w:t>NEC Telecom MODUS Ltd.</w:t>
      </w:r>
      <w:r w:rsidRPr="00004219">
        <w:tab/>
        <w:t>discussion</w:t>
      </w:r>
      <w:bookmarkEnd w:id="11"/>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QCOM" w:date="2021-01-28T22:01:00Z" w:initials="QC">
    <w:p w14:paraId="45E4C08A" w14:textId="77777777" w:rsidR="00315647" w:rsidRDefault="0031564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BA40C" w14:textId="77777777" w:rsidR="003F2AEE" w:rsidRDefault="003F2AEE">
      <w:pPr>
        <w:spacing w:after="0" w:line="240" w:lineRule="auto"/>
      </w:pPr>
      <w:r>
        <w:separator/>
      </w:r>
    </w:p>
  </w:endnote>
  <w:endnote w:type="continuationSeparator" w:id="0">
    <w:p w14:paraId="77052C01" w14:textId="77777777" w:rsidR="003F2AEE" w:rsidRDefault="003F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88085" w14:textId="77777777" w:rsidR="003F2AEE" w:rsidRDefault="003F2AEE">
      <w:pPr>
        <w:spacing w:after="0" w:line="240" w:lineRule="auto"/>
      </w:pPr>
      <w:r>
        <w:separator/>
      </w:r>
    </w:p>
  </w:footnote>
  <w:footnote w:type="continuationSeparator" w:id="0">
    <w:p w14:paraId="1F3BA113" w14:textId="77777777" w:rsidR="003F2AEE" w:rsidRDefault="003F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microsoft.com/office/2018/08/relationships/commentsExtensible" Target="commentsExtensible.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8A9F5180-6145-4F6F-A0A9-BA47F4DA1D5C}">
  <ds:schemaRefs>
    <ds:schemaRef ds:uri="http://schemas.openxmlformats.org/officeDocument/2006/bibliography"/>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22</TotalTime>
  <Pages>14</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Qualcomm-Bharat</cp:lastModifiedBy>
  <cp:revision>30</cp:revision>
  <cp:lastPrinted>2009-04-22T01:01:00Z</cp:lastPrinted>
  <dcterms:created xsi:type="dcterms:W3CDTF">2021-01-29T21:06:00Z</dcterms:created>
  <dcterms:modified xsi:type="dcterms:W3CDTF">2021-01-30T05:38:00Z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