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D0" w:rsidRDefault="006D024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3GPP TSG-RAN WG2 Meeting #113 Electronic</w:t>
      </w:r>
      <w:r>
        <w:rPr>
          <w:rFonts w:ascii="Arial" w:eastAsia="Times New Roman" w:hAnsi="Arial"/>
          <w:b/>
          <w:bCs/>
          <w:sz w:val="24"/>
          <w:szCs w:val="24"/>
          <w:lang w:eastAsia="ja-JP"/>
        </w:rPr>
        <w:tab/>
        <w:t>R2-2102011</w:t>
      </w:r>
    </w:p>
    <w:p w:rsidR="005900D0" w:rsidRDefault="006D024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25 January – 05 February 2021</w:t>
      </w:r>
      <w:r>
        <w:rPr>
          <w:rFonts w:ascii="Arial" w:eastAsia="Times New Roman" w:hAnsi="Arial"/>
          <w:b/>
          <w:bCs/>
          <w:sz w:val="24"/>
          <w:szCs w:val="24"/>
          <w:lang w:eastAsia="ja-JP"/>
        </w:rPr>
        <w:tab/>
      </w:r>
    </w:p>
    <w:p w:rsidR="005900D0" w:rsidRDefault="005900D0">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rsidR="005900D0" w:rsidRDefault="006D024D">
      <w:pPr>
        <w:pStyle w:val="CRCoverPage"/>
        <w:tabs>
          <w:tab w:val="left" w:pos="1985"/>
        </w:tabs>
        <w:rPr>
          <w:rFonts w:cs="Arial"/>
          <w:b/>
          <w:bCs/>
          <w:sz w:val="24"/>
          <w:lang w:eastAsia="ja-JP"/>
        </w:rPr>
      </w:pPr>
      <w:r>
        <w:rPr>
          <w:rFonts w:cs="Arial"/>
          <w:b/>
          <w:bCs/>
          <w:sz w:val="24"/>
        </w:rPr>
        <w:t>Agenda item:</w:t>
      </w:r>
      <w:r>
        <w:rPr>
          <w:rFonts w:cs="Arial"/>
          <w:b/>
          <w:bCs/>
          <w:sz w:val="24"/>
        </w:rPr>
        <w:tab/>
        <w:t>6.12</w:t>
      </w:r>
    </w:p>
    <w:p w:rsidR="005900D0" w:rsidRDefault="006D024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rsidR="005900D0" w:rsidRDefault="006D024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w:t>
      </w:r>
      <w:r>
        <w:rPr>
          <w:rFonts w:ascii="Arial" w:hAnsi="Arial" w:cs="Arial"/>
          <w:b/>
          <w:bCs/>
          <w:sz w:val="24"/>
          <w:lang w:val="en-US"/>
        </w:rPr>
        <w:t>[</w:t>
      </w:r>
      <w:r>
        <w:rPr>
          <w:rFonts w:ascii="Arial" w:hAnsi="Arial" w:cs="Arial"/>
          <w:b/>
          <w:bCs/>
          <w:sz w:val="24"/>
        </w:rPr>
        <w:t>AT113-e][101][PRN] Corrections</w:t>
      </w:r>
    </w:p>
    <w:p w:rsidR="005900D0" w:rsidRDefault="006D024D">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5900D0" w:rsidRDefault="006D024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rsidR="005900D0" w:rsidRDefault="006D024D">
      <w:pPr>
        <w:pStyle w:val="1"/>
      </w:pPr>
      <w:r>
        <w:t>1</w:t>
      </w:r>
      <w:r>
        <w:tab/>
        <w:t>Introduction</w:t>
      </w:r>
    </w:p>
    <w:p w:rsidR="005900D0" w:rsidRDefault="006D024D">
      <w:r>
        <w:t>This document</w:t>
      </w:r>
      <w:r>
        <w:t xml:space="preserve"> is the summary of the following email discussion:</w:t>
      </w:r>
    </w:p>
    <w:p w:rsidR="005900D0" w:rsidRDefault="006D024D">
      <w:pPr>
        <w:pStyle w:val="EmailDiscussion"/>
      </w:pPr>
      <w:r>
        <w:t>[AT113-e][101][PRN] Corrections (Nokia)</w:t>
      </w:r>
    </w:p>
    <w:p w:rsidR="005900D0" w:rsidRDefault="006D024D">
      <w:pPr>
        <w:pStyle w:val="EmailDiscussion2"/>
        <w:ind w:left="1619" w:firstLine="0"/>
      </w:pPr>
      <w:r>
        <w:t>Scope: Discuss the PRN corrections in 6.12</w:t>
      </w:r>
    </w:p>
    <w:p w:rsidR="005900D0" w:rsidRDefault="006D024D">
      <w:pPr>
        <w:pStyle w:val="EmailDiscussion2"/>
        <w:ind w:left="1619" w:firstLine="0"/>
      </w:pPr>
      <w:r>
        <w:t>Initial intended outcome: summary of the offline discussion with e.g.:</w:t>
      </w:r>
    </w:p>
    <w:p w:rsidR="005900D0" w:rsidRDefault="006D024D">
      <w:pPr>
        <w:pStyle w:val="EmailDiscussion2"/>
        <w:numPr>
          <w:ilvl w:val="2"/>
          <w:numId w:val="2"/>
        </w:numPr>
        <w:ind w:left="1980"/>
      </w:pPr>
      <w:r>
        <w:t>List of CRs that can be agreed as is</w:t>
      </w:r>
    </w:p>
    <w:p w:rsidR="005900D0" w:rsidRDefault="006D024D">
      <w:pPr>
        <w:pStyle w:val="EmailDiscussion2"/>
        <w:numPr>
          <w:ilvl w:val="2"/>
          <w:numId w:val="2"/>
        </w:numPr>
        <w:ind w:left="1980"/>
      </w:pPr>
      <w:r>
        <w:t>List of CRs th</w:t>
      </w:r>
      <w:r>
        <w:t>at can be agreed with some changes / merges with other CRs (with an indication of the needed changes)</w:t>
      </w:r>
    </w:p>
    <w:p w:rsidR="005900D0" w:rsidRDefault="006D024D">
      <w:pPr>
        <w:pStyle w:val="EmailDiscussion2"/>
        <w:numPr>
          <w:ilvl w:val="2"/>
          <w:numId w:val="2"/>
        </w:numPr>
        <w:ind w:left="1980"/>
      </w:pPr>
      <w:r>
        <w:t>List of CRs that require online discussion</w:t>
      </w:r>
    </w:p>
    <w:p w:rsidR="005900D0" w:rsidRDefault="006D024D">
      <w:pPr>
        <w:pStyle w:val="EmailDiscussion2"/>
        <w:numPr>
          <w:ilvl w:val="2"/>
          <w:numId w:val="2"/>
        </w:numPr>
        <w:ind w:left="1980"/>
      </w:pPr>
      <w:r>
        <w:t>List of CRs that should not be pursued</w:t>
      </w:r>
    </w:p>
    <w:p w:rsidR="005900D0" w:rsidRDefault="006D024D">
      <w:pPr>
        <w:pStyle w:val="EmailDiscussion2"/>
        <w:ind w:left="1619" w:firstLine="0"/>
        <w:rPr>
          <w:color w:val="FF0000"/>
        </w:rPr>
      </w:pPr>
      <w:r>
        <w:rPr>
          <w:color w:val="FF0000"/>
        </w:rPr>
        <w:t>Initial deadline (for companies' feedback): Tuesday 2021-01-26 15:00 UTC</w:t>
      </w:r>
    </w:p>
    <w:p w:rsidR="005900D0" w:rsidRDefault="006D024D">
      <w:pPr>
        <w:pStyle w:val="EmailDiscussion2"/>
        <w:ind w:left="1619" w:firstLine="0"/>
        <w:rPr>
          <w:u w:val="single"/>
        </w:rPr>
      </w:pPr>
      <w:r>
        <w:rPr>
          <w:color w:val="000000" w:themeColor="text1"/>
        </w:rPr>
        <w:t xml:space="preserve">Initial deadline (for </w:t>
      </w:r>
      <w:r>
        <w:rPr>
          <w:rStyle w:val="Doc-text2Char"/>
        </w:rPr>
        <w:t xml:space="preserve">rapporteur's summary in </w:t>
      </w:r>
      <w:r>
        <w:rPr>
          <w:shd w:val="clear" w:color="auto" w:fill="FFFFFF"/>
        </w:rPr>
        <w:t>R2-2102011</w:t>
      </w:r>
      <w:hyperlink r:id="rId12" w:tooltip="C:Data3GPParchiveRAN2RAN2#112TdocsR2-2010761.zip" w:history="1"/>
      <w:r>
        <w:rPr>
          <w:rStyle w:val="Doc-text2Char"/>
        </w:rPr>
        <w:t>):</w:t>
      </w:r>
      <w:r>
        <w:rPr>
          <w:color w:val="000000" w:themeColor="text1"/>
        </w:rPr>
        <w:t xml:space="preserve"> </w:t>
      </w:r>
      <w:r>
        <w:t xml:space="preserve">Tuesday </w:t>
      </w:r>
      <w:r>
        <w:rPr>
          <w:color w:val="000000" w:themeColor="text1"/>
        </w:rPr>
        <w:t>2021-01-26 16:00 UTC</w:t>
      </w:r>
      <w:r>
        <w:rPr>
          <w:u w:val="single"/>
        </w:rPr>
        <w:t xml:space="preserve"> CRs listed as "</w:t>
      </w:r>
      <w:r>
        <w:rPr>
          <w:u w:val="single"/>
        </w:rPr>
        <w:t xml:space="preserve">can be agreed as is" in </w:t>
      </w:r>
      <w:r>
        <w:rPr>
          <w:u w:val="single"/>
          <w:shd w:val="clear" w:color="auto" w:fill="FFFFFF"/>
        </w:rPr>
        <w:t>R2-2102011</w:t>
      </w:r>
      <w:r>
        <w:rPr>
          <w:u w:val="single"/>
        </w:rPr>
        <w:t xml:space="preserve"> and not challenged until Wednesday </w:t>
      </w:r>
      <w:r>
        <w:rPr>
          <w:color w:val="000000" w:themeColor="text1"/>
          <w:u w:val="single"/>
        </w:rPr>
        <w:t xml:space="preserve">2021-01-27 04:00 UTC </w:t>
      </w:r>
      <w:r>
        <w:rPr>
          <w:u w:val="single"/>
        </w:rPr>
        <w:t>will be declared as agreed by the session chair. For the other ones, the discussion will continue online.</w:t>
      </w:r>
    </w:p>
    <w:p w:rsidR="005900D0" w:rsidRDefault="005900D0">
      <w:pPr>
        <w:pStyle w:val="ab"/>
        <w:spacing w:before="0" w:beforeAutospacing="0" w:after="0" w:afterAutospacing="0" w:line="240" w:lineRule="auto"/>
        <w:ind w:left="1620"/>
      </w:pPr>
    </w:p>
    <w:p w:rsidR="005900D0" w:rsidRDefault="006D024D">
      <w:pPr>
        <w:pStyle w:val="2"/>
      </w:pPr>
      <w:r>
        <w:lastRenderedPageBreak/>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5900D0">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H"/>
              <w:spacing w:before="20" w:after="20"/>
              <w:ind w:left="57" w:right="57"/>
            </w:pPr>
            <w:r>
              <w:t>N</w:t>
            </w:r>
            <w:r>
              <w:t>ame</w:t>
            </w:r>
          </w:p>
        </w:tc>
        <w:tc>
          <w:tcPr>
            <w:tcW w:w="3879"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H"/>
              <w:spacing w:before="20" w:after="20"/>
              <w:ind w:left="57" w:right="57"/>
            </w:pPr>
            <w:r>
              <w:t>Email address</w:t>
            </w:r>
          </w:p>
        </w:tc>
      </w:tr>
      <w:tr w:rsidR="005900D0">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C"/>
              <w:spacing w:before="20" w:after="20"/>
              <w:ind w:left="57" w:right="57"/>
            </w:pPr>
            <w:r>
              <w:t>Gyorgy Wolfner</w:t>
            </w:r>
          </w:p>
        </w:tc>
        <w:tc>
          <w:tcPr>
            <w:tcW w:w="3879" w:type="dxa"/>
            <w:tcBorders>
              <w:top w:val="single" w:sz="4" w:space="0" w:color="auto"/>
              <w:left w:val="single" w:sz="4" w:space="0" w:color="auto"/>
              <w:bottom w:val="single" w:sz="4" w:space="0" w:color="auto"/>
              <w:right w:val="single" w:sz="4" w:space="0" w:color="auto"/>
            </w:tcBorders>
            <w:vAlign w:val="bottom"/>
          </w:tcPr>
          <w:p w:rsidR="005900D0" w:rsidRDefault="006D024D">
            <w:pPr>
              <w:pStyle w:val="TAC"/>
              <w:spacing w:before="20" w:after="20"/>
              <w:ind w:left="57" w:right="57"/>
            </w:pPr>
            <w:r>
              <w:t>gyorgy.wolfner@nokia.com</w:t>
            </w:r>
          </w:p>
        </w:tc>
      </w:tr>
      <w:tr w:rsidR="005900D0">
        <w:trPr>
          <w:trHeight w:val="240"/>
          <w:jc w:val="center"/>
        </w:trPr>
        <w:tc>
          <w:tcPr>
            <w:tcW w:w="2245" w:type="dxa"/>
            <w:tcBorders>
              <w:top w:val="single" w:sz="4" w:space="0" w:color="auto"/>
            </w:tcBorders>
            <w:vAlign w:val="bottom"/>
          </w:tcPr>
          <w:p w:rsidR="005900D0" w:rsidRDefault="006D024D">
            <w:pPr>
              <w:pStyle w:val="TAC"/>
              <w:spacing w:before="20" w:after="20"/>
              <w:ind w:left="57" w:right="57"/>
              <w:rPr>
                <w:lang w:val="en-US" w:eastAsia="zh-CN"/>
              </w:rPr>
            </w:pPr>
            <w:r>
              <w:rPr>
                <w:rFonts w:hint="eastAsia"/>
                <w:lang w:val="en-US" w:eastAsia="zh-CN"/>
              </w:rPr>
              <w:t>ZTE</w:t>
            </w:r>
          </w:p>
        </w:tc>
        <w:tc>
          <w:tcPr>
            <w:tcW w:w="3231" w:type="dxa"/>
            <w:tcBorders>
              <w:top w:val="single" w:sz="4" w:space="0" w:color="auto"/>
            </w:tcBorders>
            <w:vAlign w:val="bottom"/>
          </w:tcPr>
          <w:p w:rsidR="005900D0" w:rsidRDefault="006D024D">
            <w:pPr>
              <w:pStyle w:val="TAC"/>
              <w:spacing w:before="20" w:after="20"/>
              <w:ind w:left="57" w:right="57"/>
              <w:rPr>
                <w:lang w:val="en-US" w:eastAsia="zh-CN"/>
              </w:rPr>
            </w:pPr>
            <w:r>
              <w:rPr>
                <w:rFonts w:hint="eastAsia"/>
                <w:lang w:val="en-US" w:eastAsia="zh-CN"/>
              </w:rPr>
              <w:t>Wenting Li</w:t>
            </w:r>
          </w:p>
        </w:tc>
        <w:tc>
          <w:tcPr>
            <w:tcW w:w="3879" w:type="dxa"/>
            <w:tcBorders>
              <w:top w:val="single" w:sz="4" w:space="0" w:color="auto"/>
            </w:tcBorders>
            <w:vAlign w:val="bottom"/>
          </w:tcPr>
          <w:p w:rsidR="005900D0" w:rsidRDefault="006D024D">
            <w:pPr>
              <w:pStyle w:val="TAC"/>
              <w:spacing w:before="20" w:after="20"/>
              <w:ind w:left="57" w:right="57"/>
              <w:rPr>
                <w:lang w:val="en-US" w:eastAsia="zh-CN"/>
              </w:rPr>
            </w:pPr>
            <w:r>
              <w:rPr>
                <w:rFonts w:hint="eastAsia"/>
                <w:lang w:val="en-US" w:eastAsia="zh-CN"/>
              </w:rPr>
              <w:t>li.wenting@zte.com.cn</w:t>
            </w: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rPr>
                <w:lang w:eastAsia="zh-CN"/>
              </w:rPr>
            </w:pPr>
          </w:p>
        </w:tc>
        <w:tc>
          <w:tcPr>
            <w:tcW w:w="3231" w:type="dxa"/>
            <w:vAlign w:val="bottom"/>
          </w:tcPr>
          <w:p w:rsidR="005900D0" w:rsidRDefault="005900D0">
            <w:pPr>
              <w:pStyle w:val="TAC"/>
              <w:spacing w:before="20" w:after="20"/>
              <w:ind w:left="57" w:right="57"/>
              <w:rPr>
                <w:lang w:eastAsia="zh-CN"/>
              </w:rPr>
            </w:pPr>
          </w:p>
        </w:tc>
        <w:tc>
          <w:tcPr>
            <w:tcW w:w="3879" w:type="dxa"/>
            <w:vAlign w:val="bottom"/>
          </w:tcPr>
          <w:p w:rsidR="005900D0" w:rsidRDefault="005900D0">
            <w:pPr>
              <w:pStyle w:val="TAC"/>
              <w:spacing w:before="20" w:after="20"/>
              <w:ind w:left="57" w:right="57"/>
              <w:rPr>
                <w:lang w:eastAsia="zh-CN"/>
              </w:rPr>
            </w:pPr>
          </w:p>
        </w:tc>
      </w:tr>
      <w:tr w:rsidR="005900D0">
        <w:trPr>
          <w:trHeight w:val="240"/>
          <w:jc w:val="center"/>
        </w:trPr>
        <w:tc>
          <w:tcPr>
            <w:tcW w:w="2245" w:type="dxa"/>
            <w:vAlign w:val="bottom"/>
          </w:tcPr>
          <w:p w:rsidR="005900D0" w:rsidRDefault="005900D0">
            <w:pPr>
              <w:pStyle w:val="TAC"/>
              <w:spacing w:before="20" w:after="20"/>
              <w:ind w:left="57" w:right="57"/>
              <w:rPr>
                <w:lang w:val="en-US" w:eastAsia="zh-CN"/>
              </w:rPr>
            </w:pPr>
          </w:p>
        </w:tc>
        <w:tc>
          <w:tcPr>
            <w:tcW w:w="3231" w:type="dxa"/>
            <w:vAlign w:val="bottom"/>
          </w:tcPr>
          <w:p w:rsidR="005900D0" w:rsidRDefault="005900D0">
            <w:pPr>
              <w:pStyle w:val="TAC"/>
              <w:spacing w:before="20" w:after="20"/>
              <w:ind w:left="57" w:right="57"/>
              <w:rPr>
                <w:lang w:val="en-US" w:eastAsia="zh-CN"/>
              </w:rPr>
            </w:pPr>
          </w:p>
        </w:tc>
        <w:tc>
          <w:tcPr>
            <w:tcW w:w="3879" w:type="dxa"/>
            <w:vAlign w:val="bottom"/>
          </w:tcPr>
          <w:p w:rsidR="005900D0" w:rsidRDefault="005900D0">
            <w:pPr>
              <w:pStyle w:val="TAC"/>
              <w:spacing w:before="20" w:after="20"/>
              <w:ind w:left="57" w:right="57"/>
              <w:rPr>
                <w:lang w:val="en-US" w:eastAsia="zh-CN"/>
              </w:rPr>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rPr>
                <w:rFonts w:eastAsia="Malgun Gothic"/>
                <w:lang w:eastAsia="ko-KR"/>
              </w:rPr>
            </w:pPr>
          </w:p>
        </w:tc>
        <w:tc>
          <w:tcPr>
            <w:tcW w:w="3231" w:type="dxa"/>
            <w:vAlign w:val="bottom"/>
          </w:tcPr>
          <w:p w:rsidR="005900D0" w:rsidRDefault="005900D0">
            <w:pPr>
              <w:pStyle w:val="TAC"/>
              <w:spacing w:before="20" w:after="20"/>
              <w:ind w:left="57" w:right="57"/>
              <w:rPr>
                <w:rFonts w:eastAsia="Malgun Gothic"/>
                <w:lang w:eastAsia="ko-KR"/>
              </w:rPr>
            </w:pPr>
          </w:p>
        </w:tc>
        <w:tc>
          <w:tcPr>
            <w:tcW w:w="3879" w:type="dxa"/>
            <w:vAlign w:val="bottom"/>
          </w:tcPr>
          <w:p w:rsidR="005900D0" w:rsidRDefault="005900D0">
            <w:pPr>
              <w:pStyle w:val="TAC"/>
              <w:spacing w:before="20" w:after="20"/>
              <w:ind w:left="57" w:right="57"/>
              <w:rPr>
                <w:rFonts w:eastAsia="Malgun Gothic"/>
                <w:lang w:eastAsia="ko-KR"/>
              </w:rPr>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r w:rsidR="005900D0">
        <w:trPr>
          <w:trHeight w:val="240"/>
          <w:jc w:val="center"/>
        </w:trPr>
        <w:tc>
          <w:tcPr>
            <w:tcW w:w="2245" w:type="dxa"/>
            <w:vAlign w:val="bottom"/>
          </w:tcPr>
          <w:p w:rsidR="005900D0" w:rsidRDefault="005900D0">
            <w:pPr>
              <w:pStyle w:val="TAC"/>
              <w:spacing w:before="20" w:after="20"/>
              <w:ind w:left="57" w:right="57"/>
            </w:pPr>
          </w:p>
        </w:tc>
        <w:tc>
          <w:tcPr>
            <w:tcW w:w="3231" w:type="dxa"/>
            <w:vAlign w:val="bottom"/>
          </w:tcPr>
          <w:p w:rsidR="005900D0" w:rsidRDefault="005900D0">
            <w:pPr>
              <w:pStyle w:val="TAC"/>
              <w:spacing w:before="20" w:after="20"/>
              <w:ind w:left="57" w:right="57"/>
            </w:pPr>
          </w:p>
        </w:tc>
        <w:tc>
          <w:tcPr>
            <w:tcW w:w="3879" w:type="dxa"/>
            <w:vAlign w:val="bottom"/>
          </w:tcPr>
          <w:p w:rsidR="005900D0" w:rsidRDefault="005900D0">
            <w:pPr>
              <w:pStyle w:val="TAC"/>
              <w:spacing w:before="20" w:after="20"/>
              <w:ind w:left="57" w:right="57"/>
            </w:pPr>
          </w:p>
        </w:tc>
      </w:tr>
    </w:tbl>
    <w:p w:rsidR="005900D0" w:rsidRDefault="005900D0"/>
    <w:p w:rsidR="005900D0" w:rsidRDefault="005900D0">
      <w:pPr>
        <w:pStyle w:val="ab"/>
        <w:spacing w:before="0" w:beforeAutospacing="0" w:after="0" w:afterAutospacing="0" w:line="240" w:lineRule="auto"/>
        <w:ind w:left="1620"/>
      </w:pPr>
    </w:p>
    <w:p w:rsidR="005900D0" w:rsidRDefault="006D024D">
      <w:pPr>
        <w:pStyle w:val="1"/>
      </w:pPr>
      <w:r>
        <w:t>2</w:t>
      </w:r>
      <w:r>
        <w:tab/>
        <w:t>Discussion</w:t>
      </w:r>
    </w:p>
    <w:p w:rsidR="005900D0" w:rsidRDefault="006D024D">
      <w:pPr>
        <w:pStyle w:val="2"/>
      </w:pPr>
      <w:r>
        <w:t>2.1</w:t>
      </w:r>
      <w:r>
        <w:tab/>
        <w:t>UAC parameter selection</w:t>
      </w:r>
    </w:p>
    <w:p w:rsidR="005900D0" w:rsidRDefault="006D024D">
      <w:r>
        <w:t xml:space="preserve">The following papers were </w:t>
      </w:r>
      <w:r>
        <w:t>submitted on UAC parameter selection</w:t>
      </w:r>
    </w:p>
    <w:p w:rsidR="005900D0" w:rsidRDefault="006D024D">
      <w:hyperlink r:id="rId13" w:history="1">
        <w:r>
          <w:rPr>
            <w:rStyle w:val="af0"/>
          </w:rPr>
          <w:t>R2-2100485</w:t>
        </w:r>
      </w:hyperlink>
      <w:r>
        <w:tab/>
        <w:t>UAC parameter selection for NPN</w:t>
      </w:r>
      <w:r>
        <w:tab/>
        <w:t>Ericsson</w:t>
      </w:r>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rPr>
        <w:fldChar w:fldCharType="begin"/>
      </w:r>
      <w:r>
        <w:rPr>
          <w:b w:val="0"/>
          <w:bCs/>
        </w:rPr>
        <w:instrText xml:space="preserve"> TOC \f O \n \h \z \t "Observation" \c </w:instrText>
      </w:r>
      <w:r>
        <w:rPr>
          <w:b w:val="0"/>
          <w:bCs/>
        </w:rPr>
        <w:fldChar w:fldCharType="separate"/>
      </w:r>
      <w:hyperlink r:id="rId14" w:anchor="_Toc61550463" w:history="1">
        <w:r>
          <w:rPr>
            <w:rStyle w:val="af0"/>
          </w:rPr>
          <w:t>Observation 1</w:t>
        </w:r>
        <w:r>
          <w:rPr>
            <w:rStyle w:val="af0"/>
            <w:rFonts w:asciiTheme="minorHAnsi" w:eastAsiaTheme="minorEastAsia" w:hAnsiTheme="minorHAnsi" w:cstheme="minorBidi"/>
            <w:b w:val="0"/>
            <w:sz w:val="22"/>
            <w:szCs w:val="22"/>
            <w:lang w:val="en-US" w:eastAsia="en-US"/>
          </w:rPr>
          <w:tab/>
        </w:r>
        <w:r>
          <w:rPr>
            <w:rStyle w:val="af0"/>
          </w:rPr>
          <w:t>UAC parameter selection based on UE implementation leads to unpredictable behaviour and is therefo</w:t>
        </w:r>
        <w:r>
          <w:rPr>
            <w:rStyle w:val="af0"/>
          </w:rPr>
          <w:t>re not preferred.</w:t>
        </w:r>
      </w:hyperlink>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5" w:anchor="_Toc61550464" w:history="1">
        <w:r>
          <w:rPr>
            <w:rStyle w:val="af0"/>
          </w:rPr>
          <w:t>Observation 2</w:t>
        </w:r>
        <w:r>
          <w:rPr>
            <w:rStyle w:val="af0"/>
            <w:rFonts w:asciiTheme="minorHAnsi" w:eastAsiaTheme="minorEastAsia" w:hAnsiTheme="minorHAnsi" w:cstheme="minorBidi"/>
            <w:b w:val="0"/>
            <w:sz w:val="22"/>
            <w:szCs w:val="22"/>
            <w:lang w:val="en-US" w:eastAsia="en-US"/>
          </w:rPr>
          <w:tab/>
        </w:r>
        <w:r>
          <w:rPr>
            <w:rStyle w:val="af0"/>
          </w:rPr>
          <w:t>UE shall not perform UAC check more than once.</w:t>
        </w:r>
      </w:hyperlink>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rPr>
          <w:b w:val="0"/>
        </w:rPr>
      </w:pPr>
      <w:hyperlink r:id="rId16" w:anchor="_Toc61550465" w:history="1">
        <w:r>
          <w:rPr>
            <w:rStyle w:val="af0"/>
          </w:rPr>
          <w:t>Observation 3</w:t>
        </w:r>
        <w:r>
          <w:rPr>
            <w:rStyle w:val="af0"/>
            <w:rFonts w:asciiTheme="minorHAnsi" w:eastAsiaTheme="minorEastAsia" w:hAnsiTheme="minorHAnsi" w:cstheme="minorBidi"/>
            <w:b w:val="0"/>
            <w:sz w:val="22"/>
            <w:szCs w:val="22"/>
            <w:lang w:val="en-US" w:eastAsia="en-US"/>
          </w:rPr>
          <w:tab/>
        </w:r>
        <w:r>
          <w:rPr>
            <w:rStyle w:val="af0"/>
          </w:rPr>
          <w:t>A UE which is allowed to access a PLMN both as a PLMN-only UE (through a PLMN) or as an NPN-capable U</w:t>
        </w:r>
        <w:r>
          <w:rPr>
            <w:rStyle w:val="af0"/>
          </w:rPr>
          <w:t>E (NPN+CAG), could select UAC parameters that are most promising to get access.</w:t>
        </w:r>
      </w:hyperlink>
      <w:r>
        <w:rPr>
          <w:b w:val="0"/>
          <w:bCs/>
        </w:rPr>
        <w:fldChar w:fldCharType="end"/>
      </w:r>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lang w:val="en-US"/>
        </w:rPr>
        <w:fldChar w:fldCharType="begin"/>
      </w:r>
      <w:r>
        <w:rPr>
          <w:b w:val="0"/>
          <w:bCs/>
          <w:lang w:val="en-US"/>
        </w:rPr>
        <w:instrText xml:space="preserve"> TOC \n \h \z \t "Proposal" \c </w:instrText>
      </w:r>
      <w:r>
        <w:rPr>
          <w:b w:val="0"/>
          <w:bCs/>
          <w:lang w:val="en-US"/>
        </w:rPr>
        <w:fldChar w:fldCharType="separate"/>
      </w:r>
      <w:hyperlink r:id="rId17" w:anchor="_Toc61550467" w:history="1">
        <w:r>
          <w:rPr>
            <w:rStyle w:val="af0"/>
          </w:rPr>
          <w:t>Proposal 1</w:t>
        </w:r>
        <w:r>
          <w:rPr>
            <w:rStyle w:val="af0"/>
            <w:rFonts w:asciiTheme="minorHAnsi" w:eastAsiaTheme="minorEastAsia" w:hAnsiTheme="minorHAnsi" w:cstheme="minorBidi"/>
            <w:b w:val="0"/>
            <w:sz w:val="22"/>
            <w:szCs w:val="22"/>
            <w:lang w:val="en-US" w:eastAsia="en-US"/>
          </w:rPr>
          <w:tab/>
        </w:r>
        <w:r>
          <w:rPr>
            <w:rStyle w:val="af0"/>
          </w:rPr>
          <w:t>Selecting most promising UAC parameters for UE’s that can access both as an NPN or a PLMN (only) UE, should not impact procedures related to reception of SIB1.</w:t>
        </w:r>
      </w:hyperlink>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8" w:anchor="_Toc61550468" w:history="1">
        <w:r>
          <w:rPr>
            <w:rStyle w:val="af0"/>
          </w:rPr>
          <w:t>Proposal 2</w:t>
        </w:r>
        <w:r>
          <w:rPr>
            <w:rStyle w:val="af0"/>
            <w:rFonts w:asciiTheme="minorHAnsi" w:eastAsiaTheme="minorEastAsia" w:hAnsiTheme="minorHAnsi" w:cstheme="minorBidi"/>
            <w:b w:val="0"/>
            <w:sz w:val="22"/>
            <w:szCs w:val="22"/>
            <w:lang w:val="en-US" w:eastAsia="en-US"/>
          </w:rPr>
          <w:tab/>
        </w:r>
        <w:r>
          <w:rPr>
            <w:rStyle w:val="af0"/>
          </w:rPr>
          <w:t>For the situation that UAC parameters are different for a PLMN and PLMN+CAG entry in the network lists in SIB1, UE maintains the cellIdentity and TAC that</w:t>
        </w:r>
        <w:r>
          <w:rPr>
            <w:rStyle w:val="af0"/>
          </w:rPr>
          <w:t xml:space="preserve"> was communicated to upper layers in connection to reception of SIB1, irrespective of if access control is performed with UAC parameters that are associated to other cell Identity and TAC for the same PLMN.</w:t>
        </w:r>
      </w:hyperlink>
    </w:p>
    <w:p w:rsidR="005900D0" w:rsidRDefault="006D024D">
      <w:pPr>
        <w:pStyle w:val="aa"/>
        <w:pBdr>
          <w:top w:val="single" w:sz="4" w:space="1" w:color="auto"/>
          <w:left w:val="single" w:sz="4" w:space="4" w:color="auto"/>
          <w:bottom w:val="single" w:sz="4" w:space="1" w:color="auto"/>
          <w:right w:val="single" w:sz="4" w:space="4" w:color="auto"/>
        </w:pBdr>
        <w:tabs>
          <w:tab w:val="right" w:leader="dot" w:pos="9629"/>
        </w:tabs>
        <w:ind w:left="2269"/>
      </w:pPr>
      <w:hyperlink r:id="rId19" w:anchor="_Toc61550469" w:history="1">
        <w:r>
          <w:rPr>
            <w:rStyle w:val="af0"/>
          </w:rPr>
          <w:t>Proposal 3</w:t>
        </w:r>
        <w:r>
          <w:rPr>
            <w:rStyle w:val="af0"/>
            <w:rFonts w:asciiTheme="minorHAnsi" w:eastAsiaTheme="minorEastAsia" w:hAnsiTheme="minorHAnsi" w:cstheme="minorBidi"/>
            <w:b w:val="0"/>
            <w:sz w:val="22"/>
            <w:szCs w:val="22"/>
            <w:lang w:val="en-US" w:eastAsia="en-US"/>
          </w:rPr>
          <w:tab/>
        </w:r>
        <w:r>
          <w:rPr>
            <w:rStyle w:val="af0"/>
          </w:rPr>
          <w:t>Adopt the text proposal above.</w:t>
        </w:r>
      </w:hyperlink>
      <w:r>
        <w:rPr>
          <w:b w:val="0"/>
          <w:bCs/>
          <w:lang w:val="en-US"/>
        </w:rPr>
        <w:fldChar w:fldCharType="end"/>
      </w:r>
    </w:p>
    <w:p w:rsidR="005900D0" w:rsidRDefault="005900D0"/>
    <w:p w:rsidR="005900D0" w:rsidRDefault="006D024D">
      <w:hyperlink r:id="rId20" w:history="1">
        <w:r>
          <w:rPr>
            <w:rStyle w:val="af0"/>
          </w:rPr>
          <w:t>R2-2101557</w:t>
        </w:r>
      </w:hyperlink>
      <w:r>
        <w:tab/>
        <w:t>CR on the Parameters Selection</w:t>
      </w:r>
      <w:r>
        <w:tab/>
      </w:r>
      <w:r>
        <w:tab/>
        <w:t>ZTE Corporation, Sanechips</w:t>
      </w:r>
    </w:p>
    <w:p w:rsidR="005900D0" w:rsidRDefault="006D024D">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cs="Arial"/>
        </w:rPr>
      </w:pPr>
      <w:r>
        <w:rPr>
          <w:rFonts w:cs="Arial"/>
        </w:rPr>
        <w:t xml:space="preserve">Clarify that </w:t>
      </w:r>
      <w:r>
        <w:rPr>
          <w:rFonts w:eastAsia="宋体" w:cs="Arial"/>
          <w:lang w:val="en-US" w:eastAsia="zh-CN"/>
        </w:rPr>
        <w:t>when the UE is allowed to access both the legacy PLMN and the NPN (PLMN+CAG), and the UAC configuration on the PLMN and NPN are different, the UE shall be able to pick either the PL</w:t>
      </w:r>
      <w:r>
        <w:rPr>
          <w:rFonts w:eastAsia="宋体" w:cs="Arial"/>
          <w:lang w:val="en-US" w:eastAsia="zh-CN"/>
        </w:rPr>
        <w:t>MN or the NPN</w:t>
      </w:r>
      <w:r>
        <w:rPr>
          <w:rFonts w:cs="Arial"/>
        </w:rPr>
        <w:t>. And more specifically, do so when the UE is:</w:t>
      </w:r>
    </w:p>
    <w:p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SIB1,</w:t>
      </w:r>
    </w:p>
    <w:p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RRCSetup message,</w:t>
      </w:r>
    </w:p>
    <w:p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RRCResume message,</w:t>
      </w:r>
    </w:p>
    <w:p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UAC check</w:t>
      </w:r>
    </w:p>
    <w:p w:rsidR="005900D0" w:rsidRDefault="005900D0">
      <w:pPr>
        <w:pStyle w:val="CRCoverPage"/>
        <w:pBdr>
          <w:top w:val="single" w:sz="4" w:space="1" w:color="auto"/>
          <w:left w:val="single" w:sz="4" w:space="4" w:color="auto"/>
          <w:bottom w:val="single" w:sz="4" w:space="1" w:color="auto"/>
          <w:right w:val="single" w:sz="4" w:space="4" w:color="auto"/>
        </w:pBdr>
        <w:spacing w:after="0"/>
        <w:ind w:left="568"/>
        <w:rPr>
          <w:rFonts w:ascii="Times New Roman" w:hAnsi="Times New Roman"/>
        </w:rPr>
      </w:pPr>
    </w:p>
    <w:p w:rsidR="005900D0" w:rsidRDefault="006D024D">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eastAsia="宋体" w:cs="Arial"/>
          <w:lang w:val="en-US" w:eastAsia="zh-CN"/>
        </w:rPr>
      </w:pPr>
      <w:r>
        <w:rPr>
          <w:rFonts w:eastAsia="宋体" w:cs="Arial"/>
          <w:lang w:val="en-US" w:eastAsia="zh-CN"/>
        </w:rPr>
        <w:t>Some other editorial issues</w:t>
      </w:r>
    </w:p>
    <w:p w:rsidR="005900D0" w:rsidRDefault="005900D0"/>
    <w:p w:rsidR="005900D0" w:rsidRDefault="006D024D">
      <w:hyperlink r:id="rId21" w:history="1">
        <w:r>
          <w:rPr>
            <w:rStyle w:val="af0"/>
          </w:rPr>
          <w:t>R2-2101715</w:t>
        </w:r>
      </w:hyperlink>
      <w:r>
        <w:tab/>
        <w:t>UAC parameter selection in case of UE allowed both on PLMN and CAG</w:t>
      </w:r>
      <w:r>
        <w:tab/>
      </w:r>
      <w:r>
        <w:tab/>
        <w:t>Qualcomm Incorporated</w:t>
      </w:r>
    </w:p>
    <w:p w:rsidR="005900D0" w:rsidRDefault="006D024D">
      <w:pPr>
        <w:pStyle w:val="CRCoverPage"/>
        <w:pBdr>
          <w:top w:val="single" w:sz="4" w:space="1" w:color="auto"/>
          <w:left w:val="single" w:sz="4" w:space="4" w:color="auto"/>
          <w:bottom w:val="single" w:sz="4" w:space="1" w:color="auto"/>
          <w:right w:val="single" w:sz="4" w:space="4" w:color="auto"/>
        </w:pBdr>
        <w:spacing w:after="0"/>
        <w:ind w:left="568"/>
      </w:pPr>
      <w:r>
        <w:t>Clarify that the UE can choose to follow the UAC of the PLMN or the CAG, in ca</w:t>
      </w:r>
      <w:r>
        <w:t>se it is allowed to access both.</w:t>
      </w:r>
    </w:p>
    <w:p w:rsidR="005900D0" w:rsidRDefault="005900D0"/>
    <w:p w:rsidR="005900D0" w:rsidRDefault="006D024D">
      <w:r>
        <w:rPr>
          <w:b/>
          <w:bCs/>
        </w:rPr>
        <w:t>Rapporteur's Comment:</w:t>
      </w:r>
      <w:r>
        <w:t xml:space="preserve"> These papers are addressing the same issue that was left open at the previous meeting, therefore one of them should be selected.</w:t>
      </w:r>
    </w:p>
    <w:p w:rsidR="005900D0" w:rsidRDefault="006D024D">
      <w:pPr>
        <w:rPr>
          <w:b/>
          <w:bCs/>
        </w:rPr>
      </w:pPr>
      <w:r>
        <w:rPr>
          <w:b/>
          <w:bCs/>
        </w:rPr>
        <w:t>Q1: Which paper(s) should be used as a baseline for UAC parameter selec</w:t>
      </w:r>
      <w:r>
        <w:rPr>
          <w:b/>
          <w:bCs/>
        </w:rPr>
        <w:t>tion when a UE can select a cell both as a PLMN cell and as a CAG cell:</w:t>
      </w:r>
    </w:p>
    <w:p w:rsidR="005900D0" w:rsidRDefault="006D024D">
      <w:pPr>
        <w:pStyle w:val="af2"/>
        <w:numPr>
          <w:ilvl w:val="0"/>
          <w:numId w:val="5"/>
        </w:numPr>
        <w:rPr>
          <w:b/>
          <w:bCs/>
        </w:rPr>
      </w:pPr>
      <w:r>
        <w:rPr>
          <w:b/>
          <w:bCs/>
        </w:rPr>
        <w:t>R2-2100485</w:t>
      </w:r>
    </w:p>
    <w:p w:rsidR="005900D0" w:rsidRDefault="006D024D">
      <w:pPr>
        <w:pStyle w:val="af2"/>
        <w:numPr>
          <w:ilvl w:val="0"/>
          <w:numId w:val="5"/>
        </w:numPr>
        <w:rPr>
          <w:b/>
          <w:bCs/>
        </w:rPr>
      </w:pPr>
      <w:r>
        <w:rPr>
          <w:b/>
          <w:bCs/>
        </w:rPr>
        <w:t>R2-2101557</w:t>
      </w:r>
    </w:p>
    <w:p w:rsidR="005900D0" w:rsidRDefault="006D024D">
      <w:pPr>
        <w:pStyle w:val="af2"/>
        <w:numPr>
          <w:ilvl w:val="0"/>
          <w:numId w:val="5"/>
        </w:numPr>
        <w:rPr>
          <w:b/>
          <w:bCs/>
        </w:rPr>
      </w:pPr>
      <w:r>
        <w:rPr>
          <w:b/>
          <w:bCs/>
        </w:rPr>
        <w:t>R2-2101715</w:t>
      </w:r>
    </w:p>
    <w:p w:rsidR="005900D0" w:rsidRDefault="006D024D">
      <w:pPr>
        <w:rPr>
          <w:b/>
          <w:bCs/>
        </w:rPr>
      </w:pPr>
      <w:r>
        <w:rPr>
          <w:b/>
          <w:bCs/>
        </w:rPr>
        <w:t>In the comment field please indicate if you request some changes (including merging) in the preferred paper(s). More than one paper can be indicated in</w:t>
      </w:r>
      <w:r>
        <w:rPr>
          <w:b/>
          <w:bCs/>
        </w:rPr>
        <w:t xml:space="preserve"> the answer more than one paper are acceptable.</w:t>
      </w:r>
    </w:p>
    <w:tbl>
      <w:tblPr>
        <w:tblStyle w:val="ad"/>
        <w:tblW w:w="9805" w:type="dxa"/>
        <w:tblLayout w:type="fixed"/>
        <w:tblLook w:val="04A0" w:firstRow="1" w:lastRow="0" w:firstColumn="1" w:lastColumn="0" w:noHBand="0" w:noVBand="1"/>
      </w:tblPr>
      <w:tblGrid>
        <w:gridCol w:w="1345"/>
        <w:gridCol w:w="900"/>
        <w:gridCol w:w="7560"/>
      </w:tblGrid>
      <w:tr w:rsidR="005900D0">
        <w:tc>
          <w:tcPr>
            <w:tcW w:w="1345" w:type="dxa"/>
            <w:vAlign w:val="center"/>
          </w:tcPr>
          <w:p w:rsidR="005900D0" w:rsidRDefault="006D024D">
            <w:pPr>
              <w:spacing w:after="0"/>
              <w:rPr>
                <w:b/>
                <w:bCs/>
                <w:lang w:val="en-US"/>
              </w:rPr>
            </w:pPr>
            <w:r>
              <w:rPr>
                <w:b/>
                <w:bCs/>
                <w:lang w:val="en-US"/>
              </w:rPr>
              <w:t>Company</w:t>
            </w:r>
          </w:p>
        </w:tc>
        <w:tc>
          <w:tcPr>
            <w:tcW w:w="900" w:type="dxa"/>
          </w:tcPr>
          <w:p w:rsidR="005900D0" w:rsidRDefault="006D024D">
            <w:pPr>
              <w:spacing w:after="0"/>
              <w:rPr>
                <w:b/>
                <w:bCs/>
                <w:lang w:val="en-US"/>
              </w:rPr>
            </w:pPr>
            <w:r>
              <w:rPr>
                <w:b/>
                <w:bCs/>
                <w:lang w:val="en-US"/>
              </w:rPr>
              <w:t>Answer</w:t>
            </w:r>
          </w:p>
        </w:tc>
        <w:tc>
          <w:tcPr>
            <w:tcW w:w="7560" w:type="dxa"/>
            <w:vAlign w:val="center"/>
          </w:tcPr>
          <w:p w:rsidR="005900D0" w:rsidRDefault="006D024D">
            <w:pPr>
              <w:spacing w:after="0"/>
              <w:rPr>
                <w:b/>
                <w:bCs/>
                <w:lang w:val="en-US"/>
              </w:rPr>
            </w:pPr>
            <w:r>
              <w:rPr>
                <w:b/>
                <w:bCs/>
                <w:lang w:val="en-US"/>
              </w:rPr>
              <w:t>Comment (e.g. requested modifications for the preferred solutions)</w:t>
            </w:r>
          </w:p>
        </w:tc>
      </w:tr>
      <w:tr w:rsidR="005900D0">
        <w:tc>
          <w:tcPr>
            <w:tcW w:w="1345" w:type="dxa"/>
            <w:vAlign w:val="center"/>
          </w:tcPr>
          <w:p w:rsidR="005900D0" w:rsidRDefault="006D024D">
            <w:pPr>
              <w:spacing w:after="0"/>
              <w:rPr>
                <w:lang w:val="en-US" w:eastAsia="zh-CN"/>
              </w:rPr>
            </w:pPr>
            <w:r>
              <w:rPr>
                <w:rFonts w:hint="eastAsia"/>
                <w:lang w:val="en-US" w:eastAsia="zh-CN"/>
              </w:rPr>
              <w:t>ZTE</w:t>
            </w:r>
          </w:p>
        </w:tc>
        <w:tc>
          <w:tcPr>
            <w:tcW w:w="900" w:type="dxa"/>
          </w:tcPr>
          <w:p w:rsidR="005900D0" w:rsidRDefault="006D024D">
            <w:pPr>
              <w:spacing w:after="0"/>
              <w:rPr>
                <w:lang w:val="en-US" w:eastAsia="zh-CN"/>
              </w:rPr>
            </w:pPr>
            <w:r>
              <w:rPr>
                <w:rFonts w:hint="eastAsia"/>
                <w:lang w:val="en-US" w:eastAsia="zh-CN"/>
              </w:rPr>
              <w:t>B (proponent)</w:t>
            </w: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Malgun Gothic"/>
                <w:lang w:val="en-US" w:eastAsia="ko-KR"/>
              </w:rPr>
            </w:pPr>
          </w:p>
        </w:tc>
        <w:tc>
          <w:tcPr>
            <w:tcW w:w="900" w:type="dxa"/>
          </w:tcPr>
          <w:p w:rsidR="005900D0" w:rsidRDefault="005900D0">
            <w:pPr>
              <w:spacing w:after="0"/>
              <w:rPr>
                <w:rFonts w:eastAsia="Malgun Gothic"/>
                <w:lang w:val="en-US" w:eastAsia="ko-KR"/>
              </w:rPr>
            </w:pPr>
          </w:p>
        </w:tc>
        <w:tc>
          <w:tcPr>
            <w:tcW w:w="7560" w:type="dxa"/>
            <w:vAlign w:val="center"/>
          </w:tcPr>
          <w:p w:rsidR="005900D0" w:rsidRDefault="005900D0">
            <w:pPr>
              <w:spacing w:after="0"/>
              <w:rPr>
                <w:rFonts w:eastAsia="Malgun Gothic"/>
                <w:lang w:val="en-US" w:eastAsia="ko-KR"/>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PMingLiU"/>
                <w:lang w:val="en-US" w:eastAsia="zh-TW"/>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rFonts w:eastAsia="PMingLiU"/>
                <w:lang w:val="en-US" w:eastAsia="zh-TW"/>
              </w:rPr>
            </w:pPr>
          </w:p>
        </w:tc>
      </w:tr>
    </w:tbl>
    <w:p w:rsidR="005900D0" w:rsidRDefault="005900D0">
      <w:pPr>
        <w:rPr>
          <w:lang w:val="en-US"/>
        </w:rPr>
      </w:pPr>
    </w:p>
    <w:p w:rsidR="005900D0" w:rsidRDefault="006D024D">
      <w:pPr>
        <w:rPr>
          <w:lang w:val="en-US"/>
        </w:rPr>
      </w:pPr>
      <w:r>
        <w:rPr>
          <w:b/>
          <w:bCs/>
          <w:lang w:val="en-US"/>
        </w:rPr>
        <w:t xml:space="preserve">Summary: </w:t>
      </w:r>
      <w:r>
        <w:rPr>
          <w:lang w:val="en-US"/>
        </w:rPr>
        <w:t xml:space="preserve"> </w:t>
      </w:r>
    </w:p>
    <w:p w:rsidR="005900D0" w:rsidRDefault="006D024D">
      <w:pPr>
        <w:rPr>
          <w:lang w:val="en-US"/>
        </w:rPr>
      </w:pPr>
      <w:r>
        <w:rPr>
          <w:b/>
          <w:bCs/>
          <w:lang w:val="en-US"/>
        </w:rPr>
        <w:t>Rapporteur's Proposal:</w:t>
      </w:r>
      <w:r>
        <w:rPr>
          <w:lang w:val="en-US"/>
        </w:rPr>
        <w:t xml:space="preserve"> </w:t>
      </w:r>
    </w:p>
    <w:p w:rsidR="005900D0" w:rsidRDefault="005900D0"/>
    <w:p w:rsidR="005900D0" w:rsidRDefault="006D024D">
      <w:pPr>
        <w:pStyle w:val="2"/>
      </w:pPr>
      <w:r>
        <w:t>2.2</w:t>
      </w:r>
      <w:r>
        <w:tab/>
        <w:t>SIB validity check</w:t>
      </w:r>
    </w:p>
    <w:p w:rsidR="005900D0" w:rsidRDefault="006D024D">
      <w:r>
        <w:t xml:space="preserve">The </w:t>
      </w:r>
      <w:r>
        <w:t>following CR was submitted on SIB validity check:</w:t>
      </w:r>
    </w:p>
    <w:p w:rsidR="005900D0" w:rsidRDefault="006D024D">
      <w:hyperlink r:id="rId22" w:history="1">
        <w:r>
          <w:rPr>
            <w:rStyle w:val="af0"/>
          </w:rPr>
          <w:t>R2-2101654</w:t>
        </w:r>
      </w:hyperlink>
      <w:r>
        <w:tab/>
        <w:t>Correction on SIB validity check</w:t>
      </w:r>
      <w:r>
        <w:tab/>
        <w:t>Google Inc</w:t>
      </w:r>
    </w:p>
    <w:p w:rsidR="005900D0" w:rsidRDefault="006D024D">
      <w:pPr>
        <w:pStyle w:val="CRCoverPage"/>
        <w:pBdr>
          <w:top w:val="single" w:sz="4" w:space="1" w:color="auto"/>
          <w:left w:val="single" w:sz="4" w:space="4" w:color="auto"/>
          <w:bottom w:val="single" w:sz="4" w:space="1" w:color="auto"/>
          <w:right w:val="single" w:sz="4" w:space="4" w:color="auto"/>
        </w:pBdr>
        <w:spacing w:after="0"/>
        <w:ind w:left="568"/>
      </w:pPr>
      <w:r>
        <w:lastRenderedPageBreak/>
        <w:t>When camps on an PNI-NPN cell, the NPN capable UE also use the</w:t>
      </w:r>
      <w:r>
        <w:t xml:space="preserve"> npn-Identity to do the SIB validity checking.</w:t>
      </w:r>
    </w:p>
    <w:p w:rsidR="005900D0" w:rsidRDefault="005900D0"/>
    <w:p w:rsidR="005900D0" w:rsidRDefault="006D024D">
      <w:pPr>
        <w:rPr>
          <w:b/>
          <w:bCs/>
        </w:rPr>
      </w:pPr>
      <w:r>
        <w:rPr>
          <w:b/>
          <w:bCs/>
        </w:rPr>
        <w:t>Q2: Do you agree that the changes in R2-2101654 are needed? In the comment field please indicate if you request some changes in the CR.</w:t>
      </w:r>
    </w:p>
    <w:tbl>
      <w:tblPr>
        <w:tblStyle w:val="ad"/>
        <w:tblW w:w="9805" w:type="dxa"/>
        <w:tblLayout w:type="fixed"/>
        <w:tblLook w:val="04A0" w:firstRow="1" w:lastRow="0" w:firstColumn="1" w:lastColumn="0" w:noHBand="0" w:noVBand="1"/>
      </w:tblPr>
      <w:tblGrid>
        <w:gridCol w:w="1345"/>
        <w:gridCol w:w="900"/>
        <w:gridCol w:w="7560"/>
      </w:tblGrid>
      <w:tr w:rsidR="005900D0">
        <w:tc>
          <w:tcPr>
            <w:tcW w:w="1345" w:type="dxa"/>
            <w:vAlign w:val="center"/>
          </w:tcPr>
          <w:p w:rsidR="005900D0" w:rsidRDefault="006D024D">
            <w:pPr>
              <w:spacing w:after="0"/>
              <w:rPr>
                <w:b/>
                <w:bCs/>
                <w:lang w:val="en-US"/>
              </w:rPr>
            </w:pPr>
            <w:r>
              <w:rPr>
                <w:b/>
                <w:bCs/>
                <w:lang w:val="en-US"/>
              </w:rPr>
              <w:t>Company</w:t>
            </w:r>
          </w:p>
        </w:tc>
        <w:tc>
          <w:tcPr>
            <w:tcW w:w="900" w:type="dxa"/>
          </w:tcPr>
          <w:p w:rsidR="005900D0" w:rsidRDefault="006D024D">
            <w:pPr>
              <w:spacing w:after="0"/>
              <w:rPr>
                <w:b/>
                <w:bCs/>
                <w:lang w:val="en-US"/>
              </w:rPr>
            </w:pPr>
            <w:r>
              <w:rPr>
                <w:b/>
                <w:bCs/>
                <w:lang w:val="en-US"/>
              </w:rPr>
              <w:t>Answer</w:t>
            </w:r>
          </w:p>
        </w:tc>
        <w:tc>
          <w:tcPr>
            <w:tcW w:w="7560" w:type="dxa"/>
            <w:vAlign w:val="center"/>
          </w:tcPr>
          <w:p w:rsidR="005900D0" w:rsidRDefault="006D024D">
            <w:pPr>
              <w:spacing w:after="0"/>
              <w:rPr>
                <w:b/>
                <w:bCs/>
                <w:lang w:val="en-US"/>
              </w:rPr>
            </w:pPr>
            <w:r>
              <w:rPr>
                <w:b/>
                <w:bCs/>
                <w:lang w:val="en-US"/>
              </w:rPr>
              <w:t>Comment (e.g. requested modifications in the CR)</w:t>
            </w:r>
          </w:p>
        </w:tc>
      </w:tr>
      <w:tr w:rsidR="005900D0">
        <w:tc>
          <w:tcPr>
            <w:tcW w:w="1345" w:type="dxa"/>
            <w:vAlign w:val="center"/>
          </w:tcPr>
          <w:p w:rsidR="005900D0" w:rsidRDefault="006D024D">
            <w:pPr>
              <w:spacing w:after="0"/>
              <w:rPr>
                <w:lang w:val="en-US" w:eastAsia="zh-CN"/>
              </w:rPr>
            </w:pPr>
            <w:r>
              <w:rPr>
                <w:rFonts w:hint="eastAsia"/>
                <w:lang w:val="en-US" w:eastAsia="zh-CN"/>
              </w:rPr>
              <w:t>ZTE</w:t>
            </w:r>
          </w:p>
        </w:tc>
        <w:tc>
          <w:tcPr>
            <w:tcW w:w="900" w:type="dxa"/>
          </w:tcPr>
          <w:p w:rsidR="005900D0" w:rsidRDefault="006D024D">
            <w:pPr>
              <w:spacing w:after="0"/>
              <w:rPr>
                <w:lang w:val="en-US" w:eastAsia="zh-CN"/>
              </w:rPr>
            </w:pPr>
            <w:r>
              <w:rPr>
                <w:rFonts w:hint="eastAsia"/>
                <w:lang w:val="en-US" w:eastAsia="zh-CN"/>
              </w:rPr>
              <w:t>No</w:t>
            </w:r>
          </w:p>
        </w:tc>
        <w:tc>
          <w:tcPr>
            <w:tcW w:w="7560" w:type="dxa"/>
            <w:vAlign w:val="center"/>
          </w:tcPr>
          <w:p w:rsidR="005900D0" w:rsidRDefault="006D024D">
            <w:pPr>
              <w:spacing w:after="0"/>
              <w:rPr>
                <w:lang w:val="en-US" w:eastAsia="zh-CN"/>
              </w:rPr>
            </w:pPr>
            <w:r>
              <w:rPr>
                <w:rFonts w:hint="eastAsia"/>
                <w:lang w:val="en-US" w:eastAsia="zh-CN"/>
              </w:rPr>
              <w:t>We understand the intention of this CR. For the case that the UE moves from a NPN-only cell to a PNI-NPN (share with a PLMN) cell, even the two cells share the same System Information, the UE still need to reacquire OSI. However, if adopted this CR, for th</w:t>
            </w:r>
            <w:r>
              <w:rPr>
                <w:rFonts w:hint="eastAsia"/>
                <w:lang w:val="en-US" w:eastAsia="zh-CN"/>
              </w:rPr>
              <w:t>e case that the UE</w:t>
            </w:r>
            <w:r w:rsidR="0062262A">
              <w:rPr>
                <w:rFonts w:hint="eastAsia"/>
                <w:lang w:val="en-US" w:eastAsia="zh-CN"/>
              </w:rPr>
              <w:t xml:space="preserve"> </w:t>
            </w:r>
            <w:r>
              <w:rPr>
                <w:rFonts w:hint="eastAsia"/>
                <w:lang w:val="en-US" w:eastAsia="zh-CN"/>
              </w:rPr>
              <w:t>( which can access both PLMN and NPN) moves from a PLMN cell to a  PNI-NPN (share with a PLMN) cell, the UE also still need to reacquire OSI even the two cells share the same System Information.</w:t>
            </w:r>
          </w:p>
          <w:p w:rsidR="005900D0" w:rsidRDefault="006D024D">
            <w:pPr>
              <w:spacing w:after="0"/>
              <w:rPr>
                <w:lang w:val="en-US" w:eastAsia="zh-CN"/>
              </w:rPr>
            </w:pPr>
            <w:r>
              <w:rPr>
                <w:rFonts w:hint="eastAsia"/>
                <w:lang w:val="en-US" w:eastAsia="zh-CN"/>
              </w:rPr>
              <w:t>Thus, we tend to respect the previous agree</w:t>
            </w:r>
            <w:r>
              <w:rPr>
                <w:rFonts w:hint="eastAsia"/>
                <w:lang w:val="en-US" w:eastAsia="zh-CN"/>
              </w:rPr>
              <w:t>ments, that the first NPN ID is used for the SIB validity change for the NPN-only cell.</w:t>
            </w:r>
          </w:p>
          <w:p w:rsidR="005900D0" w:rsidRDefault="006D024D">
            <w:pPr>
              <w:spacing w:after="0"/>
              <w:rPr>
                <w:lang w:val="en-US" w:eastAsia="zh-CN"/>
              </w:rPr>
            </w:pPr>
            <w:hyperlink r:id="rId23" w:tooltip="C:Data3GPPRAN2InboxR2-2001698.zip" w:history="1">
              <w:r>
                <w:rPr>
                  <w:rStyle w:val="af0"/>
                  <w:rFonts w:eastAsia="MS Mincho"/>
                  <w:kern w:val="2"/>
                  <w:sz w:val="21"/>
                  <w:szCs w:val="21"/>
                  <w:lang w:val="en-US" w:eastAsia="zh-CN" w:bidi="ar"/>
                </w:rPr>
                <w:t>R2-2001698</w:t>
              </w:r>
            </w:hyperlink>
            <w:r>
              <w:rPr>
                <w:rFonts w:ascii="Arial" w:eastAsia="MS Mincho" w:hAnsi="Arial"/>
                <w:szCs w:val="24"/>
                <w:lang w:val="en-US" w:eastAsia="zh-CN" w:bidi="ar"/>
              </w:rPr>
              <w:tab/>
            </w:r>
          </w:p>
          <w:p w:rsidR="005900D0" w:rsidRDefault="006D024D">
            <w:pPr>
              <w:spacing w:after="0"/>
              <w:rPr>
                <w:lang w:val="en-US" w:eastAsia="zh-CN"/>
              </w:rPr>
            </w:pPr>
            <w:r>
              <w:rPr>
                <w:rFonts w:hint="eastAsia"/>
                <w:lang w:val="en-US" w:eastAsia="zh-CN"/>
              </w:rPr>
              <w:t xml:space="preserve">1.1For NPN-only cells, the first NPN ID (PLMN ID and NID </w:t>
            </w:r>
            <w:r>
              <w:rPr>
                <w:rFonts w:hint="eastAsia"/>
                <w:lang w:val="en-US" w:eastAsia="zh-CN"/>
              </w:rPr>
              <w:t>or PLMN ID and CAG ID) is used for the SIB validity check by NPN capable UEs</w:t>
            </w:r>
          </w:p>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Malgun Gothic"/>
                <w:lang w:val="en-US" w:eastAsia="ko-KR"/>
              </w:rPr>
            </w:pPr>
          </w:p>
        </w:tc>
        <w:tc>
          <w:tcPr>
            <w:tcW w:w="900" w:type="dxa"/>
          </w:tcPr>
          <w:p w:rsidR="005900D0" w:rsidRDefault="005900D0">
            <w:pPr>
              <w:spacing w:after="0"/>
              <w:rPr>
                <w:rFonts w:eastAsia="Malgun Gothic"/>
                <w:lang w:val="en-US" w:eastAsia="ko-KR"/>
              </w:rPr>
            </w:pPr>
          </w:p>
        </w:tc>
        <w:tc>
          <w:tcPr>
            <w:tcW w:w="7560" w:type="dxa"/>
            <w:vAlign w:val="center"/>
          </w:tcPr>
          <w:p w:rsidR="005900D0" w:rsidRDefault="005900D0">
            <w:pPr>
              <w:spacing w:after="0"/>
              <w:rPr>
                <w:rFonts w:eastAsia="Malgun Gothic"/>
                <w:lang w:val="en-US" w:eastAsia="ko-KR"/>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PMingLiU"/>
                <w:lang w:val="en-US" w:eastAsia="zh-TW"/>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rFonts w:eastAsia="PMingLiU"/>
                <w:lang w:val="en-US" w:eastAsia="zh-TW"/>
              </w:rPr>
            </w:pPr>
          </w:p>
        </w:tc>
      </w:tr>
    </w:tbl>
    <w:p w:rsidR="005900D0" w:rsidRDefault="005900D0">
      <w:pPr>
        <w:rPr>
          <w:lang w:val="en-US"/>
        </w:rPr>
      </w:pPr>
    </w:p>
    <w:p w:rsidR="005900D0" w:rsidRDefault="006D024D">
      <w:pPr>
        <w:rPr>
          <w:lang w:val="en-US"/>
        </w:rPr>
      </w:pPr>
      <w:r>
        <w:rPr>
          <w:b/>
          <w:bCs/>
          <w:lang w:val="en-US"/>
        </w:rPr>
        <w:t xml:space="preserve">Summary: </w:t>
      </w:r>
      <w:r>
        <w:rPr>
          <w:lang w:val="en-US"/>
        </w:rPr>
        <w:t xml:space="preserve"> </w:t>
      </w:r>
    </w:p>
    <w:p w:rsidR="005900D0" w:rsidRDefault="006D024D">
      <w:pPr>
        <w:rPr>
          <w:lang w:val="en-US"/>
        </w:rPr>
      </w:pPr>
      <w:r>
        <w:rPr>
          <w:b/>
          <w:bCs/>
          <w:lang w:val="en-US"/>
        </w:rPr>
        <w:t>Rapporteur's Proposal:</w:t>
      </w:r>
      <w:r>
        <w:rPr>
          <w:lang w:val="en-US"/>
        </w:rPr>
        <w:t xml:space="preserve"> </w:t>
      </w:r>
    </w:p>
    <w:p w:rsidR="005900D0" w:rsidRDefault="005900D0"/>
    <w:p w:rsidR="005900D0" w:rsidRDefault="005900D0"/>
    <w:p w:rsidR="005900D0" w:rsidRDefault="006D024D">
      <w:pPr>
        <w:pStyle w:val="2"/>
      </w:pPr>
      <w:r>
        <w:t>2.3</w:t>
      </w:r>
      <w:r>
        <w:tab/>
        <w:t>Intra-frequency reselection</w:t>
      </w:r>
    </w:p>
    <w:p w:rsidR="005900D0" w:rsidRDefault="006D024D">
      <w:r>
        <w:t>The following paper was submitted on SIB validity check Intra-frequency</w:t>
      </w:r>
      <w:r>
        <w:t xml:space="preserve"> reselection:</w:t>
      </w:r>
    </w:p>
    <w:bookmarkStart w:id="0" w:name="_Hlk62396997"/>
    <w:p w:rsidR="005900D0" w:rsidRDefault="006D024D">
      <w:r>
        <w:fldChar w:fldCharType="begin"/>
      </w:r>
      <w:r>
        <w:instrText xml:space="preserve"> HYPERLINK "https://www.3gpp.org/ftp/tsg_ran/WG2_RL2/TSGR2_113-e/Docs/R2-2101704.zip" </w:instrText>
      </w:r>
      <w:r>
        <w:fldChar w:fldCharType="separate"/>
      </w:r>
      <w:r>
        <w:rPr>
          <w:rStyle w:val="af0"/>
        </w:rPr>
        <w:t>R2-2101704</w:t>
      </w:r>
      <w:r>
        <w:fldChar w:fldCharType="end"/>
      </w:r>
      <w:bookmarkEnd w:id="0"/>
      <w:r>
        <w:tab/>
        <w:t>Discussion on intra-frequency reselection</w:t>
      </w:r>
      <w:r>
        <w:tab/>
        <w:t>Huawei, HiSilicon</w:t>
      </w:r>
    </w:p>
    <w:p w:rsidR="005900D0" w:rsidRDefault="006D024D">
      <w:pPr>
        <w:pBdr>
          <w:top w:val="single" w:sz="4" w:space="1" w:color="auto"/>
          <w:left w:val="single" w:sz="4" w:space="4" w:color="auto"/>
          <w:bottom w:val="single" w:sz="4" w:space="1" w:color="auto"/>
          <w:right w:val="single" w:sz="4" w:space="4" w:color="auto"/>
        </w:pBdr>
        <w:spacing w:beforeLines="100" w:before="240"/>
        <w:ind w:left="568"/>
        <w:rPr>
          <w:b/>
          <w:lang w:eastAsia="zh-CN"/>
        </w:rPr>
      </w:pPr>
      <w:r>
        <w:rPr>
          <w:b/>
          <w:lang w:eastAsia="zh-CN"/>
        </w:rPr>
        <w:t>Proposal 1: Clarify that</w:t>
      </w:r>
      <w:r>
        <w:t xml:space="preserve"> </w:t>
      </w:r>
      <w:r>
        <w:rPr>
          <w:b/>
          <w:lang w:eastAsia="zh-CN"/>
        </w:rPr>
        <w:t xml:space="preserve">when a cell operates in unlicensed spectrum, UE needs to </w:t>
      </w:r>
      <w:r>
        <w:rPr>
          <w:b/>
          <w:lang w:eastAsia="zh-CN"/>
        </w:rPr>
        <w:t>check the registered/selected PLMN, or the registered/selected SNPN when determining whether intra-frequency reselection is allowed.</w:t>
      </w:r>
    </w:p>
    <w:p w:rsidR="005900D0" w:rsidRDefault="005900D0"/>
    <w:p w:rsidR="005900D0" w:rsidRDefault="006D024D">
      <w:pPr>
        <w:rPr>
          <w:b/>
          <w:bCs/>
        </w:rPr>
      </w:pPr>
      <w:r>
        <w:rPr>
          <w:b/>
          <w:bCs/>
        </w:rPr>
        <w:t xml:space="preserve">Q3: Do you agree with the proposal of R2-2101704? In the comment field please indicate if you request some changes in the </w:t>
      </w:r>
      <w:r>
        <w:rPr>
          <w:b/>
          <w:bCs/>
        </w:rPr>
        <w:t>draft CRs provided in the Annex.</w:t>
      </w:r>
    </w:p>
    <w:tbl>
      <w:tblPr>
        <w:tblStyle w:val="ad"/>
        <w:tblW w:w="9805" w:type="dxa"/>
        <w:tblLayout w:type="fixed"/>
        <w:tblLook w:val="04A0" w:firstRow="1" w:lastRow="0" w:firstColumn="1" w:lastColumn="0" w:noHBand="0" w:noVBand="1"/>
      </w:tblPr>
      <w:tblGrid>
        <w:gridCol w:w="1345"/>
        <w:gridCol w:w="900"/>
        <w:gridCol w:w="7560"/>
      </w:tblGrid>
      <w:tr w:rsidR="005900D0">
        <w:tc>
          <w:tcPr>
            <w:tcW w:w="1345" w:type="dxa"/>
            <w:vAlign w:val="center"/>
          </w:tcPr>
          <w:p w:rsidR="005900D0" w:rsidRDefault="006D024D">
            <w:pPr>
              <w:spacing w:after="0"/>
              <w:rPr>
                <w:b/>
                <w:bCs/>
                <w:lang w:val="en-US"/>
              </w:rPr>
            </w:pPr>
            <w:r>
              <w:rPr>
                <w:b/>
                <w:bCs/>
                <w:lang w:val="en-US"/>
              </w:rPr>
              <w:t>Company</w:t>
            </w:r>
          </w:p>
        </w:tc>
        <w:tc>
          <w:tcPr>
            <w:tcW w:w="900" w:type="dxa"/>
          </w:tcPr>
          <w:p w:rsidR="005900D0" w:rsidRDefault="006D024D">
            <w:pPr>
              <w:spacing w:after="0"/>
              <w:rPr>
                <w:b/>
                <w:bCs/>
                <w:lang w:val="en-US"/>
              </w:rPr>
            </w:pPr>
            <w:r>
              <w:rPr>
                <w:b/>
                <w:bCs/>
                <w:lang w:val="en-US"/>
              </w:rPr>
              <w:t>Answer</w:t>
            </w:r>
          </w:p>
        </w:tc>
        <w:tc>
          <w:tcPr>
            <w:tcW w:w="7560" w:type="dxa"/>
            <w:vAlign w:val="center"/>
          </w:tcPr>
          <w:p w:rsidR="005900D0" w:rsidRDefault="006D024D">
            <w:pPr>
              <w:spacing w:after="0"/>
              <w:rPr>
                <w:b/>
                <w:bCs/>
                <w:lang w:val="en-US"/>
              </w:rPr>
            </w:pPr>
            <w:r>
              <w:rPr>
                <w:b/>
                <w:bCs/>
                <w:lang w:val="en-US"/>
              </w:rPr>
              <w:t>Comment (e.g. requested modifications in the CRs)</w:t>
            </w:r>
          </w:p>
        </w:tc>
      </w:tr>
      <w:tr w:rsidR="005900D0">
        <w:tc>
          <w:tcPr>
            <w:tcW w:w="1345" w:type="dxa"/>
            <w:vAlign w:val="center"/>
          </w:tcPr>
          <w:p w:rsidR="005900D0" w:rsidRDefault="006D024D">
            <w:pPr>
              <w:spacing w:after="0"/>
              <w:rPr>
                <w:lang w:val="en-US" w:eastAsia="zh-CN"/>
              </w:rPr>
            </w:pPr>
            <w:r>
              <w:rPr>
                <w:rFonts w:hint="eastAsia"/>
                <w:lang w:val="en-US" w:eastAsia="zh-CN"/>
              </w:rPr>
              <w:t>ZTE</w:t>
            </w:r>
          </w:p>
        </w:tc>
        <w:tc>
          <w:tcPr>
            <w:tcW w:w="900" w:type="dxa"/>
          </w:tcPr>
          <w:p w:rsidR="005900D0" w:rsidRDefault="006D024D">
            <w:pPr>
              <w:spacing w:after="0"/>
              <w:rPr>
                <w:lang w:val="en-US" w:eastAsia="zh-CN"/>
              </w:rPr>
            </w:pPr>
            <w:r>
              <w:rPr>
                <w:rFonts w:hint="eastAsia"/>
                <w:lang w:val="en-US" w:eastAsia="zh-CN"/>
              </w:rPr>
              <w:t>FFS</w:t>
            </w:r>
          </w:p>
        </w:tc>
        <w:tc>
          <w:tcPr>
            <w:tcW w:w="7560" w:type="dxa"/>
            <w:vAlign w:val="center"/>
          </w:tcPr>
          <w:p w:rsidR="005900D0" w:rsidRDefault="006D024D">
            <w:pPr>
              <w:spacing w:after="0"/>
              <w:rPr>
                <w:lang w:val="en-US" w:eastAsia="zh-CN"/>
              </w:rPr>
            </w:pPr>
            <w:r>
              <w:rPr>
                <w:rFonts w:hint="eastAsia"/>
                <w:lang w:val="en-US" w:eastAsia="zh-CN"/>
              </w:rPr>
              <w:t xml:space="preserve">We understand the intention of this CR, maybe </w:t>
            </w:r>
            <w:r w:rsidR="0062262A">
              <w:rPr>
                <w:rFonts w:hint="eastAsia"/>
                <w:lang w:val="en-US" w:eastAsia="zh-CN"/>
              </w:rPr>
              <w:t xml:space="preserve">selected SNPN is more accurate </w:t>
            </w:r>
            <w:r>
              <w:rPr>
                <w:rFonts w:hint="eastAsia"/>
                <w:lang w:val="en-US" w:eastAsia="zh-CN"/>
              </w:rPr>
              <w:t xml:space="preserve">for that the selected SNPN can be the registered SNPN or the initial </w:t>
            </w:r>
            <w:r>
              <w:rPr>
                <w:rFonts w:hint="eastAsia"/>
                <w:lang w:val="en-US" w:eastAsia="zh-CN"/>
              </w:rPr>
              <w:t>SNPN that UE has selected but not finish the initial registration. But we also think that even without this modification, no confusion caused. Thus for this issue, we can follow the majorities</w:t>
            </w:r>
            <w:r>
              <w:rPr>
                <w:lang w:val="en-US" w:eastAsia="zh-CN"/>
              </w:rPr>
              <w:t>’</w:t>
            </w:r>
            <w:r>
              <w:rPr>
                <w:rFonts w:hint="eastAsia"/>
                <w:lang w:val="en-US" w:eastAsia="zh-CN"/>
              </w:rPr>
              <w:t xml:space="preserve"> views</w:t>
            </w: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Malgun Gothic"/>
                <w:lang w:val="en-US" w:eastAsia="ko-KR"/>
              </w:rPr>
            </w:pPr>
          </w:p>
        </w:tc>
        <w:tc>
          <w:tcPr>
            <w:tcW w:w="900" w:type="dxa"/>
          </w:tcPr>
          <w:p w:rsidR="005900D0" w:rsidRDefault="005900D0">
            <w:pPr>
              <w:spacing w:after="0"/>
              <w:rPr>
                <w:rFonts w:eastAsia="Malgun Gothic"/>
                <w:lang w:val="en-US" w:eastAsia="ko-KR"/>
              </w:rPr>
            </w:pPr>
          </w:p>
        </w:tc>
        <w:tc>
          <w:tcPr>
            <w:tcW w:w="7560" w:type="dxa"/>
            <w:vAlign w:val="center"/>
          </w:tcPr>
          <w:p w:rsidR="005900D0" w:rsidRDefault="005900D0">
            <w:pPr>
              <w:spacing w:after="0"/>
              <w:rPr>
                <w:rFonts w:eastAsia="Malgun Gothic"/>
                <w:lang w:val="en-US" w:eastAsia="ko-KR"/>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PMingLiU"/>
                <w:lang w:val="en-US" w:eastAsia="zh-TW"/>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rFonts w:eastAsia="PMingLiU"/>
                <w:lang w:val="en-US" w:eastAsia="zh-TW"/>
              </w:rPr>
            </w:pPr>
          </w:p>
        </w:tc>
      </w:tr>
    </w:tbl>
    <w:p w:rsidR="005900D0" w:rsidRDefault="005900D0">
      <w:pPr>
        <w:rPr>
          <w:lang w:val="en-US"/>
        </w:rPr>
      </w:pPr>
    </w:p>
    <w:p w:rsidR="005900D0" w:rsidRDefault="006D024D">
      <w:pPr>
        <w:rPr>
          <w:lang w:val="en-US"/>
        </w:rPr>
      </w:pPr>
      <w:r>
        <w:rPr>
          <w:b/>
          <w:bCs/>
          <w:lang w:val="en-US"/>
        </w:rPr>
        <w:t xml:space="preserve">Summary: </w:t>
      </w:r>
      <w:r>
        <w:rPr>
          <w:lang w:val="en-US"/>
        </w:rPr>
        <w:t xml:space="preserve"> </w:t>
      </w:r>
    </w:p>
    <w:p w:rsidR="005900D0" w:rsidRDefault="006D024D">
      <w:pPr>
        <w:rPr>
          <w:lang w:val="en-US"/>
        </w:rPr>
      </w:pPr>
      <w:r>
        <w:rPr>
          <w:b/>
          <w:bCs/>
          <w:lang w:val="en-US"/>
        </w:rPr>
        <w:t>Rapporteur's Proposal:</w:t>
      </w:r>
      <w:r>
        <w:rPr>
          <w:lang w:val="en-US"/>
        </w:rPr>
        <w:t xml:space="preserve"> </w:t>
      </w:r>
    </w:p>
    <w:p w:rsidR="005900D0" w:rsidRDefault="005900D0"/>
    <w:p w:rsidR="005900D0" w:rsidRDefault="006D024D">
      <w:pPr>
        <w:pStyle w:val="2"/>
      </w:pPr>
      <w:r>
        <w:t>2.4</w:t>
      </w:r>
      <w:r>
        <w:tab/>
        <w:t>Inter-RAT cell selection triggered by SNPN selection</w:t>
      </w:r>
    </w:p>
    <w:p w:rsidR="005900D0" w:rsidRDefault="006D024D">
      <w:r>
        <w:t>The following papers were submitted on Inter-RAT cell selection triggered by SNPN selection:</w:t>
      </w:r>
    </w:p>
    <w:p w:rsidR="005900D0" w:rsidRDefault="006D024D">
      <w:hyperlink r:id="rId24" w:history="1">
        <w:r>
          <w:rPr>
            <w:rStyle w:val="af0"/>
          </w:rPr>
          <w:t>R2-2101854</w:t>
        </w:r>
      </w:hyperlink>
      <w:r>
        <w:tab/>
        <w:t>Inter-RAT cell selection triggered by SNPN selection</w:t>
      </w:r>
      <w:r>
        <w:tab/>
        <w:t>Asia Pacific Telecom, FGI</w:t>
      </w:r>
    </w:p>
    <w:p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For inter-RAT (from E-UTRA to NR) cell (re)selection triggered by SNPN selection request:</w:t>
      </w:r>
      <w:r>
        <w:rPr>
          <w:b/>
          <w:bCs/>
          <w:u w:val="single"/>
        </w:rPr>
        <w:t xml:space="preserve"> </w:t>
      </w:r>
    </w:p>
    <w:p w:rsidR="005900D0" w:rsidRDefault="006D024D">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Proposal#1 RAN2 WG is suggested to add ‘SNPN selection’ in the E-UTRA protocols as one condition for UE to delete the stored priorities/</w:t>
      </w:r>
      <w:r>
        <w:rPr>
          <w:b/>
          <w:bCs/>
        </w:rPr>
        <w:t>deprioritisation request(s) provided by dedicated E-UTRA signalling.</w:t>
      </w:r>
    </w:p>
    <w:p w:rsidR="005900D0" w:rsidRDefault="006D024D">
      <w:pPr>
        <w:pBdr>
          <w:top w:val="single" w:sz="4" w:space="1" w:color="auto"/>
          <w:left w:val="single" w:sz="4" w:space="4" w:color="auto"/>
          <w:bottom w:val="single" w:sz="4" w:space="1" w:color="auto"/>
          <w:right w:val="single" w:sz="4" w:space="4" w:color="auto"/>
        </w:pBdr>
        <w:ind w:left="568"/>
      </w:pPr>
      <w:r>
        <w:t>The corresponding changes of TS 36.304 can be fou</w:t>
      </w:r>
      <w:r>
        <w:t xml:space="preserve">nd in R2-2101849. </w:t>
      </w:r>
    </w:p>
    <w:p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 xml:space="preserve">For T320 in NR protocols/E-UTRA protocols: </w:t>
      </w:r>
    </w:p>
    <w:p w:rsidR="005900D0" w:rsidRDefault="006D024D">
      <w:pPr>
        <w:pBdr>
          <w:top w:val="single" w:sz="4" w:space="1" w:color="auto"/>
          <w:left w:val="single" w:sz="4" w:space="4" w:color="auto"/>
          <w:bottom w:val="single" w:sz="4" w:space="1" w:color="auto"/>
          <w:right w:val="single" w:sz="4" w:space="4" w:color="auto"/>
        </w:pBdr>
        <w:ind w:left="568"/>
        <w:jc w:val="both"/>
        <w:rPr>
          <w:b/>
          <w:bCs/>
          <w:i/>
          <w:iCs/>
          <w:lang w:eastAsia="zh-TW"/>
        </w:rPr>
      </w:pPr>
      <w:r>
        <w:rPr>
          <w:b/>
          <w:bCs/>
          <w:lang w:eastAsia="zh-TW"/>
        </w:rPr>
        <w:t xml:space="preserve">Proposal#2 Add ‘SNPN selection’ as the stop condition of T320 (NR protocols). </w:t>
      </w:r>
    </w:p>
    <w:p w:rsidR="005900D0" w:rsidRDefault="006D024D">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rsidR="005900D0" w:rsidRDefault="006D024D">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Proposal#3 Add ‘SNPN selection ’as the stop con</w:t>
      </w:r>
      <w:r>
        <w:rPr>
          <w:b/>
          <w:bCs/>
          <w:lang w:eastAsia="zh-TW"/>
        </w:rPr>
        <w:t xml:space="preserve">dition of T320 (E-UTRA protocols).  </w:t>
      </w:r>
    </w:p>
    <w:p w:rsidR="005900D0" w:rsidRDefault="006D024D">
      <w:pPr>
        <w:pBdr>
          <w:top w:val="single" w:sz="4" w:space="1" w:color="auto"/>
          <w:left w:val="single" w:sz="4" w:space="4" w:color="auto"/>
          <w:bottom w:val="single" w:sz="4" w:space="1" w:color="auto"/>
          <w:right w:val="single" w:sz="4" w:space="4" w:color="auto"/>
        </w:pBdr>
        <w:ind w:left="568"/>
      </w:pPr>
      <w:r>
        <w:t>The corresponding changes of TS 36.331 can be found in R2-2101850.</w:t>
      </w:r>
    </w:p>
    <w:p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 xml:space="preserve">For T325 in E-UTRA protocols: </w:t>
      </w:r>
    </w:p>
    <w:p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 xml:space="preserve">Proposal#4 Add ‘PLMN/SNPN selection’ as the stop condition of T325 (E-UTRA protocols).  </w:t>
      </w:r>
    </w:p>
    <w:p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Proposal#5 Further indica</w:t>
      </w:r>
      <w:r>
        <w:rPr>
          <w:b/>
          <w:bCs/>
          <w:lang w:eastAsia="zh-TW"/>
        </w:rPr>
        <w:t xml:space="preserve">te ‘UE would store the </w:t>
      </w:r>
      <w:r>
        <w:rPr>
          <w:b/>
          <w:bCs/>
          <w:i/>
          <w:iCs/>
        </w:rPr>
        <w:t>de</w:t>
      </w:r>
      <w:r>
        <w:rPr>
          <w:b/>
          <w:bCs/>
          <w:i/>
          <w:iCs/>
          <w:color w:val="000000" w:themeColor="text1"/>
        </w:rPr>
        <w:t>prioritisationReq</w:t>
      </w:r>
      <w:r>
        <w:rPr>
          <w:b/>
          <w:bCs/>
          <w:color w:val="000000" w:themeColor="text1"/>
        </w:rPr>
        <w:t xml:space="preserve"> until T325 expires or is stopped’ in E-UTRA protocols.</w:t>
      </w:r>
    </w:p>
    <w:p w:rsidR="005900D0" w:rsidRDefault="006D024D">
      <w:pPr>
        <w:pBdr>
          <w:top w:val="single" w:sz="4" w:space="1" w:color="auto"/>
          <w:left w:val="single" w:sz="4" w:space="4" w:color="auto"/>
          <w:bottom w:val="single" w:sz="4" w:space="1" w:color="auto"/>
          <w:right w:val="single" w:sz="4" w:space="4" w:color="auto"/>
        </w:pBdr>
        <w:ind w:left="568"/>
      </w:pPr>
      <w:r>
        <w:t>The corresponding changes of TS 36.331 can be found in R2-2101850.</w:t>
      </w:r>
    </w:p>
    <w:p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For T325 in NR protocols:</w:t>
      </w:r>
    </w:p>
    <w:p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Proposal#6 Add ‘PLMN/SNPN selection’ as the stop condition of T32</w:t>
      </w:r>
      <w:r>
        <w:rPr>
          <w:b/>
          <w:bCs/>
          <w:color w:val="000000" w:themeColor="text1"/>
          <w:lang w:eastAsia="zh-TW"/>
        </w:rPr>
        <w:t xml:space="preserve">5 (NR protocols).  </w:t>
      </w:r>
    </w:p>
    <w:p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rPr>
      </w:pPr>
      <w:r>
        <w:rPr>
          <w:b/>
          <w:bCs/>
          <w:color w:val="000000" w:themeColor="text1"/>
          <w:lang w:eastAsia="zh-TW"/>
        </w:rPr>
        <w:t xml:space="preserve">Proposal#7 Further indicate ‘UE shall store the </w:t>
      </w:r>
      <w:r>
        <w:rPr>
          <w:b/>
          <w:bCs/>
          <w:i/>
          <w:iCs/>
          <w:color w:val="000000" w:themeColor="text1"/>
        </w:rPr>
        <w:t>deprioritisationReq</w:t>
      </w:r>
      <w:r>
        <w:rPr>
          <w:b/>
          <w:bCs/>
          <w:color w:val="000000" w:themeColor="text1"/>
        </w:rPr>
        <w:t xml:space="preserve"> until T325 expires or is stopped’ in NR protocols.</w:t>
      </w:r>
    </w:p>
    <w:p w:rsidR="005900D0" w:rsidRDefault="006D024D">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rsidR="005900D0" w:rsidRDefault="006D024D">
      <w:hyperlink r:id="rId25" w:history="1">
        <w:r>
          <w:rPr>
            <w:rStyle w:val="af0"/>
          </w:rPr>
          <w:t>R2-2101849</w:t>
        </w:r>
      </w:hyperlink>
      <w:r>
        <w:tab/>
        <w:t>Corrections for inter-RAT cell selection triggered by SNPN selection</w:t>
      </w:r>
      <w:r>
        <w:tab/>
        <w:t>Asia Pacific Telecom, FGI</w:t>
      </w:r>
    </w:p>
    <w:p w:rsidR="005900D0" w:rsidRDefault="006D024D">
      <w:hyperlink r:id="rId26" w:history="1">
        <w:r>
          <w:rPr>
            <w:rStyle w:val="af0"/>
          </w:rPr>
          <w:t>R2-2101850</w:t>
        </w:r>
      </w:hyperlink>
      <w:r>
        <w:tab/>
        <w:t>Stop condit</w:t>
      </w:r>
      <w:r>
        <w:t>ions of T320 &amp; T325 in E-UTRA protocols</w:t>
      </w:r>
      <w:r>
        <w:tab/>
        <w:t>Asia Pacific Telecom, FGI</w:t>
      </w:r>
    </w:p>
    <w:p w:rsidR="005900D0" w:rsidRDefault="006D024D">
      <w:hyperlink r:id="rId27" w:history="1">
        <w:r>
          <w:rPr>
            <w:rStyle w:val="af0"/>
          </w:rPr>
          <w:t>R2-2101852</w:t>
        </w:r>
      </w:hyperlink>
      <w:r>
        <w:tab/>
        <w:t>Stop conditions of T320 &amp; T325 in NR protocols</w:t>
      </w:r>
      <w:r>
        <w:tab/>
      </w:r>
      <w:r>
        <w:tab/>
        <w:t>Asia Pacific Telecom, FGI</w:t>
      </w:r>
    </w:p>
    <w:p w:rsidR="005900D0" w:rsidRDefault="005900D0"/>
    <w:p w:rsidR="005900D0" w:rsidRDefault="006D024D">
      <w:pPr>
        <w:rPr>
          <w:b/>
          <w:bCs/>
        </w:rPr>
      </w:pPr>
      <w:r>
        <w:rPr>
          <w:b/>
          <w:bCs/>
        </w:rPr>
        <w:t xml:space="preserve">Q4: Do you </w:t>
      </w:r>
      <w:r>
        <w:rPr>
          <w:b/>
          <w:bCs/>
        </w:rPr>
        <w:t>agree with the motivation of the proposals of R2-2101854 (i.e. in principle the CRs are acceptable)? In the comment field please indicate if you request some changes in the CRs (R2-2101849, R2-2101850, and R2-2101852).</w:t>
      </w:r>
    </w:p>
    <w:tbl>
      <w:tblPr>
        <w:tblStyle w:val="ad"/>
        <w:tblW w:w="9805" w:type="dxa"/>
        <w:tblLayout w:type="fixed"/>
        <w:tblLook w:val="04A0" w:firstRow="1" w:lastRow="0" w:firstColumn="1" w:lastColumn="0" w:noHBand="0" w:noVBand="1"/>
      </w:tblPr>
      <w:tblGrid>
        <w:gridCol w:w="1345"/>
        <w:gridCol w:w="900"/>
        <w:gridCol w:w="7560"/>
      </w:tblGrid>
      <w:tr w:rsidR="005900D0">
        <w:tc>
          <w:tcPr>
            <w:tcW w:w="1345" w:type="dxa"/>
            <w:vAlign w:val="center"/>
          </w:tcPr>
          <w:p w:rsidR="005900D0" w:rsidRDefault="006D024D">
            <w:pPr>
              <w:spacing w:after="0"/>
              <w:rPr>
                <w:b/>
                <w:bCs/>
                <w:lang w:val="en-US"/>
              </w:rPr>
            </w:pPr>
            <w:r>
              <w:rPr>
                <w:b/>
                <w:bCs/>
                <w:lang w:val="en-US"/>
              </w:rPr>
              <w:t>Company</w:t>
            </w:r>
          </w:p>
        </w:tc>
        <w:tc>
          <w:tcPr>
            <w:tcW w:w="900" w:type="dxa"/>
          </w:tcPr>
          <w:p w:rsidR="005900D0" w:rsidRDefault="006D024D">
            <w:pPr>
              <w:spacing w:after="0"/>
              <w:rPr>
                <w:b/>
                <w:bCs/>
                <w:lang w:val="en-US"/>
              </w:rPr>
            </w:pPr>
            <w:r>
              <w:rPr>
                <w:b/>
                <w:bCs/>
                <w:lang w:val="en-US"/>
              </w:rPr>
              <w:t>Answer</w:t>
            </w:r>
          </w:p>
        </w:tc>
        <w:tc>
          <w:tcPr>
            <w:tcW w:w="7560" w:type="dxa"/>
            <w:vAlign w:val="center"/>
          </w:tcPr>
          <w:p w:rsidR="005900D0" w:rsidRDefault="006D024D">
            <w:pPr>
              <w:spacing w:after="0"/>
              <w:rPr>
                <w:b/>
                <w:bCs/>
                <w:lang w:val="en-US"/>
              </w:rPr>
            </w:pPr>
            <w:r>
              <w:rPr>
                <w:b/>
                <w:bCs/>
                <w:lang w:val="en-US"/>
              </w:rPr>
              <w:t>Comment (e.g. requeste</w:t>
            </w:r>
            <w:r>
              <w:rPr>
                <w:b/>
                <w:bCs/>
                <w:lang w:val="en-US"/>
              </w:rPr>
              <w:t>d modifications in the CRs)</w:t>
            </w:r>
          </w:p>
        </w:tc>
      </w:tr>
      <w:tr w:rsidR="005900D0">
        <w:tc>
          <w:tcPr>
            <w:tcW w:w="1345" w:type="dxa"/>
            <w:vAlign w:val="center"/>
          </w:tcPr>
          <w:p w:rsidR="005900D0" w:rsidRDefault="006D024D">
            <w:pPr>
              <w:spacing w:after="0"/>
              <w:rPr>
                <w:lang w:val="en-US" w:eastAsia="zh-CN"/>
              </w:rPr>
            </w:pPr>
            <w:r>
              <w:rPr>
                <w:rFonts w:hint="eastAsia"/>
                <w:lang w:val="en-US" w:eastAsia="zh-CN"/>
              </w:rPr>
              <w:t>ZTE</w:t>
            </w:r>
          </w:p>
        </w:tc>
        <w:tc>
          <w:tcPr>
            <w:tcW w:w="900" w:type="dxa"/>
          </w:tcPr>
          <w:p w:rsidR="005900D0" w:rsidRDefault="005900D0">
            <w:pPr>
              <w:spacing w:after="0"/>
              <w:rPr>
                <w:lang w:val="en-US" w:eastAsia="zh-CN"/>
              </w:rPr>
            </w:pPr>
          </w:p>
        </w:tc>
        <w:tc>
          <w:tcPr>
            <w:tcW w:w="7560" w:type="dxa"/>
            <w:vAlign w:val="center"/>
          </w:tcPr>
          <w:p w:rsidR="005900D0" w:rsidRDefault="006D024D">
            <w:pPr>
              <w:spacing w:after="0"/>
              <w:rPr>
                <w:lang w:val="en-US" w:eastAsia="zh-CN"/>
              </w:rPr>
            </w:pPr>
            <w:r>
              <w:rPr>
                <w:rFonts w:hint="eastAsia"/>
                <w:lang w:val="en-US" w:eastAsia="zh-CN"/>
              </w:rPr>
              <w:t>Our understanding is that this issue is caused by the SNPN operation mode and PLMN operation mode switching, we are not sure whether the UE would trigger a hard/soft power off/on procedure</w:t>
            </w:r>
            <w:r w:rsidR="0062262A">
              <w:rPr>
                <w:lang w:val="en-US" w:eastAsia="zh-CN"/>
              </w:rPr>
              <w:t xml:space="preserve"> </w:t>
            </w:r>
            <w:r>
              <w:rPr>
                <w:rFonts w:hint="eastAsia"/>
                <w:lang w:val="en-US" w:eastAsia="zh-CN"/>
              </w:rPr>
              <w:t>during the</w:t>
            </w:r>
            <w:r w:rsidR="0062262A">
              <w:rPr>
                <w:rFonts w:hint="eastAsia"/>
                <w:lang w:val="en-US" w:eastAsia="zh-CN"/>
              </w:rPr>
              <w:t xml:space="preserve">se </w:t>
            </w:r>
            <w:r w:rsidR="0062262A">
              <w:rPr>
                <w:lang w:val="en-US" w:eastAsia="zh-CN"/>
              </w:rPr>
              <w:t>two</w:t>
            </w:r>
            <w:r>
              <w:rPr>
                <w:rFonts w:hint="eastAsia"/>
                <w:lang w:val="en-US" w:eastAsia="zh-CN"/>
              </w:rPr>
              <w:t xml:space="preserve"> mo</w:t>
            </w:r>
            <w:r>
              <w:rPr>
                <w:rFonts w:hint="eastAsia"/>
                <w:lang w:val="en-US" w:eastAsia="zh-CN"/>
              </w:rPr>
              <w:t>de</w:t>
            </w:r>
            <w:r w:rsidR="0062262A">
              <w:rPr>
                <w:lang w:val="en-US" w:eastAsia="zh-CN"/>
              </w:rPr>
              <w:t>s</w:t>
            </w:r>
            <w:r>
              <w:rPr>
                <w:rFonts w:hint="eastAsia"/>
                <w:lang w:val="en-US" w:eastAsia="zh-CN"/>
              </w:rPr>
              <w:t xml:space="preserve"> switching</w:t>
            </w:r>
            <w:r w:rsidR="0062262A">
              <w:rPr>
                <w:lang w:val="en-US" w:eastAsia="zh-CN"/>
              </w:rPr>
              <w:t xml:space="preserve"> </w:t>
            </w:r>
            <w:r w:rsidR="0062262A">
              <w:rPr>
                <w:rFonts w:hint="eastAsia"/>
                <w:lang w:val="en-US" w:eastAsia="zh-CN"/>
              </w:rPr>
              <w:t>(for that the UE need to read the corresponding USIM)</w:t>
            </w:r>
            <w:r>
              <w:rPr>
                <w:rFonts w:hint="eastAsia"/>
                <w:lang w:val="en-US" w:eastAsia="zh-CN"/>
              </w:rPr>
              <w:t>. If there is a hard/soft power off/on procedure</w:t>
            </w:r>
            <w:r>
              <w:rPr>
                <w:rFonts w:hint="eastAsia"/>
                <w:lang w:val="en-US" w:eastAsia="zh-CN"/>
              </w:rPr>
              <w:t>, we think the whole RRC protocol/parameters/Timers</w:t>
            </w:r>
            <w:r w:rsidR="0062262A">
              <w:rPr>
                <w:lang w:val="en-US" w:eastAsia="zh-CN"/>
              </w:rPr>
              <w:t xml:space="preserve"> including T320/T325</w:t>
            </w:r>
            <w:r>
              <w:rPr>
                <w:rFonts w:hint="eastAsia"/>
                <w:lang w:val="en-US" w:eastAsia="zh-CN"/>
              </w:rPr>
              <w:t xml:space="preserve"> would be reset. </w:t>
            </w:r>
          </w:p>
          <w:p w:rsidR="005900D0" w:rsidRDefault="0062262A">
            <w:pPr>
              <w:spacing w:after="0"/>
              <w:rPr>
                <w:lang w:val="en-US" w:eastAsia="zh-CN"/>
              </w:rPr>
            </w:pPr>
            <w:r>
              <w:rPr>
                <w:rFonts w:hint="eastAsia"/>
                <w:lang w:val="en-US" w:eastAsia="zh-CN"/>
              </w:rPr>
              <w:t xml:space="preserve">Anyway, the </w:t>
            </w:r>
            <w:r w:rsidR="006D024D">
              <w:rPr>
                <w:rFonts w:hint="eastAsia"/>
                <w:lang w:val="en-US" w:eastAsia="zh-CN"/>
              </w:rPr>
              <w:t>SNPN operation mode and PLMN operation mode switch was not specified in CT1, Ran2 may also not need to specify th</w:t>
            </w:r>
            <w:r w:rsidR="006D024D">
              <w:rPr>
                <w:rFonts w:hint="eastAsia"/>
                <w:lang w:val="en-US" w:eastAsia="zh-CN"/>
              </w:rPr>
              <w:t xml:space="preserve">e details, it can be left to the UE implementation. </w:t>
            </w:r>
          </w:p>
          <w:p w:rsidR="005900D0" w:rsidRDefault="006D024D">
            <w:pPr>
              <w:spacing w:after="0"/>
              <w:rPr>
                <w:lang w:val="en-US" w:eastAsia="zh-CN"/>
              </w:rPr>
            </w:pPr>
            <w:r>
              <w:rPr>
                <w:rFonts w:hint="eastAsia"/>
                <w:lang w:val="en-US" w:eastAsia="zh-CN"/>
              </w:rPr>
              <w:t xml:space="preserve">For the CR </w:t>
            </w:r>
            <w:hyperlink r:id="rId28" w:history="1">
              <w:r>
                <w:rPr>
                  <w:rStyle w:val="af0"/>
                </w:rPr>
                <w:t>R2-2101849</w:t>
              </w:r>
            </w:hyperlink>
            <w:r>
              <w:rPr>
                <w:rStyle w:val="af0"/>
                <w:rFonts w:hint="eastAsia"/>
                <w:lang w:val="en-US" w:eastAsia="zh-CN"/>
              </w:rPr>
              <w:t xml:space="preserve"> and </w:t>
            </w:r>
            <w:hyperlink r:id="rId29" w:history="1">
              <w:r>
                <w:rPr>
                  <w:rStyle w:val="af0"/>
                </w:rPr>
                <w:t>R2</w:t>
              </w:r>
              <w:r>
                <w:rPr>
                  <w:rStyle w:val="af0"/>
                </w:rPr>
                <w:t>-2101850</w:t>
              </w:r>
            </w:hyperlink>
            <w:r>
              <w:rPr>
                <w:rFonts w:hint="eastAsia"/>
                <w:lang w:val="en-US" w:eastAsia="zh-CN"/>
              </w:rPr>
              <w:t xml:space="preserve"> we think the SNPN selection indication will n</w:t>
            </w:r>
            <w:r w:rsidR="0062262A">
              <w:rPr>
                <w:rFonts w:hint="eastAsia"/>
                <w:lang w:val="en-US" w:eastAsia="zh-CN"/>
              </w:rPr>
              <w:t xml:space="preserve">ot send to the AS layer of the </w:t>
            </w:r>
            <w:r>
              <w:rPr>
                <w:rFonts w:hint="eastAsia"/>
                <w:lang w:val="en-US" w:eastAsia="zh-CN"/>
              </w:rPr>
              <w:t>LTE-mode.</w:t>
            </w:r>
          </w:p>
          <w:p w:rsidR="005900D0" w:rsidRDefault="005900D0">
            <w:pPr>
              <w:spacing w:after="0"/>
              <w:rPr>
                <w:lang w:val="en-US" w:eastAsia="zh-CN"/>
              </w:rPr>
            </w:pPr>
          </w:p>
          <w:p w:rsidR="005900D0" w:rsidRDefault="006D024D">
            <w:pPr>
              <w:spacing w:after="0"/>
              <w:rPr>
                <w:lang w:val="en-US" w:eastAsia="zh-CN"/>
              </w:rPr>
            </w:pPr>
            <w:r>
              <w:rPr>
                <w:rFonts w:hint="eastAsia"/>
                <w:lang w:val="en-US" w:eastAsia="zh-CN"/>
              </w:rPr>
              <w:t xml:space="preserve">For the CR </w:t>
            </w:r>
            <w:hyperlink r:id="rId30" w:history="1">
              <w:r>
                <w:rPr>
                  <w:rStyle w:val="af0"/>
                </w:rPr>
                <w:t>R2-2101852</w:t>
              </w:r>
            </w:hyperlink>
            <w:r>
              <w:rPr>
                <w:rStyle w:val="af0"/>
                <w:rFonts w:hint="eastAsia"/>
                <w:lang w:val="en-US" w:eastAsia="zh-CN"/>
              </w:rPr>
              <w:t>, f</w:t>
            </w:r>
            <w:r w:rsidR="0062262A">
              <w:rPr>
                <w:rFonts w:hint="eastAsia"/>
                <w:lang w:val="en-US" w:eastAsia="zh-CN"/>
              </w:rPr>
              <w:t xml:space="preserve">or the first Change of T320, </w:t>
            </w:r>
            <w:r>
              <w:rPr>
                <w:rFonts w:hint="eastAsia"/>
                <w:lang w:val="en-US" w:eastAsia="zh-CN"/>
              </w:rPr>
              <w:t>we think it</w:t>
            </w:r>
            <w:r>
              <w:rPr>
                <w:lang w:val="en-US" w:eastAsia="zh-CN"/>
              </w:rPr>
              <w:t>’</w:t>
            </w:r>
            <w:r>
              <w:rPr>
                <w:rFonts w:hint="eastAsia"/>
                <w:lang w:val="en-US" w:eastAsia="zh-CN"/>
              </w:rPr>
              <w:t>s</w:t>
            </w:r>
            <w:r w:rsidR="0062262A">
              <w:rPr>
                <w:rFonts w:hint="eastAsia"/>
                <w:lang w:val="en-US" w:eastAsia="zh-CN"/>
              </w:rPr>
              <w:t xml:space="preserve"> </w:t>
            </w:r>
            <w:r>
              <w:rPr>
                <w:rFonts w:hint="eastAsia"/>
                <w:lang w:val="en-US" w:eastAsia="zh-CN"/>
              </w:rPr>
              <w:t>ok, but for the second change of T325, at least for the PLMN selection part, it</w:t>
            </w:r>
            <w:r>
              <w:rPr>
                <w:lang w:val="en-US" w:eastAsia="zh-CN"/>
              </w:rPr>
              <w:t>’</w:t>
            </w:r>
            <w:r>
              <w:rPr>
                <w:rFonts w:hint="eastAsia"/>
                <w:lang w:val="en-US" w:eastAsia="zh-CN"/>
              </w:rPr>
              <w:t>s better t</w:t>
            </w:r>
            <w:r w:rsidR="0062262A">
              <w:rPr>
                <w:rFonts w:hint="eastAsia"/>
                <w:lang w:val="en-US" w:eastAsia="zh-CN"/>
              </w:rPr>
              <w:t>o discussed in the other agenda</w:t>
            </w:r>
            <w:r>
              <w:rPr>
                <w:rFonts w:hint="eastAsia"/>
                <w:lang w:val="en-US" w:eastAsia="zh-CN"/>
              </w:rPr>
              <w:t>.</w:t>
            </w:r>
            <w:bookmarkStart w:id="1" w:name="_GoBack"/>
            <w:bookmarkEnd w:id="1"/>
          </w:p>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Malgun Gothic"/>
                <w:lang w:val="en-US" w:eastAsia="ko-KR"/>
              </w:rPr>
            </w:pPr>
          </w:p>
        </w:tc>
        <w:tc>
          <w:tcPr>
            <w:tcW w:w="900" w:type="dxa"/>
          </w:tcPr>
          <w:p w:rsidR="005900D0" w:rsidRDefault="005900D0">
            <w:pPr>
              <w:spacing w:after="0"/>
              <w:rPr>
                <w:rFonts w:eastAsia="Malgun Gothic"/>
                <w:lang w:val="en-US" w:eastAsia="ko-KR"/>
              </w:rPr>
            </w:pPr>
          </w:p>
        </w:tc>
        <w:tc>
          <w:tcPr>
            <w:tcW w:w="7560" w:type="dxa"/>
            <w:vAlign w:val="center"/>
          </w:tcPr>
          <w:p w:rsidR="005900D0" w:rsidRDefault="005900D0">
            <w:pPr>
              <w:spacing w:after="0"/>
              <w:rPr>
                <w:rFonts w:eastAsia="Malgun Gothic"/>
                <w:lang w:val="en-US" w:eastAsia="ko-KR"/>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lang w:val="en-US" w:eastAsia="zh-CN"/>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lang w:val="en-US" w:eastAsia="zh-CN"/>
              </w:rPr>
            </w:pPr>
          </w:p>
        </w:tc>
      </w:tr>
      <w:tr w:rsidR="005900D0">
        <w:tc>
          <w:tcPr>
            <w:tcW w:w="1345" w:type="dxa"/>
            <w:vAlign w:val="center"/>
          </w:tcPr>
          <w:p w:rsidR="005900D0" w:rsidRDefault="005900D0">
            <w:pPr>
              <w:spacing w:after="0"/>
              <w:rPr>
                <w:rFonts w:eastAsia="PMingLiU"/>
                <w:lang w:val="en-US" w:eastAsia="zh-TW"/>
              </w:rPr>
            </w:pPr>
          </w:p>
        </w:tc>
        <w:tc>
          <w:tcPr>
            <w:tcW w:w="900" w:type="dxa"/>
          </w:tcPr>
          <w:p w:rsidR="005900D0" w:rsidRDefault="005900D0">
            <w:pPr>
              <w:spacing w:after="0"/>
              <w:rPr>
                <w:lang w:val="en-US" w:eastAsia="zh-CN"/>
              </w:rPr>
            </w:pPr>
          </w:p>
        </w:tc>
        <w:tc>
          <w:tcPr>
            <w:tcW w:w="7560" w:type="dxa"/>
            <w:vAlign w:val="center"/>
          </w:tcPr>
          <w:p w:rsidR="005900D0" w:rsidRDefault="005900D0">
            <w:pPr>
              <w:spacing w:after="0"/>
              <w:rPr>
                <w:rFonts w:eastAsia="PMingLiU"/>
                <w:lang w:val="en-US" w:eastAsia="zh-TW"/>
              </w:rPr>
            </w:pPr>
          </w:p>
        </w:tc>
      </w:tr>
    </w:tbl>
    <w:p w:rsidR="005900D0" w:rsidRDefault="005900D0">
      <w:pPr>
        <w:rPr>
          <w:lang w:val="en-US"/>
        </w:rPr>
      </w:pPr>
    </w:p>
    <w:p w:rsidR="005900D0" w:rsidRDefault="006D024D">
      <w:pPr>
        <w:rPr>
          <w:lang w:val="en-US"/>
        </w:rPr>
      </w:pPr>
      <w:r>
        <w:rPr>
          <w:b/>
          <w:bCs/>
          <w:lang w:val="en-US"/>
        </w:rPr>
        <w:t xml:space="preserve">Summary: </w:t>
      </w:r>
      <w:r>
        <w:rPr>
          <w:lang w:val="en-US"/>
        </w:rPr>
        <w:t xml:space="preserve"> </w:t>
      </w:r>
    </w:p>
    <w:p w:rsidR="005900D0" w:rsidRDefault="006D024D">
      <w:pPr>
        <w:rPr>
          <w:lang w:val="en-US"/>
        </w:rPr>
      </w:pPr>
      <w:r>
        <w:rPr>
          <w:b/>
          <w:bCs/>
          <w:lang w:val="en-US"/>
        </w:rPr>
        <w:t>Rapporteur's Proposal:</w:t>
      </w:r>
      <w:r>
        <w:rPr>
          <w:lang w:val="en-US"/>
        </w:rPr>
        <w:t xml:space="preserve"> </w:t>
      </w:r>
    </w:p>
    <w:p w:rsidR="005900D0" w:rsidRDefault="005900D0"/>
    <w:p w:rsidR="005900D0" w:rsidRDefault="005900D0">
      <w:pPr>
        <w:rPr>
          <w:lang w:val="en-US"/>
        </w:rPr>
      </w:pPr>
    </w:p>
    <w:p w:rsidR="005900D0" w:rsidRDefault="006D024D">
      <w:pPr>
        <w:pStyle w:val="1"/>
      </w:pPr>
      <w:r>
        <w:t>3</w:t>
      </w:r>
      <w:r>
        <w:tab/>
        <w:t>Conclusions</w:t>
      </w:r>
    </w:p>
    <w:p w:rsidR="005900D0" w:rsidRDefault="006D024D">
      <w:pPr>
        <w:pStyle w:val="2"/>
      </w:pPr>
      <w:r>
        <w:t>3.1</w:t>
      </w:r>
      <w:r>
        <w:tab/>
        <w:t>CRs that can be agreed as is</w:t>
      </w:r>
    </w:p>
    <w:p w:rsidR="005900D0" w:rsidRDefault="005900D0"/>
    <w:p w:rsidR="005900D0" w:rsidRDefault="006D024D">
      <w:pPr>
        <w:pStyle w:val="2"/>
      </w:pPr>
      <w:r>
        <w:t>3.2</w:t>
      </w:r>
      <w:r>
        <w:tab/>
      </w:r>
      <w:r>
        <w:t>CRs that can be agreed with some changes / merges with other CRs</w:t>
      </w:r>
    </w:p>
    <w:p w:rsidR="005900D0" w:rsidRDefault="005900D0"/>
    <w:p w:rsidR="005900D0" w:rsidRDefault="005900D0"/>
    <w:p w:rsidR="005900D0" w:rsidRDefault="006D024D">
      <w:pPr>
        <w:pStyle w:val="2"/>
      </w:pPr>
      <w:r>
        <w:lastRenderedPageBreak/>
        <w:t>3.3</w:t>
      </w:r>
      <w:r>
        <w:tab/>
        <w:t>CRs that require online discussion</w:t>
      </w:r>
    </w:p>
    <w:p w:rsidR="005900D0" w:rsidRDefault="005900D0"/>
    <w:p w:rsidR="005900D0" w:rsidRDefault="006D024D">
      <w:pPr>
        <w:pStyle w:val="2"/>
      </w:pPr>
      <w:r>
        <w:t>3.4</w:t>
      </w:r>
      <w:r>
        <w:tab/>
        <w:t xml:space="preserve">CRs that should not be pursued </w:t>
      </w:r>
    </w:p>
    <w:p w:rsidR="005900D0" w:rsidRDefault="005900D0"/>
    <w:sectPr w:rsidR="005900D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4D" w:rsidRDefault="006D024D" w:rsidP="0062262A">
      <w:pPr>
        <w:spacing w:after="0" w:line="240" w:lineRule="auto"/>
      </w:pPr>
      <w:r>
        <w:separator/>
      </w:r>
    </w:p>
  </w:endnote>
  <w:endnote w:type="continuationSeparator" w:id="0">
    <w:p w:rsidR="006D024D" w:rsidRDefault="006D024D" w:rsidP="006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4D" w:rsidRDefault="006D024D" w:rsidP="0062262A">
      <w:pPr>
        <w:spacing w:after="0" w:line="240" w:lineRule="auto"/>
      </w:pPr>
      <w:r>
        <w:separator/>
      </w:r>
    </w:p>
  </w:footnote>
  <w:footnote w:type="continuationSeparator" w:id="0">
    <w:p w:rsidR="006D024D" w:rsidRDefault="006D024D" w:rsidP="00622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534"/>
    <w:multiLevelType w:val="multilevel"/>
    <w:tmpl w:val="2B3015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C8D0848"/>
    <w:multiLevelType w:val="singleLevel"/>
    <w:tmpl w:val="4C8D0848"/>
    <w:lvl w:ilvl="0">
      <w:start w:val="1"/>
      <w:numFmt w:val="decimal"/>
      <w:suff w:val="space"/>
      <w:lvlText w:val="(%1)"/>
      <w:lvlJc w:val="left"/>
      <w:pPr>
        <w:ind w:left="0" w:firstLine="0"/>
      </w:pPr>
    </w:lvl>
  </w:abstractNum>
  <w:abstractNum w:abstractNumId="3">
    <w:nsid w:val="512E22B3"/>
    <w:multiLevelType w:val="multilevel"/>
    <w:tmpl w:val="512E22B3"/>
    <w:lvl w:ilvl="0">
      <w:start w:val="5"/>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BA"/>
    <w:rsid w:val="00014A25"/>
    <w:rsid w:val="00015745"/>
    <w:rsid w:val="00016557"/>
    <w:rsid w:val="00023C40"/>
    <w:rsid w:val="00033397"/>
    <w:rsid w:val="000357EF"/>
    <w:rsid w:val="00036AF5"/>
    <w:rsid w:val="00040095"/>
    <w:rsid w:val="00070A4D"/>
    <w:rsid w:val="00073C9C"/>
    <w:rsid w:val="00075683"/>
    <w:rsid w:val="0007607D"/>
    <w:rsid w:val="00080512"/>
    <w:rsid w:val="000829C4"/>
    <w:rsid w:val="00083E8B"/>
    <w:rsid w:val="000867B6"/>
    <w:rsid w:val="00090468"/>
    <w:rsid w:val="00094568"/>
    <w:rsid w:val="000A06BD"/>
    <w:rsid w:val="000B6D9F"/>
    <w:rsid w:val="000B7BCF"/>
    <w:rsid w:val="000C522B"/>
    <w:rsid w:val="000C5A8C"/>
    <w:rsid w:val="000D0C12"/>
    <w:rsid w:val="000D5738"/>
    <w:rsid w:val="000D58AB"/>
    <w:rsid w:val="000E4A77"/>
    <w:rsid w:val="0010085D"/>
    <w:rsid w:val="001043ED"/>
    <w:rsid w:val="00112F1A"/>
    <w:rsid w:val="001145A7"/>
    <w:rsid w:val="0013640B"/>
    <w:rsid w:val="00145075"/>
    <w:rsid w:val="00167A34"/>
    <w:rsid w:val="00172089"/>
    <w:rsid w:val="001741A0"/>
    <w:rsid w:val="00175FA0"/>
    <w:rsid w:val="00192D40"/>
    <w:rsid w:val="00192DCA"/>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3133"/>
    <w:rsid w:val="001F7831"/>
    <w:rsid w:val="00204045"/>
    <w:rsid w:val="0020712B"/>
    <w:rsid w:val="0022606D"/>
    <w:rsid w:val="0023015B"/>
    <w:rsid w:val="00231728"/>
    <w:rsid w:val="00234F7D"/>
    <w:rsid w:val="002363D1"/>
    <w:rsid w:val="00244015"/>
    <w:rsid w:val="00250404"/>
    <w:rsid w:val="002610D8"/>
    <w:rsid w:val="00261673"/>
    <w:rsid w:val="00265C2E"/>
    <w:rsid w:val="00270DCB"/>
    <w:rsid w:val="00271572"/>
    <w:rsid w:val="002747EC"/>
    <w:rsid w:val="002855BF"/>
    <w:rsid w:val="00285B53"/>
    <w:rsid w:val="002A2571"/>
    <w:rsid w:val="002C12D1"/>
    <w:rsid w:val="002C4154"/>
    <w:rsid w:val="002D0791"/>
    <w:rsid w:val="002D50EB"/>
    <w:rsid w:val="002E1087"/>
    <w:rsid w:val="002F0C7A"/>
    <w:rsid w:val="002F0D22"/>
    <w:rsid w:val="002F18C1"/>
    <w:rsid w:val="002F32F1"/>
    <w:rsid w:val="003034D7"/>
    <w:rsid w:val="003049D1"/>
    <w:rsid w:val="00311B17"/>
    <w:rsid w:val="003172DC"/>
    <w:rsid w:val="00325AE3"/>
    <w:rsid w:val="00326069"/>
    <w:rsid w:val="00327DF5"/>
    <w:rsid w:val="0034547C"/>
    <w:rsid w:val="003518B3"/>
    <w:rsid w:val="0035462D"/>
    <w:rsid w:val="0036459E"/>
    <w:rsid w:val="00364B41"/>
    <w:rsid w:val="003700B6"/>
    <w:rsid w:val="0037201E"/>
    <w:rsid w:val="003736EE"/>
    <w:rsid w:val="00374976"/>
    <w:rsid w:val="00383096"/>
    <w:rsid w:val="0038638C"/>
    <w:rsid w:val="00391D33"/>
    <w:rsid w:val="0039346C"/>
    <w:rsid w:val="003A3CE1"/>
    <w:rsid w:val="003A41EF"/>
    <w:rsid w:val="003B40AD"/>
    <w:rsid w:val="003C4E37"/>
    <w:rsid w:val="003C6ECC"/>
    <w:rsid w:val="003E16BE"/>
    <w:rsid w:val="003E1A44"/>
    <w:rsid w:val="003F4E28"/>
    <w:rsid w:val="003F5CD7"/>
    <w:rsid w:val="003F7030"/>
    <w:rsid w:val="004006E8"/>
    <w:rsid w:val="00400C75"/>
    <w:rsid w:val="00401855"/>
    <w:rsid w:val="004046B2"/>
    <w:rsid w:val="00406D30"/>
    <w:rsid w:val="00410A9A"/>
    <w:rsid w:val="0041307C"/>
    <w:rsid w:val="0042258E"/>
    <w:rsid w:val="0042468A"/>
    <w:rsid w:val="00445534"/>
    <w:rsid w:val="00452C44"/>
    <w:rsid w:val="004538D6"/>
    <w:rsid w:val="0045738B"/>
    <w:rsid w:val="00465587"/>
    <w:rsid w:val="00477455"/>
    <w:rsid w:val="004848A5"/>
    <w:rsid w:val="00490888"/>
    <w:rsid w:val="004A1F7B"/>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4DA0"/>
    <w:rsid w:val="00543E6C"/>
    <w:rsid w:val="00565087"/>
    <w:rsid w:val="005652B4"/>
    <w:rsid w:val="0056573F"/>
    <w:rsid w:val="00566CBE"/>
    <w:rsid w:val="005719AD"/>
    <w:rsid w:val="005733AC"/>
    <w:rsid w:val="00587548"/>
    <w:rsid w:val="005900D0"/>
    <w:rsid w:val="00594D13"/>
    <w:rsid w:val="005A49C6"/>
    <w:rsid w:val="005B489A"/>
    <w:rsid w:val="005C1380"/>
    <w:rsid w:val="005C7A4A"/>
    <w:rsid w:val="005D0DB2"/>
    <w:rsid w:val="005F712C"/>
    <w:rsid w:val="006016AA"/>
    <w:rsid w:val="006059C3"/>
    <w:rsid w:val="0060677B"/>
    <w:rsid w:val="00611566"/>
    <w:rsid w:val="0062262A"/>
    <w:rsid w:val="006226B9"/>
    <w:rsid w:val="006335EB"/>
    <w:rsid w:val="006337A4"/>
    <w:rsid w:val="00646D99"/>
    <w:rsid w:val="00652304"/>
    <w:rsid w:val="0065341B"/>
    <w:rsid w:val="00656910"/>
    <w:rsid w:val="006574C0"/>
    <w:rsid w:val="00666C23"/>
    <w:rsid w:val="0067017F"/>
    <w:rsid w:val="00670A04"/>
    <w:rsid w:val="00671352"/>
    <w:rsid w:val="00672204"/>
    <w:rsid w:val="006905A4"/>
    <w:rsid w:val="00693114"/>
    <w:rsid w:val="00694E78"/>
    <w:rsid w:val="006A2C25"/>
    <w:rsid w:val="006B10C3"/>
    <w:rsid w:val="006C1464"/>
    <w:rsid w:val="006C4354"/>
    <w:rsid w:val="006C66D8"/>
    <w:rsid w:val="006C72CA"/>
    <w:rsid w:val="006D024D"/>
    <w:rsid w:val="006D12F2"/>
    <w:rsid w:val="006D1BE0"/>
    <w:rsid w:val="006D1E24"/>
    <w:rsid w:val="006E1417"/>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2F68"/>
    <w:rsid w:val="00781F0F"/>
    <w:rsid w:val="0078727C"/>
    <w:rsid w:val="0079049D"/>
    <w:rsid w:val="007911D4"/>
    <w:rsid w:val="00793DC5"/>
    <w:rsid w:val="00794F14"/>
    <w:rsid w:val="007A3324"/>
    <w:rsid w:val="007A4493"/>
    <w:rsid w:val="007A71E6"/>
    <w:rsid w:val="007B18D8"/>
    <w:rsid w:val="007C095F"/>
    <w:rsid w:val="007C2DD0"/>
    <w:rsid w:val="007D4416"/>
    <w:rsid w:val="007E1716"/>
    <w:rsid w:val="007E27F7"/>
    <w:rsid w:val="007F2E08"/>
    <w:rsid w:val="008019EB"/>
    <w:rsid w:val="008028A4"/>
    <w:rsid w:val="008054E1"/>
    <w:rsid w:val="00805C97"/>
    <w:rsid w:val="00806899"/>
    <w:rsid w:val="00813245"/>
    <w:rsid w:val="00815CAE"/>
    <w:rsid w:val="00816706"/>
    <w:rsid w:val="0083261F"/>
    <w:rsid w:val="00832E29"/>
    <w:rsid w:val="00834BC0"/>
    <w:rsid w:val="00835069"/>
    <w:rsid w:val="00836F41"/>
    <w:rsid w:val="00840DE0"/>
    <w:rsid w:val="00845FBB"/>
    <w:rsid w:val="008506A4"/>
    <w:rsid w:val="0086354A"/>
    <w:rsid w:val="008768CA"/>
    <w:rsid w:val="00877EF9"/>
    <w:rsid w:val="00880334"/>
    <w:rsid w:val="00880559"/>
    <w:rsid w:val="00887A68"/>
    <w:rsid w:val="008A49B1"/>
    <w:rsid w:val="008A4DA3"/>
    <w:rsid w:val="008B106B"/>
    <w:rsid w:val="008B42A8"/>
    <w:rsid w:val="008B5306"/>
    <w:rsid w:val="008B58F9"/>
    <w:rsid w:val="008C0B53"/>
    <w:rsid w:val="008C2E2A"/>
    <w:rsid w:val="008C3057"/>
    <w:rsid w:val="008C3856"/>
    <w:rsid w:val="008D2E4D"/>
    <w:rsid w:val="008E211B"/>
    <w:rsid w:val="008F196E"/>
    <w:rsid w:val="008F396F"/>
    <w:rsid w:val="008F3DCD"/>
    <w:rsid w:val="00901DDC"/>
    <w:rsid w:val="0090271F"/>
    <w:rsid w:val="00902DB9"/>
    <w:rsid w:val="0090466A"/>
    <w:rsid w:val="009073DF"/>
    <w:rsid w:val="00910F36"/>
    <w:rsid w:val="00911A34"/>
    <w:rsid w:val="00923655"/>
    <w:rsid w:val="00936071"/>
    <w:rsid w:val="009376CD"/>
    <w:rsid w:val="00940212"/>
    <w:rsid w:val="00941B67"/>
    <w:rsid w:val="00942072"/>
    <w:rsid w:val="00942EC2"/>
    <w:rsid w:val="009447EA"/>
    <w:rsid w:val="00947F44"/>
    <w:rsid w:val="00961B32"/>
    <w:rsid w:val="00962509"/>
    <w:rsid w:val="00967A82"/>
    <w:rsid w:val="00970DB3"/>
    <w:rsid w:val="00970F56"/>
    <w:rsid w:val="00971E99"/>
    <w:rsid w:val="00974BB0"/>
    <w:rsid w:val="00975BCD"/>
    <w:rsid w:val="009928A9"/>
    <w:rsid w:val="00997175"/>
    <w:rsid w:val="00997AE1"/>
    <w:rsid w:val="009A0AF3"/>
    <w:rsid w:val="009B07CD"/>
    <w:rsid w:val="009B3931"/>
    <w:rsid w:val="009C19E9"/>
    <w:rsid w:val="009C724D"/>
    <w:rsid w:val="009D13B4"/>
    <w:rsid w:val="009D74A6"/>
    <w:rsid w:val="009E0E87"/>
    <w:rsid w:val="009E3225"/>
    <w:rsid w:val="009E38A1"/>
    <w:rsid w:val="009F4B56"/>
    <w:rsid w:val="009F7C1C"/>
    <w:rsid w:val="00A02AD2"/>
    <w:rsid w:val="00A10F02"/>
    <w:rsid w:val="00A204CA"/>
    <w:rsid w:val="00A209D6"/>
    <w:rsid w:val="00A27330"/>
    <w:rsid w:val="00A304A6"/>
    <w:rsid w:val="00A406D0"/>
    <w:rsid w:val="00A52615"/>
    <w:rsid w:val="00A53724"/>
    <w:rsid w:val="00A54B2B"/>
    <w:rsid w:val="00A71FD9"/>
    <w:rsid w:val="00A75A97"/>
    <w:rsid w:val="00A82346"/>
    <w:rsid w:val="00A82C7E"/>
    <w:rsid w:val="00A92DC4"/>
    <w:rsid w:val="00A955D6"/>
    <w:rsid w:val="00A95EA3"/>
    <w:rsid w:val="00A9671C"/>
    <w:rsid w:val="00A97BAA"/>
    <w:rsid w:val="00AA1553"/>
    <w:rsid w:val="00AB4D65"/>
    <w:rsid w:val="00AD3FA0"/>
    <w:rsid w:val="00AE1EB9"/>
    <w:rsid w:val="00B045FF"/>
    <w:rsid w:val="00B05380"/>
    <w:rsid w:val="00B05962"/>
    <w:rsid w:val="00B104CD"/>
    <w:rsid w:val="00B13A01"/>
    <w:rsid w:val="00B15449"/>
    <w:rsid w:val="00B16C2F"/>
    <w:rsid w:val="00B27303"/>
    <w:rsid w:val="00B350B3"/>
    <w:rsid w:val="00B37F30"/>
    <w:rsid w:val="00B46F4B"/>
    <w:rsid w:val="00B47020"/>
    <w:rsid w:val="00B47EE6"/>
    <w:rsid w:val="00B47FD1"/>
    <w:rsid w:val="00B516BB"/>
    <w:rsid w:val="00B75237"/>
    <w:rsid w:val="00B76965"/>
    <w:rsid w:val="00B8154B"/>
    <w:rsid w:val="00B84DB2"/>
    <w:rsid w:val="00B93DAC"/>
    <w:rsid w:val="00BB16CF"/>
    <w:rsid w:val="00BC3555"/>
    <w:rsid w:val="00BD6C23"/>
    <w:rsid w:val="00BE434D"/>
    <w:rsid w:val="00BE6260"/>
    <w:rsid w:val="00BE799D"/>
    <w:rsid w:val="00BF2938"/>
    <w:rsid w:val="00C12B51"/>
    <w:rsid w:val="00C24650"/>
    <w:rsid w:val="00C25465"/>
    <w:rsid w:val="00C2588A"/>
    <w:rsid w:val="00C27EF9"/>
    <w:rsid w:val="00C33079"/>
    <w:rsid w:val="00C54F00"/>
    <w:rsid w:val="00C55D8F"/>
    <w:rsid w:val="00C620E4"/>
    <w:rsid w:val="00C73C94"/>
    <w:rsid w:val="00C81DDC"/>
    <w:rsid w:val="00C83A13"/>
    <w:rsid w:val="00C873B1"/>
    <w:rsid w:val="00C9068C"/>
    <w:rsid w:val="00C92450"/>
    <w:rsid w:val="00C92967"/>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3119"/>
    <w:rsid w:val="00D0298E"/>
    <w:rsid w:val="00D14C5F"/>
    <w:rsid w:val="00D20FA2"/>
    <w:rsid w:val="00D33BE3"/>
    <w:rsid w:val="00D3467B"/>
    <w:rsid w:val="00D3792D"/>
    <w:rsid w:val="00D42020"/>
    <w:rsid w:val="00D50729"/>
    <w:rsid w:val="00D548FB"/>
    <w:rsid w:val="00D55E47"/>
    <w:rsid w:val="00D62E19"/>
    <w:rsid w:val="00D67CD1"/>
    <w:rsid w:val="00D71B65"/>
    <w:rsid w:val="00D72D08"/>
    <w:rsid w:val="00D7313C"/>
    <w:rsid w:val="00D731B7"/>
    <w:rsid w:val="00D738D6"/>
    <w:rsid w:val="00D7517D"/>
    <w:rsid w:val="00D7732A"/>
    <w:rsid w:val="00D80795"/>
    <w:rsid w:val="00D83AED"/>
    <w:rsid w:val="00D84D78"/>
    <w:rsid w:val="00D854BE"/>
    <w:rsid w:val="00D86637"/>
    <w:rsid w:val="00D87E00"/>
    <w:rsid w:val="00D910DC"/>
    <w:rsid w:val="00D9134D"/>
    <w:rsid w:val="00D946DC"/>
    <w:rsid w:val="00D9475B"/>
    <w:rsid w:val="00D96009"/>
    <w:rsid w:val="00D96D11"/>
    <w:rsid w:val="00DA1A6F"/>
    <w:rsid w:val="00DA7A03"/>
    <w:rsid w:val="00DB0DB8"/>
    <w:rsid w:val="00DB1818"/>
    <w:rsid w:val="00DC309B"/>
    <w:rsid w:val="00DC4DA2"/>
    <w:rsid w:val="00DC5261"/>
    <w:rsid w:val="00DD1E64"/>
    <w:rsid w:val="00DE1AEF"/>
    <w:rsid w:val="00DE25D2"/>
    <w:rsid w:val="00DE4ED2"/>
    <w:rsid w:val="00DE528C"/>
    <w:rsid w:val="00E12375"/>
    <w:rsid w:val="00E17D98"/>
    <w:rsid w:val="00E3119E"/>
    <w:rsid w:val="00E36694"/>
    <w:rsid w:val="00E42E82"/>
    <w:rsid w:val="00E46C08"/>
    <w:rsid w:val="00E471CF"/>
    <w:rsid w:val="00E542F8"/>
    <w:rsid w:val="00E60A1F"/>
    <w:rsid w:val="00E60EEC"/>
    <w:rsid w:val="00E62758"/>
    <w:rsid w:val="00E62835"/>
    <w:rsid w:val="00E64D70"/>
    <w:rsid w:val="00E65E86"/>
    <w:rsid w:val="00E67406"/>
    <w:rsid w:val="00E7513B"/>
    <w:rsid w:val="00E75F40"/>
    <w:rsid w:val="00E77645"/>
    <w:rsid w:val="00E81A22"/>
    <w:rsid w:val="00E83697"/>
    <w:rsid w:val="00EA2E47"/>
    <w:rsid w:val="00EA66C9"/>
    <w:rsid w:val="00EA7930"/>
    <w:rsid w:val="00EB0E7E"/>
    <w:rsid w:val="00EB1B9C"/>
    <w:rsid w:val="00EB3F18"/>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3562C"/>
    <w:rsid w:val="00F37743"/>
    <w:rsid w:val="00F419DC"/>
    <w:rsid w:val="00F43DDE"/>
    <w:rsid w:val="00F54A3D"/>
    <w:rsid w:val="00F54CB0"/>
    <w:rsid w:val="00F551E6"/>
    <w:rsid w:val="00F579CD"/>
    <w:rsid w:val="00F61E47"/>
    <w:rsid w:val="00F62D2A"/>
    <w:rsid w:val="00F6468E"/>
    <w:rsid w:val="00F6507F"/>
    <w:rsid w:val="00F653B8"/>
    <w:rsid w:val="00F71A4C"/>
    <w:rsid w:val="00F71B89"/>
    <w:rsid w:val="00F7353C"/>
    <w:rsid w:val="00F73C72"/>
    <w:rsid w:val="00F76F8F"/>
    <w:rsid w:val="00F85987"/>
    <w:rsid w:val="00F91A9D"/>
    <w:rsid w:val="00F941DF"/>
    <w:rsid w:val="00F944AF"/>
    <w:rsid w:val="00FA0B1D"/>
    <w:rsid w:val="00FA1266"/>
    <w:rsid w:val="00FA6CEF"/>
    <w:rsid w:val="00FB36FA"/>
    <w:rsid w:val="00FB7C54"/>
    <w:rsid w:val="00FC1192"/>
    <w:rsid w:val="00FE2459"/>
    <w:rsid w:val="00FE251B"/>
    <w:rsid w:val="0D584EFA"/>
    <w:rsid w:val="2E4027B2"/>
    <w:rsid w:val="3F823097"/>
    <w:rsid w:val="45426410"/>
    <w:rsid w:val="49DD50FA"/>
    <w:rsid w:val="738A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263F42-0F64-4141-BBA4-E18499C4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unhideWhenUsed="1"/>
    <w:lsdException w:name="annotation reference" w:qFormat="1"/>
    <w:lsdException w:name="List" w:qFormat="1"/>
    <w:lsdException w:name="Title" w:qFormat="1"/>
    <w:lsdException w:name="Default Paragraph Font" w:semiHidden="1" w:uiPriority="1" w:unhideWhenUsed="1"/>
    <w:lsdException w:name="Body Text" w:unhideWhenUsed="1"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宋体"/>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pPr>
      <w:spacing w:line="240" w:lineRule="auto"/>
    </w:pPr>
  </w:style>
  <w:style w:type="paragraph" w:styleId="a5">
    <w:name w:val="Body Text"/>
    <w:basedOn w:val="a"/>
    <w:link w:val="Char1"/>
    <w:unhideWhenUsed/>
    <w:qFormat/>
    <w:pPr>
      <w:spacing w:before="40" w:after="120" w:line="256" w:lineRule="auto"/>
    </w:pPr>
    <w:rPr>
      <w:rFonts w:ascii="Arial" w:eastAsia="MS Mincho" w:hAnsi="Arial"/>
      <w:szCs w:val="24"/>
      <w:lang w:eastAsia="en-GB"/>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a9">
    <w:name w:val="List"/>
    <w:basedOn w:val="a"/>
    <w:qFormat/>
    <w:pPr>
      <w:ind w:left="568" w:hanging="284"/>
    </w:pPr>
  </w:style>
  <w:style w:type="paragraph" w:styleId="aa">
    <w:name w:val="table of figures"/>
    <w:basedOn w:val="a5"/>
    <w:next w:val="a"/>
    <w:uiPriority w:val="99"/>
    <w:unhideWhenUsed/>
    <w:pPr>
      <w:overflowPunct w:val="0"/>
      <w:autoSpaceDE w:val="0"/>
      <w:autoSpaceDN w:val="0"/>
      <w:adjustRightInd w:val="0"/>
      <w:spacing w:before="0" w:line="240" w:lineRule="auto"/>
      <w:ind w:left="1701" w:hanging="1701"/>
    </w:pPr>
    <w:rPr>
      <w:rFonts w:eastAsia="Times New Roman"/>
      <w:b/>
      <w:szCs w:val="20"/>
      <w:lang w:eastAsia="zh-CN"/>
    </w:rPr>
  </w:style>
  <w:style w:type="paragraph" w:styleId="90">
    <w:name w:val="toc 9"/>
    <w:basedOn w:val="80"/>
    <w:next w:val="a"/>
    <w:semiHidden/>
    <w:qFormat/>
    <w:pPr>
      <w:ind w:left="1418" w:hanging="1418"/>
    </w:pPr>
  </w:style>
  <w:style w:type="paragraph" w:styleId="ab">
    <w:name w:val="Normal (Web)"/>
    <w:basedOn w:val="a"/>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ac">
    <w:name w:val="annotation subject"/>
    <w:basedOn w:val="a4"/>
    <w:next w:val="a4"/>
    <w:link w:val="Char4"/>
    <w:semiHidden/>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99"/>
    <w:qFormat/>
    <w:pPr>
      <w:ind w:left="720"/>
      <w:contextualSpacing/>
    </w:p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批注文字 Char"/>
    <w:basedOn w:val="a0"/>
    <w:link w:val="a4"/>
    <w:qFormat/>
    <w:rPr>
      <w:rFonts w:ascii="Times New Roman" w:hAnsi="Times New Roman"/>
      <w:lang w:val="en-GB"/>
    </w:rPr>
  </w:style>
  <w:style w:type="character" w:customStyle="1" w:styleId="Char4">
    <w:name w:val="批注主题 Char"/>
    <w:basedOn w:val="Char0"/>
    <w:link w:val="ac"/>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1">
    <w:name w:val="正文文本 Char"/>
    <w:basedOn w:val="a0"/>
    <w:link w:val="a5"/>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1"/>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3-e/Docs/R2-2100485.zip" TargetMode="External"/><Relationship Id="rId18" Type="http://schemas.openxmlformats.org/officeDocument/2006/relationships/hyperlink" Target="file:///C:\Users\wolfner\AppData\Local\Temp\7zO030CD691\R2-2100485%20-%20UAC%20parameter%20selection%20for%20NPN.docx" TargetMode="External"/><Relationship Id="rId26" Type="http://schemas.openxmlformats.org/officeDocument/2006/relationships/hyperlink" Target="https://www.3gpp.org/ftp/tsg_ran/WG2_RL2/TSGR2_113-e/Docs/R2-2101850.zip" TargetMode="External"/><Relationship Id="rId3" Type="http://schemas.openxmlformats.org/officeDocument/2006/relationships/customXml" Target="../customXml/item3.xml"/><Relationship Id="rId21" Type="http://schemas.openxmlformats.org/officeDocument/2006/relationships/hyperlink" Target="https://www.3gpp.org/ftp/tsg_ran/WG2_RL2/TSGR2_113-e/Docs/R2-2101715.zip" TargetMode="External"/><Relationship Id="rId7" Type="http://schemas.openxmlformats.org/officeDocument/2006/relationships/styles" Target="styles.xml"/><Relationship Id="rId12" Type="http://schemas.openxmlformats.org/officeDocument/2006/relationships/hyperlink" Target="file:///C:\Data\3GPP\archive\RAN2\RAN2%23112\Tdocs\R2-2010761.zip" TargetMode="External"/><Relationship Id="rId17" Type="http://schemas.openxmlformats.org/officeDocument/2006/relationships/hyperlink" Target="file:///C:\Users\wolfner\AppData\Local\Temp\7zO030CD691\R2-2100485%20-%20UAC%20parameter%20selection%20for%20NPN.docx" TargetMode="External"/><Relationship Id="rId25" Type="http://schemas.openxmlformats.org/officeDocument/2006/relationships/hyperlink" Target="https://www.3gpp.org/ftp/tsg_ran/WG2_RL2/TSGR2_113-e/Docs/R2-2101849.zip" TargetMode="External"/><Relationship Id="rId2" Type="http://schemas.openxmlformats.org/officeDocument/2006/relationships/customXml" Target="../customXml/item2.xml"/><Relationship Id="rId16" Type="http://schemas.openxmlformats.org/officeDocument/2006/relationships/hyperlink" Target="file:///C:\Users\wolfner\AppData\Local\Temp\7zO030CD691\R2-2100485%20-%20UAC%20parameter%20selection%20for%20NPN.docx" TargetMode="External"/><Relationship Id="rId20" Type="http://schemas.openxmlformats.org/officeDocument/2006/relationships/hyperlink" Target="https://www.3gpp.org/ftp/tsg_ran/WG2_RL2/TSGR2_113-e/Docs/R2-2101557.zip" TargetMode="External"/><Relationship Id="rId29" Type="http://schemas.openxmlformats.org/officeDocument/2006/relationships/hyperlink" Target="https://www.3gpp.org/ftp/tsg_ran/WG2_RL2/TSGR2_113-e/Docs/R2-21018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3-e/Docs/R2-210185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olfner\AppData\Local\Temp\7zO030CD691\R2-2100485%20-%20UAC%20parameter%20selection%20for%20NPN.docx" TargetMode="External"/><Relationship Id="rId23" Type="http://schemas.openxmlformats.org/officeDocument/2006/relationships/hyperlink" Target="file:///C:\Data\3GPP\RAN2\Inbox\R2-2001698.zip" TargetMode="External"/><Relationship Id="rId28" Type="http://schemas.openxmlformats.org/officeDocument/2006/relationships/hyperlink" Target="https://www.3gpp.org/ftp/tsg_ran/WG2_RL2/TSGR2_113-e/Docs/R2-2101849.zip" TargetMode="External"/><Relationship Id="rId10" Type="http://schemas.openxmlformats.org/officeDocument/2006/relationships/footnotes" Target="footnotes.xml"/><Relationship Id="rId19" Type="http://schemas.openxmlformats.org/officeDocument/2006/relationships/hyperlink" Target="file:///C:\Users\wolfner\AppData\Local\Temp\7zO030CD691\R2-2100485%20-%20UAC%20parameter%20selection%20for%20NPN.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olfner\AppData\Local\Temp\7zO030CD691\R2-2100485%20-%20UAC%20parameter%20selection%20for%20NPN.docx" TargetMode="External"/><Relationship Id="rId22" Type="http://schemas.openxmlformats.org/officeDocument/2006/relationships/hyperlink" Target="https://www.3gpp.org/ftp/tsg_ran/WG2_RL2/TSGR2_113-e/Docs/R2-2101654.zip" TargetMode="External"/><Relationship Id="rId27" Type="http://schemas.openxmlformats.org/officeDocument/2006/relationships/hyperlink" Target="https://www.3gpp.org/ftp/tsg_ran/WG2_RL2/TSGR2_113-e/Docs/R2-2101852.zip" TargetMode="External"/><Relationship Id="rId30" Type="http://schemas.openxmlformats.org/officeDocument/2006/relationships/hyperlink" Target="https://www.3gpp.org/ftp/tsg_ran/WG2_RL2/TSGR2_113-e/Docs/R2-21018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40A4B42-E485-4AB0-A342-127F8EE9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1756</Words>
  <Characters>10015</Characters>
  <Application>Microsoft Office Word</Application>
  <DocSecurity>0</DocSecurity>
  <Lines>83</Lines>
  <Paragraphs>23</Paragraphs>
  <ScaleCrop>false</ScaleCrop>
  <Company>Nokia</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ZTE(Wenting)</cp:lastModifiedBy>
  <cp:revision>26</cp:revision>
  <dcterms:created xsi:type="dcterms:W3CDTF">2020-11-04T05:48:00Z</dcterms:created>
  <dcterms:modified xsi:type="dcterms:W3CDTF">2021-01-25T08:31:00Z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2052-11.8.2.9022</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1604281342</vt:lpwstr>
  </property>
</Properties>
</file>