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Intended outcome: Endorsable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993"/>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77777777" w:rsidR="004F2A32" w:rsidRDefault="004F2A32" w:rsidP="00BC1502">
            <w:pPr>
              <w:rPr>
                <w:rFonts w:eastAsiaTheme="minorEastAsia"/>
                <w:b/>
              </w:rPr>
            </w:pPr>
          </w:p>
        </w:tc>
        <w:tc>
          <w:tcPr>
            <w:tcW w:w="993" w:type="dxa"/>
          </w:tcPr>
          <w:p w14:paraId="55F7A6CE" w14:textId="77777777" w:rsidR="004F2A32" w:rsidRDefault="004F2A32" w:rsidP="00BC1502">
            <w:pPr>
              <w:rPr>
                <w:rFonts w:eastAsiaTheme="minorEastAsia"/>
                <w:b/>
              </w:rPr>
            </w:pPr>
          </w:p>
        </w:tc>
        <w:tc>
          <w:tcPr>
            <w:tcW w:w="6372" w:type="dxa"/>
          </w:tcPr>
          <w:p w14:paraId="18C7149D" w14:textId="77777777" w:rsidR="004F2A32" w:rsidRDefault="004F2A32" w:rsidP="00BC1502">
            <w:pPr>
              <w:rPr>
                <w:rFonts w:eastAsiaTheme="minorEastAsia"/>
                <w:b/>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2" w:name="_Ref60914673"/>
      <w:r>
        <w:rPr>
          <w:sz w:val="22"/>
          <w:szCs w:val="22"/>
        </w:rPr>
        <w:t xml:space="preserve">Question 2: </w:t>
      </w:r>
      <w:bookmarkEnd w:id="2"/>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 xml:space="preserve">(if you disagree, please provide clarifications and </w:t>
            </w:r>
            <w:r w:rsidR="0095411C">
              <w:rPr>
                <w:rFonts w:eastAsiaTheme="minorEastAsia"/>
                <w:b/>
              </w:rPr>
              <w:t>an</w:t>
            </w:r>
            <w:r w:rsidR="0095411C">
              <w:rPr>
                <w:rFonts w:eastAsiaTheme="minorEastAsia"/>
                <w:b/>
              </w:rPr>
              <w:t xml:space="preserve"> alternative proposal)</w:t>
            </w:r>
          </w:p>
        </w:tc>
      </w:tr>
      <w:tr w:rsidR="004F2A32" w14:paraId="1C576DC0" w14:textId="77777777" w:rsidTr="003C0244">
        <w:tc>
          <w:tcPr>
            <w:tcW w:w="2263" w:type="dxa"/>
          </w:tcPr>
          <w:p w14:paraId="2BB5C4E9" w14:textId="77777777" w:rsidR="004F2A32" w:rsidRDefault="004F2A32" w:rsidP="003C0244">
            <w:pPr>
              <w:rPr>
                <w:rFonts w:eastAsiaTheme="minorEastAsia"/>
                <w:b/>
              </w:rPr>
            </w:pPr>
          </w:p>
        </w:tc>
        <w:tc>
          <w:tcPr>
            <w:tcW w:w="993" w:type="dxa"/>
          </w:tcPr>
          <w:p w14:paraId="774FDC15" w14:textId="77777777" w:rsidR="004F2A32" w:rsidRDefault="004F2A32" w:rsidP="003C0244">
            <w:pPr>
              <w:rPr>
                <w:rFonts w:eastAsiaTheme="minorEastAsia"/>
                <w:b/>
              </w:rPr>
            </w:pPr>
          </w:p>
        </w:tc>
        <w:tc>
          <w:tcPr>
            <w:tcW w:w="6372" w:type="dxa"/>
          </w:tcPr>
          <w:p w14:paraId="4DBB0FBC" w14:textId="77777777" w:rsidR="004F2A32" w:rsidRDefault="004F2A32" w:rsidP="003C0244">
            <w:pPr>
              <w:rPr>
                <w:rFonts w:eastAsiaTheme="minorEastAsia"/>
                <w:b/>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lastRenderedPageBreak/>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993"/>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 xml:space="preserve">(if you disagree, please provide clarifications and </w:t>
            </w:r>
            <w:r w:rsidR="0095411C">
              <w:rPr>
                <w:rFonts w:eastAsiaTheme="minorEastAsia"/>
                <w:b/>
              </w:rPr>
              <w:t>an</w:t>
            </w:r>
            <w:r w:rsidR="0095411C">
              <w:rPr>
                <w:rFonts w:eastAsiaTheme="minorEastAsia"/>
                <w:b/>
              </w:rPr>
              <w:t xml:space="preserve"> alternative proposal)</w:t>
            </w:r>
          </w:p>
        </w:tc>
      </w:tr>
      <w:tr w:rsidR="00FA3FC4" w14:paraId="7409B187" w14:textId="77777777" w:rsidTr="003C0244">
        <w:tc>
          <w:tcPr>
            <w:tcW w:w="2263" w:type="dxa"/>
          </w:tcPr>
          <w:p w14:paraId="32773769" w14:textId="77777777" w:rsidR="00FA3FC4" w:rsidRDefault="00FA3FC4" w:rsidP="003C0244">
            <w:pPr>
              <w:rPr>
                <w:rFonts w:eastAsiaTheme="minorEastAsia"/>
                <w:b/>
              </w:rPr>
            </w:pPr>
          </w:p>
        </w:tc>
        <w:tc>
          <w:tcPr>
            <w:tcW w:w="993" w:type="dxa"/>
          </w:tcPr>
          <w:p w14:paraId="22957CE3" w14:textId="77777777" w:rsidR="00FA3FC4" w:rsidRDefault="00FA3FC4" w:rsidP="003C0244">
            <w:pPr>
              <w:rPr>
                <w:rFonts w:eastAsiaTheme="minorEastAsia"/>
                <w:b/>
              </w:rPr>
            </w:pPr>
          </w:p>
        </w:tc>
        <w:tc>
          <w:tcPr>
            <w:tcW w:w="6372" w:type="dxa"/>
          </w:tcPr>
          <w:p w14:paraId="5BE4CFED" w14:textId="77777777" w:rsidR="00FA3FC4" w:rsidRDefault="00FA3FC4" w:rsidP="003C0244">
            <w:pPr>
              <w:rPr>
                <w:rFonts w:eastAsiaTheme="minorEastAsia"/>
                <w:b/>
              </w:rPr>
            </w:pPr>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 xml:space="preserve">(if you disagree, please provide clarifications and </w:t>
            </w:r>
            <w:r w:rsidR="0095411C">
              <w:rPr>
                <w:rFonts w:eastAsiaTheme="minorEastAsia"/>
                <w:b/>
              </w:rPr>
              <w:t>an</w:t>
            </w:r>
            <w:r w:rsidR="0095411C">
              <w:rPr>
                <w:rFonts w:eastAsiaTheme="minorEastAsia"/>
                <w:b/>
              </w:rPr>
              <w:t xml:space="preserve"> alternative proposal)</w:t>
            </w:r>
          </w:p>
        </w:tc>
      </w:tr>
      <w:tr w:rsidR="009F0008" w14:paraId="57B67E8B" w14:textId="77777777" w:rsidTr="003C0244">
        <w:tc>
          <w:tcPr>
            <w:tcW w:w="2263" w:type="dxa"/>
          </w:tcPr>
          <w:p w14:paraId="2F5DA1A0" w14:textId="77777777" w:rsidR="009F0008" w:rsidRDefault="009F0008" w:rsidP="003C0244">
            <w:pPr>
              <w:rPr>
                <w:rFonts w:eastAsiaTheme="minorEastAsia"/>
                <w:b/>
              </w:rPr>
            </w:pPr>
          </w:p>
        </w:tc>
        <w:tc>
          <w:tcPr>
            <w:tcW w:w="993" w:type="dxa"/>
          </w:tcPr>
          <w:p w14:paraId="360E37CA" w14:textId="77777777" w:rsidR="009F0008" w:rsidRDefault="009F0008" w:rsidP="003C0244">
            <w:pPr>
              <w:rPr>
                <w:rFonts w:eastAsiaTheme="minorEastAsia"/>
                <w:b/>
              </w:rPr>
            </w:pPr>
          </w:p>
        </w:tc>
        <w:tc>
          <w:tcPr>
            <w:tcW w:w="6372" w:type="dxa"/>
          </w:tcPr>
          <w:p w14:paraId="5A7F10DB" w14:textId="77777777" w:rsidR="009F0008" w:rsidRDefault="009F0008" w:rsidP="003C0244">
            <w:pPr>
              <w:rPr>
                <w:rFonts w:eastAsiaTheme="minorEastAsia"/>
                <w:b/>
              </w:rPr>
            </w:pPr>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lastRenderedPageBreak/>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 xml:space="preserve">(if you disagree, please provide clarifications and </w:t>
            </w:r>
            <w:r w:rsidR="00344871">
              <w:rPr>
                <w:rFonts w:eastAsiaTheme="minorEastAsia"/>
                <w:b/>
              </w:rPr>
              <w:t>an</w:t>
            </w:r>
            <w:r w:rsidR="00344871">
              <w:rPr>
                <w:rFonts w:eastAsiaTheme="minorEastAsia"/>
                <w:b/>
              </w:rPr>
              <w:t xml:space="preserve"> alternative proposal)</w:t>
            </w:r>
          </w:p>
        </w:tc>
      </w:tr>
      <w:tr w:rsidR="00CE4533" w14:paraId="24B0E44C" w14:textId="77777777" w:rsidTr="00D04025">
        <w:tc>
          <w:tcPr>
            <w:tcW w:w="2263" w:type="dxa"/>
          </w:tcPr>
          <w:p w14:paraId="0CDC1E82" w14:textId="77777777" w:rsidR="00CE4533" w:rsidRDefault="00CE4533" w:rsidP="00D04025">
            <w:pPr>
              <w:rPr>
                <w:rFonts w:eastAsiaTheme="minorEastAsia"/>
                <w:b/>
              </w:rPr>
            </w:pPr>
          </w:p>
        </w:tc>
        <w:tc>
          <w:tcPr>
            <w:tcW w:w="993" w:type="dxa"/>
          </w:tcPr>
          <w:p w14:paraId="738B1A2B" w14:textId="77777777" w:rsidR="00CE4533" w:rsidRDefault="00CE4533" w:rsidP="00D04025">
            <w:pPr>
              <w:rPr>
                <w:rFonts w:eastAsiaTheme="minorEastAsia"/>
                <w:b/>
              </w:rPr>
            </w:pPr>
          </w:p>
        </w:tc>
        <w:tc>
          <w:tcPr>
            <w:tcW w:w="6372" w:type="dxa"/>
          </w:tcPr>
          <w:p w14:paraId="3A77E59F" w14:textId="77777777" w:rsidR="00CE4533" w:rsidRDefault="00CE4533" w:rsidP="00D04025">
            <w:pPr>
              <w:rPr>
                <w:rFonts w:eastAsiaTheme="minorEastAsia"/>
                <w:b/>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77777777" w:rsidR="00CE4533" w:rsidRDefault="00CE4533" w:rsidP="00D04025">
            <w:pPr>
              <w:rPr>
                <w:rFonts w:eastAsiaTheme="minorEastAsia"/>
                <w:b/>
              </w:rPr>
            </w:pPr>
          </w:p>
        </w:tc>
        <w:tc>
          <w:tcPr>
            <w:tcW w:w="993" w:type="dxa"/>
          </w:tcPr>
          <w:p w14:paraId="5F4AA0A1" w14:textId="77777777" w:rsidR="00CE4533" w:rsidRDefault="00CE4533" w:rsidP="00D04025">
            <w:pPr>
              <w:rPr>
                <w:rFonts w:eastAsiaTheme="minorEastAsia"/>
                <w:b/>
              </w:rPr>
            </w:pPr>
          </w:p>
        </w:tc>
        <w:tc>
          <w:tcPr>
            <w:tcW w:w="6372" w:type="dxa"/>
          </w:tcPr>
          <w:p w14:paraId="4D013500" w14:textId="77777777" w:rsidR="00CE4533" w:rsidRDefault="00CE4533" w:rsidP="00D04025">
            <w:pPr>
              <w:rPr>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3"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3"/>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lastRenderedPageBreak/>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77777777" w:rsidR="00C60CE6" w:rsidRDefault="00C60CE6" w:rsidP="00D04025">
            <w:pPr>
              <w:rPr>
                <w:rFonts w:eastAsiaTheme="minorEastAsia"/>
                <w:b/>
              </w:rPr>
            </w:pPr>
          </w:p>
        </w:tc>
        <w:tc>
          <w:tcPr>
            <w:tcW w:w="993" w:type="dxa"/>
          </w:tcPr>
          <w:p w14:paraId="3EFD4FFA" w14:textId="77777777" w:rsidR="00C60CE6" w:rsidRDefault="00C60CE6" w:rsidP="00D04025">
            <w:pPr>
              <w:rPr>
                <w:rFonts w:eastAsiaTheme="minorEastAsia"/>
                <w:b/>
              </w:rPr>
            </w:pPr>
          </w:p>
        </w:tc>
        <w:tc>
          <w:tcPr>
            <w:tcW w:w="6372" w:type="dxa"/>
          </w:tcPr>
          <w:p w14:paraId="16F1FF17" w14:textId="77777777" w:rsidR="00C60CE6" w:rsidRDefault="00C60CE6" w:rsidP="00D04025">
            <w:pPr>
              <w:rPr>
                <w:rFonts w:eastAsiaTheme="minorEastAsia"/>
                <w:b/>
              </w:rPr>
            </w:pPr>
          </w:p>
        </w:tc>
      </w:tr>
      <w:tr w:rsidR="00830695" w14:paraId="2A538439" w14:textId="77777777" w:rsidTr="00D04025">
        <w:tc>
          <w:tcPr>
            <w:tcW w:w="2263" w:type="dxa"/>
          </w:tcPr>
          <w:p w14:paraId="2C60A129" w14:textId="77777777" w:rsidR="00830695" w:rsidRDefault="00830695" w:rsidP="00D04025">
            <w:pPr>
              <w:rPr>
                <w:rFonts w:eastAsiaTheme="minorEastAsia"/>
                <w:b/>
              </w:rPr>
            </w:pPr>
          </w:p>
        </w:tc>
        <w:tc>
          <w:tcPr>
            <w:tcW w:w="993" w:type="dxa"/>
          </w:tcPr>
          <w:p w14:paraId="12136290" w14:textId="77777777" w:rsidR="00830695" w:rsidRDefault="00830695" w:rsidP="00D04025">
            <w:pPr>
              <w:rPr>
                <w:rFonts w:eastAsiaTheme="minorEastAsia"/>
                <w:b/>
              </w:rPr>
            </w:pPr>
          </w:p>
        </w:tc>
        <w:tc>
          <w:tcPr>
            <w:tcW w:w="6372" w:type="dxa"/>
          </w:tcPr>
          <w:p w14:paraId="0CB8D86D" w14:textId="77777777" w:rsidR="00830695" w:rsidRDefault="00830695" w:rsidP="00D04025">
            <w:pPr>
              <w:rPr>
                <w:rFonts w:eastAsiaTheme="minorEastAsia"/>
                <w:b/>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980"/>
        <w:gridCol w:w="4111"/>
        <w:gridCol w:w="4110"/>
        <w:gridCol w:w="4359"/>
      </w:tblGrid>
      <w:tr w:rsidR="001D7108" w14:paraId="3B571A5D" w14:textId="77777777" w:rsidTr="001D7108">
        <w:tc>
          <w:tcPr>
            <w:tcW w:w="1980" w:type="dxa"/>
          </w:tcPr>
          <w:p w14:paraId="0A3F5477" w14:textId="477D7969" w:rsidR="001D7108" w:rsidRDefault="001D7108" w:rsidP="001D7108">
            <w:pPr>
              <w:jc w:val="left"/>
              <w:rPr>
                <w:b/>
              </w:rPr>
            </w:pPr>
            <w:r>
              <w:rPr>
                <w:b/>
              </w:rPr>
              <w:t>Company</w:t>
            </w:r>
          </w:p>
        </w:tc>
        <w:tc>
          <w:tcPr>
            <w:tcW w:w="4111" w:type="dxa"/>
          </w:tcPr>
          <w:p w14:paraId="3A982116" w14:textId="7A57D82E" w:rsidR="001D7108" w:rsidRDefault="001D7108" w:rsidP="001D7108">
            <w:pPr>
              <w:jc w:val="left"/>
              <w:rPr>
                <w:b/>
              </w:rPr>
            </w:pPr>
            <w:r>
              <w:rPr>
                <w:b/>
              </w:rPr>
              <w:t>Issue / problematic fragment</w:t>
            </w:r>
          </w:p>
        </w:tc>
        <w:tc>
          <w:tcPr>
            <w:tcW w:w="4110" w:type="dxa"/>
          </w:tcPr>
          <w:p w14:paraId="793A2A3F" w14:textId="74BE2541" w:rsidR="001D7108" w:rsidRDefault="001D7108" w:rsidP="001D7108">
            <w:pPr>
              <w:jc w:val="left"/>
              <w:rPr>
                <w:b/>
              </w:rPr>
            </w:pPr>
            <w:r>
              <w:rPr>
                <w:b/>
              </w:rPr>
              <w:t>Clarification of the concern</w:t>
            </w:r>
          </w:p>
        </w:tc>
        <w:tc>
          <w:tcPr>
            <w:tcW w:w="4359"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1D7108">
        <w:tc>
          <w:tcPr>
            <w:tcW w:w="1980" w:type="dxa"/>
          </w:tcPr>
          <w:p w14:paraId="179B35B5" w14:textId="77777777" w:rsidR="001D7108" w:rsidRDefault="001D7108" w:rsidP="00C60CE6">
            <w:pPr>
              <w:rPr>
                <w:b/>
              </w:rPr>
            </w:pPr>
          </w:p>
        </w:tc>
        <w:tc>
          <w:tcPr>
            <w:tcW w:w="4111" w:type="dxa"/>
          </w:tcPr>
          <w:p w14:paraId="38682504" w14:textId="77777777" w:rsidR="001D7108" w:rsidRDefault="001D7108" w:rsidP="00C60CE6">
            <w:pPr>
              <w:rPr>
                <w:b/>
              </w:rPr>
            </w:pPr>
          </w:p>
        </w:tc>
        <w:tc>
          <w:tcPr>
            <w:tcW w:w="4110" w:type="dxa"/>
          </w:tcPr>
          <w:p w14:paraId="0E60D024" w14:textId="77777777" w:rsidR="001D7108" w:rsidRDefault="001D7108" w:rsidP="00C60CE6">
            <w:pPr>
              <w:rPr>
                <w:b/>
              </w:rPr>
            </w:pPr>
          </w:p>
        </w:tc>
        <w:tc>
          <w:tcPr>
            <w:tcW w:w="4359" w:type="dxa"/>
          </w:tcPr>
          <w:p w14:paraId="331DA5B5" w14:textId="77777777" w:rsidR="001D7108" w:rsidRDefault="001D7108" w:rsidP="00C60CE6">
            <w:pPr>
              <w:rPr>
                <w:b/>
              </w:rPr>
            </w:pPr>
          </w:p>
        </w:tc>
      </w:tr>
      <w:tr w:rsidR="001D7108" w14:paraId="375D583F" w14:textId="77777777" w:rsidTr="001D7108">
        <w:tc>
          <w:tcPr>
            <w:tcW w:w="1980" w:type="dxa"/>
          </w:tcPr>
          <w:p w14:paraId="070D0286" w14:textId="77777777" w:rsidR="001D7108" w:rsidRDefault="001D7108" w:rsidP="00C60CE6">
            <w:pPr>
              <w:rPr>
                <w:b/>
              </w:rPr>
            </w:pPr>
          </w:p>
        </w:tc>
        <w:tc>
          <w:tcPr>
            <w:tcW w:w="4111" w:type="dxa"/>
          </w:tcPr>
          <w:p w14:paraId="19268EAC" w14:textId="77777777" w:rsidR="001D7108" w:rsidRDefault="001D7108" w:rsidP="00C60CE6">
            <w:pPr>
              <w:rPr>
                <w:b/>
              </w:rPr>
            </w:pPr>
          </w:p>
        </w:tc>
        <w:tc>
          <w:tcPr>
            <w:tcW w:w="4110" w:type="dxa"/>
          </w:tcPr>
          <w:p w14:paraId="773C149A" w14:textId="77777777" w:rsidR="001D7108" w:rsidRDefault="001D7108" w:rsidP="00C60CE6">
            <w:pPr>
              <w:rPr>
                <w:b/>
              </w:rPr>
            </w:pPr>
          </w:p>
        </w:tc>
        <w:tc>
          <w:tcPr>
            <w:tcW w:w="4359" w:type="dxa"/>
          </w:tcPr>
          <w:p w14:paraId="56EF5A05" w14:textId="77777777" w:rsidR="001D7108" w:rsidRDefault="001D7108" w:rsidP="00C60CE6">
            <w:pPr>
              <w:rPr>
                <w:b/>
              </w:rPr>
            </w:pP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bookmarkStart w:id="4" w:name="_GoBack"/>
      <w:bookmarkEnd w:id="4"/>
    </w:p>
    <w:p w14:paraId="2AA0DD2E" w14:textId="09CD86FA" w:rsidR="000240AF" w:rsidRPr="00FB7850" w:rsidRDefault="0059182F" w:rsidP="00220301">
      <w:pPr>
        <w:pStyle w:val="Heading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3A8A1" w14:textId="77777777" w:rsidR="00B9010F" w:rsidRDefault="00B9010F">
      <w:r>
        <w:separator/>
      </w:r>
    </w:p>
    <w:p w14:paraId="15D917C2" w14:textId="77777777" w:rsidR="00B9010F" w:rsidRDefault="00B9010F"/>
  </w:endnote>
  <w:endnote w:type="continuationSeparator" w:id="0">
    <w:p w14:paraId="4745B18E" w14:textId="77777777" w:rsidR="00B9010F" w:rsidRDefault="00B9010F">
      <w:r>
        <w:continuationSeparator/>
      </w:r>
    </w:p>
    <w:p w14:paraId="57B9813B" w14:textId="77777777" w:rsidR="00B9010F" w:rsidRDefault="00B90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77777777" w:rsidR="003C0244" w:rsidRDefault="003C0244">
    <w:pPr>
      <w:pStyle w:val="Footer"/>
      <w:jc w:val="right"/>
    </w:pPr>
    <w:r>
      <w:fldChar w:fldCharType="begin"/>
    </w:r>
    <w:r>
      <w:instrText xml:space="preserve"> PAGE   \* MERGEFORMAT </w:instrText>
    </w:r>
    <w:r>
      <w:fldChar w:fldCharType="separate"/>
    </w:r>
    <w:r w:rsidR="00F515AD">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DF08D" w14:textId="77777777" w:rsidR="00B9010F" w:rsidRDefault="00B9010F">
      <w:r>
        <w:separator/>
      </w:r>
    </w:p>
    <w:p w14:paraId="32624909" w14:textId="77777777" w:rsidR="00B9010F" w:rsidRDefault="00B9010F"/>
  </w:footnote>
  <w:footnote w:type="continuationSeparator" w:id="0">
    <w:p w14:paraId="1F606CEB" w14:textId="77777777" w:rsidR="00B9010F" w:rsidRDefault="00B9010F">
      <w:r>
        <w:continuationSeparator/>
      </w:r>
    </w:p>
    <w:p w14:paraId="513F2D71" w14:textId="77777777" w:rsidR="00B9010F" w:rsidRDefault="00B901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5"/>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4"/>
  </w:num>
  <w:num w:numId="13">
    <w:abstractNumId w:val="19"/>
  </w:num>
  <w:num w:numId="14">
    <w:abstractNumId w:val="2"/>
  </w:num>
  <w:num w:numId="15">
    <w:abstractNumId w:val="32"/>
  </w:num>
  <w:num w:numId="16">
    <w:abstractNumId w:val="26"/>
  </w:num>
  <w:num w:numId="17">
    <w:abstractNumId w:val="22"/>
  </w:num>
  <w:num w:numId="18">
    <w:abstractNumId w:val="46"/>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lvlOverride w:ilvl="0"/>
    <w:lvlOverride w:ilvl="1"/>
    <w:lvlOverride w:ilvl="2"/>
    <w:lvlOverride w:ilvl="3"/>
    <w:lvlOverride w:ilvl="4"/>
    <w:lvlOverride w:ilvl="5"/>
    <w:lvlOverride w:ilvl="6"/>
    <w:lvlOverride w:ilvl="7"/>
    <w:lvlOverride w:ilvl="8"/>
  </w:num>
  <w:num w:numId="45">
    <w:abstractNumId w:val="28"/>
  </w:num>
  <w:num w:numId="46">
    <w:abstractNumId w:val="7"/>
  </w:num>
  <w:num w:numId="47">
    <w:abstractNumId w:val="20"/>
  </w:num>
  <w:num w:numId="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EB2F-1944-468E-8743-33FABA0C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Huawei</cp:lastModifiedBy>
  <cp:revision>26</cp:revision>
  <cp:lastPrinted>2019-02-06T17:41:00Z</cp:lastPrinted>
  <dcterms:created xsi:type="dcterms:W3CDTF">2021-01-14T13:29:00Z</dcterms:created>
  <dcterms:modified xsi:type="dcterms:W3CDTF">2021-01-26T22:40:00Z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