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114][</w:t>
      </w:r>
      <w:proofErr w:type="gramEnd"/>
      <w:r w:rsidR="002F69E0" w:rsidRPr="002F69E0">
        <w:rPr>
          <w:rFonts w:cs="Arial"/>
          <w:sz w:val="22"/>
          <w:szCs w:val="22"/>
        </w:rPr>
        <w:t>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69A88CA0" w14:textId="77777777"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Hyperlink"/>
          </w:rPr>
          <w:t>R2-2009364</w:t>
        </w:r>
      </w:hyperlink>
      <w:r>
        <w:t xml:space="preserve">, apart those on </w:t>
      </w:r>
      <w:proofErr w:type="spellStart"/>
      <w:r>
        <w:t>eDRX</w:t>
      </w:r>
      <w:proofErr w:type="spellEnd"/>
      <w:r>
        <w:t xml:space="preserve">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[Post111-e][</w:t>
      </w:r>
      <w:proofErr w:type="gramStart"/>
      <w:r>
        <w:t>915][</w:t>
      </w:r>
      <w:proofErr w:type="gramEnd"/>
      <w:r>
        <w:t xml:space="preserve">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69096DD" w14:textId="77777777" w:rsidR="00C06AE7" w:rsidRPr="00C06AE7" w:rsidRDefault="003936A2" w:rsidP="00C06AE7">
      <w:pPr>
        <w:pStyle w:val="Heading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 xml:space="preserve">to extend the </w:t>
            </w:r>
            <w:proofErr w:type="spellStart"/>
            <w:r>
              <w:rPr>
                <w:b/>
              </w:rPr>
              <w:t>eDRX</w:t>
            </w:r>
            <w:proofErr w:type="spellEnd"/>
            <w:r>
              <w:rPr>
                <w:b/>
              </w:rPr>
              <w:t xml:space="preserve">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w:t>
            </w:r>
            <w:proofErr w:type="spellStart"/>
            <w:r w:rsidRPr="0001126A">
              <w:rPr>
                <w:color w:val="002060"/>
              </w:rPr>
              <w:t>eDRX</w:t>
            </w:r>
            <w:proofErr w:type="spellEnd"/>
            <w:r w:rsidRPr="0001126A">
              <w:rPr>
                <w:color w:val="002060"/>
              </w:rPr>
              <w:t xml:space="preserve">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xml:space="preserve">, which may not be as loose as NB-IoT and </w:t>
            </w:r>
            <w:proofErr w:type="spellStart"/>
            <w:r w:rsidRPr="0001126A">
              <w:rPr>
                <w:color w:val="002060"/>
              </w:rPr>
              <w:t>eMTC</w:t>
            </w:r>
            <w:proofErr w:type="spellEnd"/>
            <w:r w:rsidRPr="0001126A">
              <w:rPr>
                <w:color w:val="002060"/>
              </w:rPr>
              <w:t xml:space="preserve">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proofErr w:type="spellStart"/>
            <w:r w:rsidRPr="0001126A">
              <w:rPr>
                <w:color w:val="002060"/>
              </w:rPr>
              <w:t>eDRX</w:t>
            </w:r>
            <w:proofErr w:type="spellEnd"/>
            <w:r w:rsidRPr="0001126A">
              <w:rPr>
                <w:color w:val="002060"/>
              </w:rPr>
              <w:t xml:space="preserve">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 xml:space="preserve">Proposal 2: The </w:t>
            </w:r>
            <w:proofErr w:type="spellStart"/>
            <w:r w:rsidRPr="0001126A">
              <w:rPr>
                <w:b/>
                <w:color w:val="002060"/>
              </w:rPr>
              <w:t>eDRX</w:t>
            </w:r>
            <w:proofErr w:type="spellEnd"/>
            <w:r w:rsidRPr="0001126A">
              <w:rPr>
                <w:b/>
                <w:color w:val="002060"/>
              </w:rPr>
              <w:t xml:space="preserve">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 xml:space="preserve">to extend the </w:t>
            </w:r>
            <w:proofErr w:type="spellStart"/>
            <w:r>
              <w:rPr>
                <w:b/>
              </w:rPr>
              <w:t>eDRX</w:t>
            </w:r>
            <w:proofErr w:type="spellEnd"/>
            <w:r>
              <w:rPr>
                <w:b/>
              </w:rPr>
              <w:t xml:space="preserve">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w:t>
            </w:r>
            <w:proofErr w:type="spellStart"/>
            <w:r w:rsidRPr="0001126A">
              <w:rPr>
                <w:b/>
                <w:color w:val="002060"/>
              </w:rPr>
              <w:t>eDRX</w:t>
            </w:r>
            <w:proofErr w:type="spellEnd"/>
            <w:r w:rsidRPr="0001126A">
              <w:rPr>
                <w:b/>
                <w:color w:val="002060"/>
              </w:rPr>
              <w:t xml:space="preserve">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r w:rsidR="00933CCC">
              <w:rPr>
                <w:rFonts w:eastAsiaTheme="minorEastAsia"/>
                <w:lang w:eastAsia="zh-CN"/>
              </w:rPr>
              <w:t xml:space="preserve">is not intended for the same use cases as </w:t>
            </w:r>
            <w:proofErr w:type="spellStart"/>
            <w:r w:rsidR="00933CCC">
              <w:rPr>
                <w:rFonts w:eastAsiaTheme="minorEastAsia"/>
                <w:lang w:eastAsia="zh-CN"/>
              </w:rPr>
              <w:t>eMTC</w:t>
            </w:r>
            <w:proofErr w:type="spellEnd"/>
            <w:r w:rsidR="00933CCC">
              <w:rPr>
                <w:rFonts w:eastAsiaTheme="minorEastAsia"/>
                <w:lang w:eastAsia="zh-CN"/>
              </w:rPr>
              <w:t xml:space="preserve">/NB-IoT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w:t>
            </w:r>
            <w:proofErr w:type="spellStart"/>
            <w:r w:rsidR="00F9606F">
              <w:rPr>
                <w:rFonts w:eastAsiaTheme="minorEastAsia"/>
                <w:lang w:eastAsia="zh-CN"/>
              </w:rPr>
              <w:t>eDRX</w:t>
            </w:r>
            <w:proofErr w:type="spellEnd"/>
            <w:r w:rsidR="00F9606F">
              <w:rPr>
                <w:rFonts w:eastAsiaTheme="minorEastAsia"/>
                <w:lang w:eastAsia="zh-CN"/>
              </w:rPr>
              <w:t xml:space="preserve">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add 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xml:space="preserve">, especially those for </w:t>
            </w:r>
            <w:r w:rsidR="00336462">
              <w:rPr>
                <w:rFonts w:eastAsiaTheme="minorEastAsia"/>
                <w:lang w:eastAsia="zh-CN"/>
              </w:rPr>
              <w:lastRenderedPageBreak/>
              <w:t>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w:t>
            </w:r>
            <w:proofErr w:type="gramStart"/>
            <w:r>
              <w:t xml:space="preserve">“ </w:t>
            </w:r>
            <w:r w:rsidRPr="00A12A92">
              <w:rPr>
                <w:b/>
                <w:bCs/>
              </w:rPr>
              <w:t>“</w:t>
            </w:r>
            <w:proofErr w:type="gramEnd"/>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wearables),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2640AD" w14:paraId="6AB3722A" w14:textId="77777777" w:rsidTr="002640AD">
        <w:tc>
          <w:tcPr>
            <w:tcW w:w="1368" w:type="dxa"/>
          </w:tcPr>
          <w:p w14:paraId="5389038A" w14:textId="77777777" w:rsidR="002640AD" w:rsidRPr="002A4140" w:rsidRDefault="002640AD" w:rsidP="00BF613B">
            <w:pPr>
              <w:spacing w:before="120"/>
              <w:jc w:val="both"/>
            </w:pPr>
          </w:p>
        </w:tc>
        <w:tc>
          <w:tcPr>
            <w:tcW w:w="990" w:type="dxa"/>
          </w:tcPr>
          <w:p w14:paraId="4A59AD82" w14:textId="77777777" w:rsidR="002640AD" w:rsidRDefault="002640AD" w:rsidP="00BF613B">
            <w:pPr>
              <w:spacing w:before="120"/>
              <w:jc w:val="both"/>
              <w:rPr>
                <w:rFonts w:eastAsiaTheme="minorEastAsia"/>
                <w:lang w:eastAsia="zh-CN"/>
              </w:rPr>
            </w:pPr>
          </w:p>
        </w:tc>
        <w:tc>
          <w:tcPr>
            <w:tcW w:w="6264" w:type="dxa"/>
          </w:tcPr>
          <w:p w14:paraId="6D622F0A" w14:textId="77777777" w:rsidR="002640AD" w:rsidRPr="00386E57" w:rsidRDefault="002640AD" w:rsidP="00BF613B">
            <w:pPr>
              <w:spacing w:before="120"/>
              <w:jc w:val="both"/>
            </w:pPr>
          </w:p>
        </w:tc>
      </w:tr>
    </w:tbl>
    <w:p w14:paraId="012FA5E1" w14:textId="77777777" w:rsidR="00324B08" w:rsidRPr="00324B08" w:rsidRDefault="00324B08" w:rsidP="006D47D2">
      <w:pPr>
        <w:rPr>
          <w:lang w:val="en-GB"/>
        </w:rPr>
      </w:pPr>
    </w:p>
    <w:p w14:paraId="1BFB5C71" w14:textId="77777777" w:rsidR="00EB05E2" w:rsidRPr="00C06AE7" w:rsidRDefault="00EB05E2" w:rsidP="00EB05E2">
      <w:pPr>
        <w:pStyle w:val="Heading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 xml:space="preserve">Do you agree the lowest value of </w:t>
            </w:r>
            <w:proofErr w:type="spellStart"/>
            <w:r w:rsidRPr="00464728">
              <w:rPr>
                <w:b/>
              </w:rPr>
              <w:t>eDRX</w:t>
            </w:r>
            <w:proofErr w:type="spellEnd"/>
            <w:r w:rsidRPr="00464728">
              <w:rPr>
                <w:b/>
              </w:rPr>
              <w:t xml:space="preserve">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w:t>
            </w:r>
            <w:proofErr w:type="spellStart"/>
            <w:r w:rsidRPr="00805FE1">
              <w:rPr>
                <w:color w:val="002060"/>
              </w:rPr>
              <w:t>eDRX</w:t>
            </w:r>
            <w:proofErr w:type="spellEnd"/>
            <w:r w:rsidRPr="00805FE1">
              <w:rPr>
                <w:color w:val="002060"/>
              </w:rPr>
              <w:t xml:space="preserve">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 xml:space="preserve">he lowest value of </w:t>
            </w:r>
            <w:proofErr w:type="spellStart"/>
            <w:r w:rsidR="000B3DD3" w:rsidRPr="00805FE1">
              <w:rPr>
                <w:b/>
                <w:color w:val="002060"/>
              </w:rPr>
              <w:t>eDRX</w:t>
            </w:r>
            <w:proofErr w:type="spellEnd"/>
            <w:r w:rsidR="000B3DD3" w:rsidRPr="00805FE1">
              <w:rPr>
                <w:b/>
                <w:color w:val="002060"/>
              </w:rPr>
              <w:t xml:space="preserve">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w:t>
            </w:r>
            <w:proofErr w:type="spellStart"/>
            <w:r w:rsidRPr="00C16DD9">
              <w:rPr>
                <w:b/>
                <w:color w:val="002060"/>
              </w:rPr>
              <w:t>eDRX</w:t>
            </w:r>
            <w:proofErr w:type="spellEnd"/>
            <w:r w:rsidRPr="00C16DD9">
              <w:rPr>
                <w:b/>
                <w:color w:val="002060"/>
              </w:rPr>
              <w:t xml:space="preserve"> cycle is less than 10.24s, paging monitoring is based on </w:t>
            </w:r>
            <w:proofErr w:type="spellStart"/>
            <w:r w:rsidRPr="00C16DD9">
              <w:rPr>
                <w:b/>
                <w:color w:val="002060"/>
              </w:rPr>
              <w:t>eDRX</w:t>
            </w:r>
            <w:proofErr w:type="spellEnd"/>
            <w:r w:rsidRPr="00C16DD9">
              <w:rPr>
                <w:b/>
                <w:color w:val="002060"/>
              </w:rPr>
              <w:t xml:space="preserve">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 xml:space="preserve">For UE in RRC IDLE and </w:t>
            </w:r>
            <w:proofErr w:type="spellStart"/>
            <w:r w:rsidRPr="00E0730F">
              <w:rPr>
                <w:b/>
                <w:bCs/>
                <w:color w:val="002060"/>
              </w:rPr>
              <w:t>eDRX</w:t>
            </w:r>
            <w:proofErr w:type="spellEnd"/>
            <w:r w:rsidRPr="00E0730F">
              <w:rPr>
                <w:b/>
                <w:bCs/>
                <w:color w:val="002060"/>
              </w:rPr>
              <w:t xml:space="preserve">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 xml:space="preserve">If </w:t>
            </w:r>
            <w:proofErr w:type="spellStart"/>
            <w:r w:rsidRPr="00E0730F">
              <w:rPr>
                <w:b/>
                <w:bCs/>
                <w:color w:val="002060"/>
              </w:rPr>
              <w:t>eDRX</w:t>
            </w:r>
            <w:proofErr w:type="spellEnd"/>
            <w:r w:rsidRPr="00E0730F">
              <w:rPr>
                <w:b/>
                <w:bCs/>
                <w:color w:val="002060"/>
              </w:rPr>
              <w:t xml:space="preserve"> cycle &gt; 10.24s is not supported (</w:t>
            </w:r>
            <w:r>
              <w:rPr>
                <w:b/>
                <w:bCs/>
                <w:color w:val="002060"/>
              </w:rPr>
              <w:t>Proposal #2 is not agreed</w:t>
            </w:r>
            <w:r w:rsidRPr="00E0730F">
              <w:rPr>
                <w:b/>
                <w:bCs/>
                <w:color w:val="002060"/>
              </w:rPr>
              <w:t xml:space="preserve">), paging monitoring is based on </w:t>
            </w:r>
            <w:proofErr w:type="spellStart"/>
            <w:r w:rsidRPr="00E0730F">
              <w:rPr>
                <w:b/>
                <w:bCs/>
                <w:color w:val="002060"/>
              </w:rPr>
              <w:t>eDRX</w:t>
            </w:r>
            <w:proofErr w:type="spellEnd"/>
            <w:r w:rsidRPr="00E0730F">
              <w:rPr>
                <w:b/>
                <w:bCs/>
                <w:color w:val="002060"/>
              </w:rPr>
              <w:t xml:space="preserve"> cycle (taking </w:t>
            </w:r>
            <w:proofErr w:type="spellStart"/>
            <w:r w:rsidRPr="00E0730F">
              <w:rPr>
                <w:b/>
                <w:bCs/>
                <w:color w:val="002060"/>
              </w:rPr>
              <w:t>eDRX</w:t>
            </w:r>
            <w:proofErr w:type="spellEnd"/>
            <w:r w:rsidRPr="00E0730F">
              <w:rPr>
                <w:b/>
                <w:bCs/>
                <w:color w:val="002060"/>
              </w:rPr>
              <w:t xml:space="preserve">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 xml:space="preserve">If </w:t>
            </w:r>
            <w:proofErr w:type="spellStart"/>
            <w:r w:rsidRPr="00205872">
              <w:rPr>
                <w:b/>
                <w:bCs/>
                <w:color w:val="002060"/>
              </w:rPr>
              <w:t>eDRX</w:t>
            </w:r>
            <w:proofErr w:type="spellEnd"/>
            <w:r w:rsidRPr="00205872">
              <w:rPr>
                <w:b/>
                <w:bCs/>
                <w:color w:val="002060"/>
              </w:rPr>
              <w:t xml:space="preserve"> cycle &gt; 10.24s is suppo</w:t>
            </w:r>
            <w:r>
              <w:rPr>
                <w:b/>
                <w:bCs/>
                <w:color w:val="002060"/>
              </w:rPr>
              <w:t>rted (Proposal #2 is agreed</w:t>
            </w:r>
            <w:r w:rsidRPr="00205872">
              <w:rPr>
                <w:b/>
                <w:bCs/>
                <w:color w:val="002060"/>
              </w:rPr>
              <w:t>), paging monitoring involves PTW, PH, similar to the LTE ‎</w:t>
            </w:r>
            <w:proofErr w:type="spellStart"/>
            <w:r w:rsidRPr="00205872">
              <w:rPr>
                <w:b/>
                <w:bCs/>
                <w:color w:val="002060"/>
              </w:rPr>
              <w:t>eDRX</w:t>
            </w:r>
            <w:proofErr w:type="spellEnd"/>
            <w:r w:rsidRPr="00205872">
              <w:rPr>
                <w:b/>
                <w:bCs/>
                <w:color w:val="002060"/>
              </w:rPr>
              <w:t xml:space="preserve">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w:t>
            </w:r>
            <w:proofErr w:type="spellStart"/>
            <w:r>
              <w:rPr>
                <w:lang w:eastAsia="zh-CN"/>
              </w:rPr>
              <w:t>eDRX</w:t>
            </w:r>
            <w:proofErr w:type="spellEnd"/>
            <w:r>
              <w:rPr>
                <w:lang w:eastAsia="zh-CN"/>
              </w:rPr>
              <w:t xml:space="preserve">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lastRenderedPageBreak/>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w:t>
            </w:r>
            <w:proofErr w:type="spellStart"/>
            <w:r>
              <w:rPr>
                <w:rFonts w:eastAsiaTheme="minorEastAsia"/>
                <w:lang w:eastAsia="zh-CN"/>
              </w:rPr>
              <w:t>eDRX</w:t>
            </w:r>
            <w:proofErr w:type="spellEnd"/>
            <w:r>
              <w:rPr>
                <w:rFonts w:eastAsiaTheme="minorEastAsia"/>
                <w:lang w:eastAsia="zh-CN"/>
              </w:rPr>
              <w:t xml:space="preserve"> with 5.12 sec, BUT, the current specification requires that the UE follows the RAN paging cycle if it is shorter than the UE requested (and NAS agreed) paging cycle. </w:t>
            </w:r>
            <w:proofErr w:type="gramStart"/>
            <w:r>
              <w:rPr>
                <w:rFonts w:eastAsiaTheme="minorEastAsia"/>
                <w:lang w:eastAsia="zh-CN"/>
              </w:rPr>
              <w:t>So</w:t>
            </w:r>
            <w:proofErr w:type="gramEnd"/>
            <w:r>
              <w:rPr>
                <w:rFonts w:eastAsiaTheme="minorEastAsia"/>
                <w:lang w:eastAsia="zh-CN"/>
              </w:rPr>
              <w:t xml:space="preserve">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 xml:space="preserve">While P5 tries to clarify that UE uses the </w:t>
            </w:r>
            <w:proofErr w:type="spellStart"/>
            <w:r>
              <w:rPr>
                <w:rFonts w:eastAsiaTheme="minorEastAsia"/>
                <w:lang w:eastAsia="zh-CN"/>
              </w:rPr>
              <w:t>eDRX</w:t>
            </w:r>
            <w:proofErr w:type="spellEnd"/>
            <w:r>
              <w:rPr>
                <w:rFonts w:eastAsiaTheme="minorEastAsia"/>
                <w:lang w:eastAsia="zh-CN"/>
              </w:rPr>
              <w:t xml:space="preserve">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w:t>
            </w:r>
            <w:proofErr w:type="spellStart"/>
            <w:r>
              <w:rPr>
                <w:rFonts w:eastAsiaTheme="minorEastAsia"/>
                <w:lang w:eastAsia="zh-CN"/>
              </w:rPr>
              <w:t>RedCap</w:t>
            </w:r>
            <w:proofErr w:type="spellEnd"/>
            <w:r>
              <w:rPr>
                <w:rFonts w:eastAsiaTheme="minorEastAsia"/>
                <w:lang w:eastAsia="zh-CN"/>
              </w:rPr>
              <w:t xml:space="preserve"> UEs like wearables, and from this angle 2.56sec </w:t>
            </w:r>
            <w:proofErr w:type="spellStart"/>
            <w:r>
              <w:rPr>
                <w:rFonts w:eastAsiaTheme="minorEastAsia"/>
                <w:lang w:eastAsia="zh-CN"/>
              </w:rPr>
              <w:t>eDRX</w:t>
            </w:r>
            <w:proofErr w:type="spellEnd"/>
            <w:r>
              <w:rPr>
                <w:rFonts w:eastAsiaTheme="minorEastAsia"/>
                <w:lang w:eastAsia="zh-CN"/>
              </w:rPr>
              <w:t xml:space="preserve">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 xml:space="preserve">We think 2.56sec should be part of </w:t>
            </w:r>
            <w:proofErr w:type="spellStart"/>
            <w:r>
              <w:rPr>
                <w:rFonts w:eastAsiaTheme="minorEastAsia"/>
                <w:lang w:eastAsia="zh-CN"/>
              </w:rPr>
              <w:t>eDRX</w:t>
            </w:r>
            <w:proofErr w:type="spellEnd"/>
            <w:r>
              <w:rPr>
                <w:rFonts w:eastAsiaTheme="minorEastAsia"/>
                <w:lang w:eastAsia="zh-CN"/>
              </w:rPr>
              <w:t>,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0B3DD3" w14:paraId="3881384A" w14:textId="77777777" w:rsidTr="00BF613B">
        <w:tc>
          <w:tcPr>
            <w:tcW w:w="1368" w:type="dxa"/>
          </w:tcPr>
          <w:p w14:paraId="03A308B2" w14:textId="77777777" w:rsidR="000B3DD3" w:rsidRDefault="000B3DD3" w:rsidP="00BF613B">
            <w:pPr>
              <w:spacing w:before="120"/>
              <w:jc w:val="both"/>
              <w:rPr>
                <w:rFonts w:eastAsia="SimSun"/>
                <w:lang w:eastAsia="zh-CN"/>
              </w:rPr>
            </w:pPr>
          </w:p>
        </w:tc>
        <w:tc>
          <w:tcPr>
            <w:tcW w:w="990" w:type="dxa"/>
          </w:tcPr>
          <w:p w14:paraId="209157CD" w14:textId="77777777" w:rsidR="000B3DD3" w:rsidRDefault="000B3DD3" w:rsidP="00BF613B">
            <w:pPr>
              <w:spacing w:before="120"/>
              <w:jc w:val="both"/>
              <w:rPr>
                <w:rFonts w:eastAsia="SimSun"/>
                <w:lang w:eastAsia="zh-CN"/>
              </w:rPr>
            </w:pPr>
          </w:p>
        </w:tc>
        <w:tc>
          <w:tcPr>
            <w:tcW w:w="6264" w:type="dxa"/>
          </w:tcPr>
          <w:p w14:paraId="02E223BA" w14:textId="77777777" w:rsidR="000B3DD3" w:rsidRDefault="000B3DD3" w:rsidP="00BF613B">
            <w:pPr>
              <w:spacing w:before="120"/>
              <w:jc w:val="both"/>
            </w:pPr>
          </w:p>
        </w:tc>
      </w:tr>
      <w:tr w:rsidR="000B3DD3" w14:paraId="49B6307A" w14:textId="77777777" w:rsidTr="00BF613B">
        <w:tc>
          <w:tcPr>
            <w:tcW w:w="1368" w:type="dxa"/>
          </w:tcPr>
          <w:p w14:paraId="50593EAF" w14:textId="77777777" w:rsidR="000B3DD3" w:rsidRPr="002A4140" w:rsidRDefault="000B3DD3" w:rsidP="00BF613B">
            <w:pPr>
              <w:spacing w:before="120"/>
              <w:jc w:val="both"/>
            </w:pPr>
          </w:p>
        </w:tc>
        <w:tc>
          <w:tcPr>
            <w:tcW w:w="990" w:type="dxa"/>
          </w:tcPr>
          <w:p w14:paraId="0AC69B37" w14:textId="77777777" w:rsidR="000B3DD3" w:rsidRDefault="000B3DD3" w:rsidP="00BF613B">
            <w:pPr>
              <w:spacing w:before="120"/>
              <w:jc w:val="both"/>
              <w:rPr>
                <w:rFonts w:eastAsiaTheme="minorEastAsia"/>
                <w:lang w:eastAsia="zh-CN"/>
              </w:rPr>
            </w:pPr>
          </w:p>
        </w:tc>
        <w:tc>
          <w:tcPr>
            <w:tcW w:w="6264" w:type="dxa"/>
          </w:tcPr>
          <w:p w14:paraId="003D4614" w14:textId="77777777" w:rsidR="000B3DD3" w:rsidRPr="00386E57" w:rsidRDefault="000B3DD3" w:rsidP="00BF613B">
            <w:pPr>
              <w:spacing w:before="120"/>
              <w:jc w:val="both"/>
            </w:pP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6"/>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w:t>
            </w:r>
            <w:proofErr w:type="gramStart"/>
            <w:r>
              <w:rPr>
                <w:color w:val="002060"/>
              </w:rPr>
              <w:t>companies</w:t>
            </w:r>
            <w:proofErr w:type="gramEnd"/>
            <w:r>
              <w:rPr>
                <w:color w:val="002060"/>
              </w:rPr>
              <w:t xml:space="preserve"> support including all 4 mobility levels in the study. Three companies question whether level 4 is different from what is already considered as low mobility in Rel-16. One company </w:t>
            </w:r>
            <w:proofErr w:type="gramStart"/>
            <w:r>
              <w:rPr>
                <w:color w:val="002060"/>
              </w:rPr>
              <w:t>comments</w:t>
            </w:r>
            <w:proofErr w:type="gramEnd"/>
            <w:r>
              <w:rPr>
                <w:color w:val="002060"/>
              </w:rPr>
              <w:t xml:space="preserve">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 xml:space="preserve">How many relaxation levels would you consider </w:t>
            </w:r>
            <w:proofErr w:type="gramStart"/>
            <w:r>
              <w:rPr>
                <w:b/>
              </w:rPr>
              <w:t>to address</w:t>
            </w:r>
            <w:proofErr w:type="gramEnd"/>
            <w:r>
              <w:rPr>
                <w:b/>
              </w:rPr>
              <w:t xml:space="preserve">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lastRenderedPageBreak/>
              <w:t>More: 0</w:t>
            </w:r>
          </w:p>
          <w:p w14:paraId="0EF7F47A" w14:textId="77777777" w:rsidR="00435A00" w:rsidRDefault="00435A00" w:rsidP="00435A00">
            <w:pPr>
              <w:jc w:val="both"/>
              <w:rPr>
                <w:color w:val="002060"/>
              </w:rPr>
            </w:pPr>
            <w:r>
              <w:rPr>
                <w:color w:val="002060"/>
              </w:rPr>
              <w:t xml:space="preserve">A majority of </w:t>
            </w:r>
            <w:proofErr w:type="gramStart"/>
            <w:r>
              <w:rPr>
                <w:color w:val="002060"/>
              </w:rPr>
              <w:t>companies</w:t>
            </w:r>
            <w:proofErr w:type="gramEnd"/>
            <w:r>
              <w:rPr>
                <w:color w:val="002060"/>
              </w:rPr>
              <w:t xml:space="preserve">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w:t>
            </w:r>
            <w:proofErr w:type="gramStart"/>
            <w:r w:rsidRPr="004F3496">
              <w:rPr>
                <w:rFonts w:eastAsiaTheme="minorEastAsia"/>
                <w:lang w:val="fr-FR" w:eastAsia="zh-CN"/>
              </w:rPr>
              <w:t>1:</w:t>
            </w:r>
            <w:proofErr w:type="gramEnd"/>
            <w:r w:rsidRPr="004F3496">
              <w:rPr>
                <w:rFonts w:eastAsiaTheme="minorEastAsia"/>
                <w:lang w:val="fr-FR" w:eastAsia="zh-CN"/>
              </w:rPr>
              <w:t xml:space="preserve"> </w:t>
            </w:r>
            <w:r w:rsidRPr="004F3496">
              <w:rPr>
                <w:lang w:val="fr-FR"/>
              </w:rPr>
              <w:t>a UE non-</w:t>
            </w:r>
            <w:proofErr w:type="spellStart"/>
            <w:r w:rsidRPr="004F3496">
              <w:rPr>
                <w:lang w:val="fr-FR"/>
              </w:rPr>
              <w:t>mobility</w:t>
            </w:r>
            <w:proofErr w:type="spellEnd"/>
            <w:r w:rsidRPr="004F3496">
              <w:rPr>
                <w:lang w:val="fr-FR"/>
              </w:rPr>
              <w:t xml:space="preserve"> attribution (</w:t>
            </w:r>
            <w:proofErr w:type="spellStart"/>
            <w:r w:rsidRPr="004F3496">
              <w:rPr>
                <w:lang w:val="fr-FR"/>
              </w:rPr>
              <w:t>subscription</w:t>
            </w:r>
            <w:proofErr w:type="spellEnd"/>
            <w:r w:rsidRPr="004F3496">
              <w:rPr>
                <w:lang w:val="fr-FR"/>
              </w:rPr>
              <w:t xml:space="preserve">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0C4A28" w14:paraId="51E56345" w14:textId="77777777" w:rsidTr="00BF613B">
        <w:tc>
          <w:tcPr>
            <w:tcW w:w="1368" w:type="dxa"/>
          </w:tcPr>
          <w:p w14:paraId="42D2A577" w14:textId="77777777" w:rsidR="000C4A28" w:rsidRDefault="000C4A28" w:rsidP="00BF613B">
            <w:pPr>
              <w:spacing w:before="120"/>
              <w:jc w:val="both"/>
              <w:rPr>
                <w:rFonts w:eastAsia="SimSun"/>
                <w:lang w:eastAsia="zh-CN"/>
              </w:rPr>
            </w:pPr>
          </w:p>
        </w:tc>
        <w:tc>
          <w:tcPr>
            <w:tcW w:w="990" w:type="dxa"/>
          </w:tcPr>
          <w:p w14:paraId="26229D26" w14:textId="77777777" w:rsidR="000C4A28" w:rsidRDefault="000C4A28" w:rsidP="00BF613B">
            <w:pPr>
              <w:spacing w:before="120"/>
              <w:jc w:val="both"/>
              <w:rPr>
                <w:rFonts w:eastAsia="SimSun"/>
                <w:lang w:eastAsia="zh-CN"/>
              </w:rPr>
            </w:pPr>
          </w:p>
        </w:tc>
        <w:tc>
          <w:tcPr>
            <w:tcW w:w="6264" w:type="dxa"/>
          </w:tcPr>
          <w:p w14:paraId="18F38942" w14:textId="77777777" w:rsidR="000C4A28" w:rsidRDefault="000C4A28" w:rsidP="00BF613B">
            <w:pPr>
              <w:spacing w:before="120"/>
              <w:jc w:val="both"/>
            </w:pPr>
          </w:p>
        </w:tc>
      </w:tr>
      <w:tr w:rsidR="000C4A28" w14:paraId="487403FB" w14:textId="77777777" w:rsidTr="00BF613B">
        <w:tc>
          <w:tcPr>
            <w:tcW w:w="1368" w:type="dxa"/>
          </w:tcPr>
          <w:p w14:paraId="681E340B" w14:textId="77777777" w:rsidR="000C4A28" w:rsidRPr="002A4140" w:rsidRDefault="000C4A28" w:rsidP="00BF613B">
            <w:pPr>
              <w:spacing w:before="120"/>
              <w:jc w:val="both"/>
            </w:pPr>
          </w:p>
        </w:tc>
        <w:tc>
          <w:tcPr>
            <w:tcW w:w="990" w:type="dxa"/>
          </w:tcPr>
          <w:p w14:paraId="69BF6C00" w14:textId="77777777" w:rsidR="000C4A28" w:rsidRDefault="000C4A28" w:rsidP="00BF613B">
            <w:pPr>
              <w:spacing w:before="120"/>
              <w:jc w:val="both"/>
              <w:rPr>
                <w:rFonts w:eastAsiaTheme="minorEastAsia"/>
                <w:lang w:eastAsia="zh-CN"/>
              </w:rPr>
            </w:pPr>
          </w:p>
        </w:tc>
        <w:tc>
          <w:tcPr>
            <w:tcW w:w="6264" w:type="dxa"/>
          </w:tcPr>
          <w:p w14:paraId="6F9F2C51" w14:textId="77777777" w:rsidR="000C4A28" w:rsidRPr="00386E57" w:rsidRDefault="000C4A28" w:rsidP="00BF613B">
            <w:pPr>
              <w:spacing w:before="120"/>
              <w:jc w:val="both"/>
            </w:pP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thing to decide is whether we introduce any enhancements to R16 RRM relaxation procedure in support of neighbor cells measurement relaxation of REDCAP UEs. </w:t>
      </w:r>
      <w:proofErr w:type="gramStart"/>
      <w:r w:rsidR="00A33D73">
        <w:t>Hence</w:t>
      </w:r>
      <w:proofErr w:type="gramEnd"/>
      <w:r w:rsidR="00A33D73">
        <w:t xml:space="preserv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lastRenderedPageBreak/>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A33D73" w14:paraId="4A7B1C0B" w14:textId="77777777" w:rsidTr="00A33D73">
        <w:tc>
          <w:tcPr>
            <w:tcW w:w="1368" w:type="dxa"/>
          </w:tcPr>
          <w:p w14:paraId="6C5A769E" w14:textId="77777777" w:rsidR="00A33D73" w:rsidRPr="00F06A72" w:rsidRDefault="00A33D73" w:rsidP="00BF613B">
            <w:pPr>
              <w:spacing w:before="120"/>
              <w:jc w:val="both"/>
              <w:rPr>
                <w:rFonts w:eastAsiaTheme="minorEastAsia"/>
                <w:lang w:eastAsia="zh-CN"/>
              </w:rPr>
            </w:pPr>
          </w:p>
        </w:tc>
        <w:tc>
          <w:tcPr>
            <w:tcW w:w="6264" w:type="dxa"/>
          </w:tcPr>
          <w:p w14:paraId="65856B88" w14:textId="77777777" w:rsidR="00A33D73" w:rsidRPr="00F06A72" w:rsidRDefault="00A33D73" w:rsidP="00BF613B">
            <w:pPr>
              <w:spacing w:before="120"/>
              <w:jc w:val="both"/>
              <w:rPr>
                <w:rFonts w:eastAsiaTheme="minorEastAsia"/>
                <w:lang w:eastAsia="zh-CN"/>
              </w:rPr>
            </w:pPr>
          </w:p>
        </w:tc>
      </w:tr>
      <w:tr w:rsidR="00A33D73" w14:paraId="5C2A7BC5" w14:textId="77777777" w:rsidTr="00A33D73">
        <w:tc>
          <w:tcPr>
            <w:tcW w:w="1368" w:type="dxa"/>
          </w:tcPr>
          <w:p w14:paraId="6FEFB174" w14:textId="77777777" w:rsidR="00A33D73" w:rsidRDefault="00A33D73" w:rsidP="00BF613B">
            <w:pPr>
              <w:spacing w:before="120"/>
              <w:jc w:val="both"/>
              <w:rPr>
                <w:rFonts w:eastAsia="SimSun"/>
                <w:lang w:eastAsia="zh-CN"/>
              </w:rPr>
            </w:pPr>
          </w:p>
        </w:tc>
        <w:tc>
          <w:tcPr>
            <w:tcW w:w="6264" w:type="dxa"/>
          </w:tcPr>
          <w:p w14:paraId="597798B7" w14:textId="77777777" w:rsidR="00A33D73" w:rsidRDefault="00A33D73" w:rsidP="00BF613B">
            <w:pPr>
              <w:spacing w:before="120"/>
              <w:jc w:val="both"/>
            </w:pPr>
          </w:p>
        </w:tc>
      </w:tr>
      <w:tr w:rsidR="00A33D73" w14:paraId="5B251C4E" w14:textId="77777777" w:rsidTr="00A33D73">
        <w:tc>
          <w:tcPr>
            <w:tcW w:w="1368" w:type="dxa"/>
          </w:tcPr>
          <w:p w14:paraId="64DB25DB" w14:textId="77777777" w:rsidR="00A33D73" w:rsidRPr="002A4140" w:rsidRDefault="00A33D73" w:rsidP="00BF613B">
            <w:pPr>
              <w:spacing w:before="120"/>
              <w:jc w:val="both"/>
            </w:pPr>
          </w:p>
        </w:tc>
        <w:tc>
          <w:tcPr>
            <w:tcW w:w="6264" w:type="dxa"/>
          </w:tcPr>
          <w:p w14:paraId="464834F9" w14:textId="77777777" w:rsidR="00A33D73" w:rsidRPr="00386E57" w:rsidRDefault="00A33D73" w:rsidP="00BF613B">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w:t>
            </w:r>
            <w:proofErr w:type="gramStart"/>
            <w:r w:rsidR="0063602A">
              <w:rPr>
                <w:color w:val="002060"/>
              </w:rPr>
              <w:lastRenderedPageBreak/>
              <w:t>hand</w:t>
            </w:r>
            <w:proofErr w:type="gramEnd"/>
            <w:r w:rsidR="0063602A">
              <w:rPr>
                <w:color w:val="002060"/>
              </w:rPr>
              <w:t xml:space="preserve">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77777777" w:rsidR="005E45E8" w:rsidRDefault="005E45E8" w:rsidP="000861DA">
      <w:r>
        <w:t xml:space="preserve">In order to progress this </w:t>
      </w:r>
      <w:proofErr w:type="gramStart"/>
      <w:r>
        <w:t>issue</w:t>
      </w:r>
      <w:proofErr w:type="gramEnd"/>
      <w:r>
        <w:t xml:space="preserve"> we can simplify the choice to only two options and check again 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 xml:space="preserve">Option 2: There is no specification impact (and so no RAN2 work) foreseen by relaxing RRM measurements of neighbour cells in RRC_CONNECTED for REDCAP UEs because it is either unnecessary (no benefit) or can be all left </w:t>
      </w:r>
      <w:proofErr w:type="gramStart"/>
      <w:r>
        <w:t>to</w:t>
      </w:r>
      <w:proofErr w:type="gramEnd"/>
      <w:r>
        <w:t xml:space="preserve">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77777777" w:rsidR="001E28ED" w:rsidRDefault="001E28ED" w:rsidP="00BF613B">
            <w:pPr>
              <w:spacing w:before="120"/>
              <w:jc w:val="both"/>
            </w:pPr>
          </w:p>
        </w:tc>
        <w:tc>
          <w:tcPr>
            <w:tcW w:w="900" w:type="dxa"/>
          </w:tcPr>
          <w:p w14:paraId="34A08FD2" w14:textId="77777777" w:rsidR="001E28ED" w:rsidRDefault="001E28ED" w:rsidP="00BF613B">
            <w:pPr>
              <w:spacing w:before="120"/>
              <w:jc w:val="both"/>
              <w:rPr>
                <w:rFonts w:eastAsiaTheme="minorEastAsia"/>
                <w:lang w:eastAsia="zh-CN"/>
              </w:rPr>
            </w:pPr>
          </w:p>
        </w:tc>
        <w:tc>
          <w:tcPr>
            <w:tcW w:w="6354" w:type="dxa"/>
          </w:tcPr>
          <w:p w14:paraId="0EBA3120" w14:textId="77777777" w:rsidR="001E28ED" w:rsidRDefault="001E28ED" w:rsidP="00BF613B">
            <w:pPr>
              <w:spacing w:before="120"/>
              <w:jc w:val="both"/>
              <w:rPr>
                <w:rFonts w:eastAsiaTheme="minorEastAsia"/>
                <w:lang w:eastAsia="zh-CN"/>
              </w:rPr>
            </w:pPr>
          </w:p>
        </w:tc>
      </w:tr>
      <w:tr w:rsidR="001E28ED" w14:paraId="2558688A" w14:textId="77777777" w:rsidTr="00BF613B">
        <w:tc>
          <w:tcPr>
            <w:tcW w:w="1368" w:type="dxa"/>
          </w:tcPr>
          <w:p w14:paraId="204CBFFB" w14:textId="77777777" w:rsidR="001E28ED" w:rsidRDefault="001E28ED" w:rsidP="00BF613B">
            <w:pPr>
              <w:spacing w:before="120"/>
              <w:jc w:val="both"/>
            </w:pPr>
          </w:p>
        </w:tc>
        <w:tc>
          <w:tcPr>
            <w:tcW w:w="900" w:type="dxa"/>
          </w:tcPr>
          <w:p w14:paraId="3B6DB71B" w14:textId="77777777" w:rsidR="001E28ED" w:rsidRDefault="001E28ED" w:rsidP="00BF613B">
            <w:pPr>
              <w:spacing w:before="120"/>
              <w:jc w:val="both"/>
            </w:pPr>
          </w:p>
        </w:tc>
        <w:tc>
          <w:tcPr>
            <w:tcW w:w="6354" w:type="dxa"/>
          </w:tcPr>
          <w:p w14:paraId="7B16661D" w14:textId="77777777" w:rsidR="001E28ED" w:rsidRDefault="001E28ED" w:rsidP="00BF613B">
            <w:pPr>
              <w:spacing w:before="120"/>
              <w:jc w:val="both"/>
            </w:pPr>
          </w:p>
        </w:tc>
      </w:tr>
    </w:tbl>
    <w:p w14:paraId="4BAF2F4D" w14:textId="77777777" w:rsidR="00783FF5" w:rsidRDefault="00783FF5" w:rsidP="00CA2F06">
      <w:pPr>
        <w:pStyle w:val="Heading1"/>
        <w:jc w:val="both"/>
      </w:pPr>
      <w:r>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8"/>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BB964" w14:textId="77777777" w:rsidR="00736326" w:rsidRDefault="00736326">
      <w:r>
        <w:separator/>
      </w:r>
    </w:p>
  </w:endnote>
  <w:endnote w:type="continuationSeparator" w:id="0">
    <w:p w14:paraId="30D68E1F" w14:textId="77777777" w:rsidR="00736326" w:rsidRDefault="00736326">
      <w:r>
        <w:continuationSeparator/>
      </w:r>
    </w:p>
  </w:endnote>
  <w:endnote w:type="continuationNotice" w:id="1">
    <w:p w14:paraId="39410740" w14:textId="77777777" w:rsidR="00736326" w:rsidRDefault="00736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Arial"/>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14809" w14:textId="77777777" w:rsidR="00736326" w:rsidRDefault="00736326">
      <w:r>
        <w:separator/>
      </w:r>
    </w:p>
  </w:footnote>
  <w:footnote w:type="continuationSeparator" w:id="0">
    <w:p w14:paraId="54AABDC7" w14:textId="77777777" w:rsidR="00736326" w:rsidRDefault="00736326">
      <w:r>
        <w:continuationSeparator/>
      </w:r>
    </w:p>
  </w:footnote>
  <w:footnote w:type="continuationNotice" w:id="1">
    <w:p w14:paraId="5D779F92" w14:textId="77777777" w:rsidR="00736326" w:rsidRDefault="007363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773E9-C7BE-48FA-ACDF-2DD7A26C4E44}">
  <ds:schemaRefs>
    <ds:schemaRef ds:uri="http://schemas.openxmlformats.org/officeDocument/2006/bibliography"/>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19D20A0-7E8F-454E-A227-DB254D5A7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7</Pages>
  <Words>2807</Words>
  <Characters>16002</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18772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Apple - Naveen Palle</cp:lastModifiedBy>
  <cp:revision>159</cp:revision>
  <cp:lastPrinted>2007-08-28T14:45:00Z</cp:lastPrinted>
  <dcterms:created xsi:type="dcterms:W3CDTF">2020-11-05T20:24:00Z</dcterms:created>
  <dcterms:modified xsi:type="dcterms:W3CDTF">2020-11-09T00:47:00Z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