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3462D228"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4A599B">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w:t>
      </w:r>
      <w:r w:rsidR="004A599B">
        <w:rPr>
          <w:rFonts w:eastAsia="SimSun"/>
          <w:sz w:val="22"/>
          <w:szCs w:val="22"/>
          <w:lang w:val="en-GB" w:eastAsia="zh-CN"/>
        </w:rPr>
        <w:t>1166</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3CA06AD0"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Summary of offline 114 - RedCap power saving- second round</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29BDCCF5"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2" w:tooltip="C:Data3GPPRAN2InboxR2-2010787.zip" w:history="1">
        <w:r w:rsidRPr="008B1D05">
          <w:rPr>
            <w:rStyle w:val="Hyperlink"/>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R16 NR RRM relaxation procedures are taken as a baseline to study further enhancements of neighbor cells RRM relaxation for REDCAP UEs in RRC IDLE/INACTIVE.</w:t>
      </w:r>
    </w:p>
    <w:p w14:paraId="716C9D55" w14:textId="767E3409"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r w:rsidRPr="00D47D27">
        <w:rPr>
          <w:b/>
        </w:rPr>
        <w:t>eDRX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The lowest value of eDRX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For UE in RRC IDLE and eDRX cycle is equal to 10.24s:</w:t>
      </w:r>
    </w:p>
    <w:p w14:paraId="021BC3ED" w14:textId="77777777" w:rsidR="00B11597" w:rsidRPr="00CD7476" w:rsidRDefault="00B11597" w:rsidP="00B11597">
      <w:pPr>
        <w:pStyle w:val="ListParagraph"/>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p>
    <w:p w14:paraId="7E37FF0F" w14:textId="77777777" w:rsidR="00B11597" w:rsidRPr="00CD7476" w:rsidRDefault="00B11597" w:rsidP="00B11597">
      <w:pPr>
        <w:pStyle w:val="ListParagraph"/>
        <w:numPr>
          <w:ilvl w:val="0"/>
          <w:numId w:val="26"/>
        </w:numPr>
        <w:jc w:val="both"/>
        <w:rPr>
          <w:lang w:eastAsia="zh-CN"/>
        </w:rPr>
      </w:pPr>
      <w:r w:rsidRPr="00CD7476">
        <w:rPr>
          <w:b/>
          <w:bCs/>
        </w:rPr>
        <w:t>If eDRX cycle &gt; 10.24s is supported (Proposal #1 is agreed), paging monitoring involves PTW, PH, similar to the LTE ‎eDRX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Heading1"/>
        <w:jc w:val="both"/>
      </w:pPr>
      <w:r w:rsidRPr="00AA54B6">
        <w:rPr>
          <w:rFonts w:hint="eastAsia"/>
        </w:rPr>
        <w:t>Discussion</w:t>
      </w:r>
    </w:p>
    <w:p w14:paraId="06864402" w14:textId="19E6404C"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00CC2617">
        <w:rPr>
          <w:sz w:val="24"/>
        </w:rPr>
        <w:t>in RRC_IDLE</w:t>
      </w:r>
    </w:p>
    <w:p w14:paraId="724053DF" w14:textId="13E7D2C5" w:rsidR="00AA7D3D" w:rsidRPr="00C06AE7" w:rsidRDefault="00AA7D3D" w:rsidP="00AA7D3D">
      <w:pPr>
        <w:pStyle w:val="Heading3"/>
        <w:rPr>
          <w:sz w:val="22"/>
        </w:rPr>
      </w:pPr>
      <w:r>
        <w:rPr>
          <w:sz w:val="22"/>
        </w:rPr>
        <w:t>Support &gt; 10.24s and associated mechanism</w:t>
      </w:r>
    </w:p>
    <w:p w14:paraId="1B482163" w14:textId="0E91EA67" w:rsidR="00CC2617" w:rsidRDefault="00EC0D3B" w:rsidP="00904883">
      <w:pPr>
        <w:pStyle w:val="BodyText"/>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issues related to eDRX in RRC_IDLE:</w:t>
      </w:r>
    </w:p>
    <w:p w14:paraId="56FFF0FC" w14:textId="7FB88CE4"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BodyText"/>
        <w:numPr>
          <w:ilvl w:val="0"/>
          <w:numId w:val="25"/>
        </w:numPr>
        <w:rPr>
          <w:lang w:eastAsia="zh-CN"/>
        </w:rPr>
      </w:pPr>
      <w:r>
        <w:rPr>
          <w:lang w:eastAsia="zh-CN"/>
        </w:rPr>
        <w:t>What baseline mechanism should be used when NR eDRX cycle is equal to 10.24s?</w:t>
      </w:r>
    </w:p>
    <w:p w14:paraId="61A7D48F" w14:textId="6A83434F" w:rsidR="00762B7A" w:rsidRDefault="00CC2617" w:rsidP="00CC2617">
      <w:pPr>
        <w:pStyle w:val="BodyText"/>
        <w:rPr>
          <w:lang w:eastAsia="zh-CN"/>
        </w:rPr>
      </w:pPr>
      <w:r>
        <w:rPr>
          <w:lang w:eastAsia="zh-CN"/>
        </w:rPr>
        <w:t xml:space="preserve">From the online discussion, it appeared that one company having concerns with extending the eDRX cycle beyond 10.24s </w:t>
      </w:r>
      <w:r w:rsidR="00762B7A">
        <w:rPr>
          <w:lang w:eastAsia="zh-CN"/>
        </w:rPr>
        <w:t>would be OK, as a compromise, if the R16 NR mechanism for monitoring POs (not using PTW, PH) would also be used when eDRX cycle equals 10.24s, while the LTE mechanism (using PTW, PH) would be used for eDRC cycles &gt; 10.24s:</w:t>
      </w:r>
    </w:p>
    <w:tbl>
      <w:tblPr>
        <w:tblStyle w:val="TableGrid"/>
        <w:tblW w:w="0" w:type="auto"/>
        <w:tblLook w:val="04A0" w:firstRow="1" w:lastRow="0" w:firstColumn="1" w:lastColumn="0" w:noHBand="0" w:noVBand="1"/>
      </w:tblPr>
      <w:tblGrid>
        <w:gridCol w:w="8624"/>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QC can accept proposal 1 with the clarification that other eDRX features are only supported for eDRX cycles longer than 10.24s</w:t>
            </w:r>
          </w:p>
        </w:tc>
      </w:tr>
    </w:tbl>
    <w:p w14:paraId="48BA1D58" w14:textId="77777777" w:rsidR="00762B7A" w:rsidRDefault="00762B7A" w:rsidP="00CC2617">
      <w:pPr>
        <w:pStyle w:val="BodyText"/>
        <w:rPr>
          <w:lang w:eastAsia="zh-CN"/>
        </w:rPr>
      </w:pPr>
    </w:p>
    <w:p w14:paraId="58D507DF" w14:textId="31DFB5D1" w:rsidR="00904ED8" w:rsidRDefault="00904ED8" w:rsidP="00CC2617">
      <w:pPr>
        <w:pStyle w:val="BodyText"/>
        <w:rPr>
          <w:lang w:eastAsia="zh-CN"/>
        </w:rPr>
      </w:pPr>
      <w:r>
        <w:rPr>
          <w:lang w:eastAsia="zh-CN"/>
        </w:rPr>
        <w:t>This would allow a UE requesting eDRX cycle always ≤ 10.24s during UE-CN negotiation to not support PTW/PH features.</w:t>
      </w:r>
    </w:p>
    <w:p w14:paraId="339ACE70" w14:textId="7F9BD7A4" w:rsidR="00762B7A" w:rsidRDefault="00762B7A" w:rsidP="00CC2617">
      <w:pPr>
        <w:pStyle w:val="BodyText"/>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ListParagraph"/>
        <w:numPr>
          <w:ilvl w:val="0"/>
          <w:numId w:val="45"/>
        </w:numPr>
        <w:spacing w:before="120"/>
        <w:rPr>
          <w:b/>
        </w:rPr>
      </w:pPr>
      <w:r w:rsidRPr="00762B7A">
        <w:rPr>
          <w:b/>
        </w:rPr>
        <w:t>eDRX cycle extension in RRC_IDLE beyond 10.24s for REDCAP UEs will be studied in this SI/WI.</w:t>
      </w:r>
    </w:p>
    <w:p w14:paraId="5D7DF703" w14:textId="61E8B452" w:rsidR="00762B7A" w:rsidRPr="00762B7A" w:rsidRDefault="00762B7A" w:rsidP="00246E49">
      <w:pPr>
        <w:pStyle w:val="ListParagraph"/>
        <w:numPr>
          <w:ilvl w:val="0"/>
          <w:numId w:val="45"/>
        </w:numPr>
        <w:spacing w:before="120"/>
        <w:rPr>
          <w:b/>
        </w:rPr>
      </w:pPr>
      <w:r w:rsidRPr="00CD7476">
        <w:rPr>
          <w:b/>
          <w:bCs/>
        </w:rPr>
        <w:t>For UE in RRC IDLE and eDRX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BodyText"/>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7880A696" w14:textId="77777777" w:rsidR="00246E49" w:rsidRDefault="00246E49" w:rsidP="00CC2617">
      <w:pPr>
        <w:pStyle w:val="BodyText"/>
        <w:rPr>
          <w:lang w:eastAsia="zh-CN"/>
        </w:rPr>
      </w:pPr>
    </w:p>
    <w:p w14:paraId="21405514" w14:textId="6BE563EC" w:rsidR="00246E49" w:rsidRDefault="00246E49" w:rsidP="00CC2617">
      <w:pPr>
        <w:pStyle w:val="BodyText"/>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For UE in RRC IDLE and eDRX cycle is equal to 10.24s:</w:t>
      </w:r>
    </w:p>
    <w:p w14:paraId="47A079F7" w14:textId="45125398" w:rsidR="00CC2617" w:rsidRDefault="00246E49" w:rsidP="00CC2617">
      <w:pPr>
        <w:pStyle w:val="ListParagraph"/>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w:t>
            </w:r>
            <w:bookmarkStart w:id="6" w:name="_GoBack"/>
            <w:bookmarkEnd w:id="6"/>
            <w:r w:rsidR="000A00A0">
              <w:rPr>
                <w:lang w:eastAsia="zh-CN"/>
              </w:rPr>
              <w:t xml:space="preserve">1 does not seem necessary. </w:t>
            </w:r>
          </w:p>
        </w:tc>
      </w:tr>
      <w:tr w:rsidR="002640AD" w14:paraId="55D579D7" w14:textId="77777777" w:rsidTr="002640AD">
        <w:tc>
          <w:tcPr>
            <w:tcW w:w="1368" w:type="dxa"/>
          </w:tcPr>
          <w:p w14:paraId="45B12467" w14:textId="3209B9E0" w:rsidR="002640AD" w:rsidRPr="00F06A72" w:rsidRDefault="002640AD" w:rsidP="00C42709">
            <w:pPr>
              <w:spacing w:before="120"/>
              <w:jc w:val="both"/>
              <w:rPr>
                <w:rFonts w:eastAsiaTheme="minorEastAsia"/>
                <w:lang w:eastAsia="zh-CN"/>
              </w:rPr>
            </w:pPr>
          </w:p>
        </w:tc>
        <w:tc>
          <w:tcPr>
            <w:tcW w:w="990" w:type="dxa"/>
          </w:tcPr>
          <w:p w14:paraId="37CE681F" w14:textId="4BE52D5A" w:rsidR="002640AD" w:rsidRPr="00F06A72" w:rsidRDefault="002640AD" w:rsidP="00C42709">
            <w:pPr>
              <w:spacing w:before="120"/>
              <w:jc w:val="both"/>
              <w:rPr>
                <w:rFonts w:eastAsiaTheme="minorEastAsia"/>
                <w:lang w:eastAsia="zh-CN"/>
              </w:rPr>
            </w:pPr>
          </w:p>
        </w:tc>
        <w:tc>
          <w:tcPr>
            <w:tcW w:w="6264" w:type="dxa"/>
          </w:tcPr>
          <w:p w14:paraId="047D4BE6" w14:textId="4BBA79F3" w:rsidR="00520002" w:rsidRPr="00F06A72" w:rsidRDefault="00520002" w:rsidP="004D1E6C">
            <w:pPr>
              <w:spacing w:before="120"/>
              <w:rPr>
                <w:rFonts w:eastAsiaTheme="minorEastAsia"/>
                <w:lang w:eastAsia="zh-CN"/>
              </w:rPr>
            </w:pPr>
          </w:p>
        </w:tc>
      </w:tr>
      <w:tr w:rsidR="002640AD" w14:paraId="0CCA9A2A" w14:textId="77777777" w:rsidTr="002640AD">
        <w:tc>
          <w:tcPr>
            <w:tcW w:w="1368" w:type="dxa"/>
          </w:tcPr>
          <w:p w14:paraId="79B00B4A" w14:textId="428EED42" w:rsidR="002640AD" w:rsidRDefault="002640AD" w:rsidP="00C42709">
            <w:pPr>
              <w:spacing w:before="120"/>
              <w:jc w:val="both"/>
              <w:rPr>
                <w:rFonts w:eastAsia="SimSun"/>
                <w:lang w:eastAsia="zh-CN"/>
              </w:rPr>
            </w:pPr>
          </w:p>
        </w:tc>
        <w:tc>
          <w:tcPr>
            <w:tcW w:w="990" w:type="dxa"/>
          </w:tcPr>
          <w:p w14:paraId="71ADFC15" w14:textId="5C33995A" w:rsidR="002640AD" w:rsidRDefault="002640AD" w:rsidP="00C42709">
            <w:pPr>
              <w:spacing w:before="120"/>
              <w:jc w:val="both"/>
              <w:rPr>
                <w:rFonts w:eastAsia="SimSun"/>
                <w:lang w:eastAsia="zh-CN"/>
              </w:rPr>
            </w:pPr>
          </w:p>
        </w:tc>
        <w:tc>
          <w:tcPr>
            <w:tcW w:w="6264" w:type="dxa"/>
          </w:tcPr>
          <w:p w14:paraId="3AACA88A" w14:textId="3A2C9A98" w:rsidR="00A12A92" w:rsidRPr="00A12A92" w:rsidRDefault="00A12A92" w:rsidP="00C42709">
            <w:pPr>
              <w:spacing w:before="120"/>
              <w:jc w:val="both"/>
              <w:rPr>
                <w:bCs/>
              </w:rPr>
            </w:pPr>
          </w:p>
        </w:tc>
      </w:tr>
      <w:tr w:rsidR="00C7005D" w14:paraId="6AB3722A" w14:textId="77777777" w:rsidTr="002640AD">
        <w:tc>
          <w:tcPr>
            <w:tcW w:w="1368" w:type="dxa"/>
          </w:tcPr>
          <w:p w14:paraId="5389038A" w14:textId="24C111F1" w:rsidR="00C7005D" w:rsidRPr="002A4140" w:rsidRDefault="00C7005D" w:rsidP="00C7005D">
            <w:pPr>
              <w:spacing w:before="120"/>
              <w:jc w:val="both"/>
            </w:pPr>
          </w:p>
        </w:tc>
        <w:tc>
          <w:tcPr>
            <w:tcW w:w="990" w:type="dxa"/>
          </w:tcPr>
          <w:p w14:paraId="4A59AD82" w14:textId="6C7A23EC" w:rsidR="00C7005D" w:rsidRDefault="00C7005D" w:rsidP="00C7005D">
            <w:pPr>
              <w:spacing w:before="120"/>
              <w:jc w:val="both"/>
              <w:rPr>
                <w:rFonts w:eastAsiaTheme="minorEastAsia"/>
                <w:lang w:eastAsia="zh-CN"/>
              </w:rPr>
            </w:pPr>
          </w:p>
        </w:tc>
        <w:tc>
          <w:tcPr>
            <w:tcW w:w="6264" w:type="dxa"/>
          </w:tcPr>
          <w:p w14:paraId="6D622F0A" w14:textId="0030D579" w:rsidR="00C7005D" w:rsidRPr="00386E57" w:rsidRDefault="00C7005D"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624"/>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Heading3"/>
        <w:rPr>
          <w:sz w:val="22"/>
        </w:rPr>
      </w:pPr>
      <w:r>
        <w:rPr>
          <w:sz w:val="22"/>
        </w:rPr>
        <w:t xml:space="preserve">Lower bound of </w:t>
      </w:r>
      <w:r w:rsidR="00EB05E2" w:rsidRPr="00C06AE7">
        <w:rPr>
          <w:sz w:val="22"/>
        </w:rPr>
        <w:t xml:space="preserve">eDRX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TableGrid"/>
        <w:tblW w:w="0" w:type="auto"/>
        <w:tblLook w:val="04A0" w:firstRow="1" w:lastRow="0" w:firstColumn="1" w:lastColumn="0" w:noHBand="0" w:noVBand="1"/>
      </w:tblPr>
      <w:tblGrid>
        <w:gridCol w:w="8624"/>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Apple would like to "see if RAN2 can agree to allow 2.56s into the allowable RedCap DRX range. We can have FFS on how to signal/handle this. We haven’t discussed on the emergency reception for at least some RedCap UEs (wearables) and the impact from 5.12 sec on the emergency reception, as well as the need for the operation of 2.56 DRX for some RedCap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r w:rsidRPr="00CD7476">
        <w:rPr>
          <w:b/>
        </w:rPr>
        <w:t>eDRX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1239A87A" w:rsidR="00BE63C7" w:rsidRDefault="00BE63C7" w:rsidP="00C42709">
            <w:pPr>
              <w:spacing w:before="120"/>
              <w:jc w:val="both"/>
            </w:pPr>
          </w:p>
        </w:tc>
        <w:tc>
          <w:tcPr>
            <w:tcW w:w="4104" w:type="pct"/>
            <w:tcBorders>
              <w:top w:val="single" w:sz="4" w:space="0" w:color="auto"/>
            </w:tcBorders>
          </w:tcPr>
          <w:p w14:paraId="694166E8" w14:textId="16994D5D" w:rsidR="00BE63C7" w:rsidRDefault="00BE63C7" w:rsidP="00C42709">
            <w:pPr>
              <w:spacing w:before="120"/>
              <w:jc w:val="both"/>
              <w:rPr>
                <w:lang w:eastAsia="zh-CN"/>
              </w:rPr>
            </w:pPr>
          </w:p>
        </w:tc>
      </w:tr>
      <w:tr w:rsidR="00BE63C7" w14:paraId="47E0517D" w14:textId="77777777" w:rsidTr="00BE63C7">
        <w:tc>
          <w:tcPr>
            <w:tcW w:w="896" w:type="pct"/>
          </w:tcPr>
          <w:p w14:paraId="14AC8519" w14:textId="4AF95CCE" w:rsidR="00BE63C7" w:rsidRPr="00F06A72" w:rsidRDefault="00BE63C7" w:rsidP="00C42709">
            <w:pPr>
              <w:spacing w:before="120"/>
              <w:jc w:val="both"/>
              <w:rPr>
                <w:rFonts w:eastAsiaTheme="minorEastAsia"/>
                <w:lang w:eastAsia="zh-CN"/>
              </w:rPr>
            </w:pPr>
          </w:p>
        </w:tc>
        <w:tc>
          <w:tcPr>
            <w:tcW w:w="4104" w:type="pct"/>
          </w:tcPr>
          <w:p w14:paraId="388455E7" w14:textId="6422ECB0" w:rsidR="00BE63C7" w:rsidRPr="00F06A72" w:rsidRDefault="00BE63C7" w:rsidP="00C42709">
            <w:pPr>
              <w:spacing w:before="120"/>
              <w:jc w:val="both"/>
              <w:rPr>
                <w:rFonts w:eastAsiaTheme="minorEastAsia"/>
                <w:lang w:eastAsia="zh-CN"/>
              </w:rPr>
            </w:pPr>
          </w:p>
        </w:tc>
      </w:tr>
      <w:tr w:rsidR="00BE63C7" w14:paraId="3881384A" w14:textId="77777777" w:rsidTr="00BE63C7">
        <w:tc>
          <w:tcPr>
            <w:tcW w:w="896" w:type="pct"/>
          </w:tcPr>
          <w:p w14:paraId="03A308B2" w14:textId="1F675AFB" w:rsidR="00BE63C7" w:rsidRDefault="00BE63C7" w:rsidP="006B42EA">
            <w:pPr>
              <w:spacing w:before="120"/>
              <w:jc w:val="both"/>
              <w:rPr>
                <w:rFonts w:eastAsia="SimSun"/>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624"/>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BodyText"/>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lastRenderedPageBreak/>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TableGrid"/>
        <w:tblW w:w="0" w:type="auto"/>
        <w:tblLook w:val="04A0" w:firstRow="1" w:lastRow="0" w:firstColumn="1" w:lastColumn="0" w:noHBand="0" w:noVBand="1"/>
      </w:tblPr>
      <w:tblGrid>
        <w:gridCol w:w="8624"/>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25050450" w:rsidR="00BE63C7" w:rsidRDefault="00BE63C7" w:rsidP="00C42709">
            <w:pPr>
              <w:spacing w:before="120"/>
              <w:jc w:val="both"/>
              <w:rPr>
                <w:lang w:eastAsia="zh-CN"/>
              </w:rPr>
            </w:pPr>
          </w:p>
        </w:tc>
        <w:tc>
          <w:tcPr>
            <w:tcW w:w="4104" w:type="pct"/>
            <w:tcBorders>
              <w:top w:val="single" w:sz="4" w:space="0" w:color="auto"/>
            </w:tcBorders>
          </w:tcPr>
          <w:p w14:paraId="6CE4D4F5" w14:textId="112A8A6E" w:rsidR="00BE63C7" w:rsidRDefault="00BE63C7" w:rsidP="00C42709">
            <w:pPr>
              <w:spacing w:before="120"/>
              <w:jc w:val="both"/>
              <w:rPr>
                <w:lang w:eastAsia="zh-CN"/>
              </w:rPr>
            </w:pPr>
          </w:p>
        </w:tc>
      </w:tr>
      <w:tr w:rsidR="00BE63C7" w14:paraId="462CE178" w14:textId="77777777" w:rsidTr="00BE63C7">
        <w:tc>
          <w:tcPr>
            <w:tcW w:w="896" w:type="pct"/>
          </w:tcPr>
          <w:p w14:paraId="76E4AFCC" w14:textId="193BD823" w:rsidR="00BE63C7" w:rsidRPr="00F06A72" w:rsidRDefault="00BE63C7" w:rsidP="00C42709">
            <w:pPr>
              <w:spacing w:before="120"/>
              <w:jc w:val="both"/>
              <w:rPr>
                <w:rFonts w:eastAsiaTheme="minorEastAsia"/>
                <w:lang w:eastAsia="zh-CN"/>
              </w:rPr>
            </w:pPr>
          </w:p>
        </w:tc>
        <w:tc>
          <w:tcPr>
            <w:tcW w:w="4104" w:type="pct"/>
          </w:tcPr>
          <w:p w14:paraId="3036ECF3" w14:textId="4C83462E" w:rsidR="00BE63C7" w:rsidRPr="00F06A72" w:rsidRDefault="00BE63C7" w:rsidP="00C42709">
            <w:pPr>
              <w:spacing w:before="120"/>
              <w:jc w:val="both"/>
              <w:rPr>
                <w:rFonts w:eastAsiaTheme="minorEastAsia"/>
                <w:lang w:eastAsia="zh-CN"/>
              </w:rPr>
            </w:pPr>
          </w:p>
        </w:tc>
      </w:tr>
      <w:tr w:rsidR="00BE63C7" w14:paraId="51E56345" w14:textId="77777777" w:rsidTr="00BE63C7">
        <w:tc>
          <w:tcPr>
            <w:tcW w:w="896" w:type="pct"/>
          </w:tcPr>
          <w:p w14:paraId="42D2A577" w14:textId="5CC179C1" w:rsidR="00BE63C7" w:rsidRDefault="00BE63C7" w:rsidP="00C7005D">
            <w:pPr>
              <w:spacing w:before="120"/>
              <w:jc w:val="both"/>
              <w:rPr>
                <w:rFonts w:eastAsia="SimSun"/>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SimSun"/>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7079"/>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SimSun"/>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SimSun"/>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TableGrid"/>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Heading1"/>
        <w:jc w:val="both"/>
      </w:pPr>
      <w:r>
        <w:lastRenderedPageBreak/>
        <w:t>Conclusion</w:t>
      </w:r>
    </w:p>
    <w:p w14:paraId="19B6A389" w14:textId="42EC5F55" w:rsidR="00940D62" w:rsidRDefault="00940D62" w:rsidP="00940D62">
      <w:pPr>
        <w:pStyle w:val="BodyText"/>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Heading1"/>
        <w:jc w:val="both"/>
      </w:pPr>
      <w:r>
        <w:rPr>
          <w:rFonts w:hint="eastAsia"/>
        </w:rPr>
        <w:t>Reference</w:t>
      </w:r>
    </w:p>
    <w:p w14:paraId="624DB0E2" w14:textId="6A16A16E" w:rsidR="004A599B" w:rsidRDefault="004A599B" w:rsidP="001E28ED">
      <w:pPr>
        <w:pStyle w:val="BodyText"/>
        <w:numPr>
          <w:ilvl w:val="0"/>
          <w:numId w:val="7"/>
        </w:numPr>
        <w:jc w:val="left"/>
        <w:rPr>
          <w:rFonts w:eastAsiaTheme="minorEastAsia"/>
          <w:lang w:val="en-GB" w:eastAsia="zh-CN"/>
        </w:rPr>
      </w:pPr>
      <w:bookmarkStart w:id="8" w:name="_Ref56023525"/>
      <w:bookmarkStart w:id="9" w:name="_Ref51144359"/>
      <w:r>
        <w:rPr>
          <w:rFonts w:eastAsiaTheme="minorEastAsia"/>
          <w:lang w:val="en-GB" w:eastAsia="zh-CN"/>
        </w:rPr>
        <w:t>RAN2 #112e Chairman’s Notes</w:t>
      </w:r>
      <w:bookmarkEnd w:id="8"/>
    </w:p>
    <w:p w14:paraId="685FD40C" w14:textId="0853FE80" w:rsidR="00BF4F80" w:rsidRPr="00D6280A" w:rsidRDefault="00756CEB" w:rsidP="001E28ED">
      <w:pPr>
        <w:pStyle w:val="BodyText"/>
        <w:numPr>
          <w:ilvl w:val="0"/>
          <w:numId w:val="7"/>
        </w:numPr>
        <w:jc w:val="left"/>
        <w:rPr>
          <w:rFonts w:eastAsiaTheme="minorEastAsia"/>
          <w:lang w:val="en-GB" w:eastAsia="zh-CN"/>
        </w:rPr>
      </w:pPr>
      <w:bookmarkStart w:id="10" w:name="_Ref56023537"/>
      <w:bookmarkStart w:id="11"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9"/>
      <w:bookmarkEnd w:id="10"/>
      <w:r w:rsidR="004A599B">
        <w:t>Summary of offline 114 - RedCap power saving; CATT</w:t>
      </w:r>
      <w:bookmarkEnd w:id="11"/>
    </w:p>
    <w:p w14:paraId="7561AC7D" w14:textId="2234461D" w:rsidR="00D6280A" w:rsidRPr="001E28ED" w:rsidRDefault="00D6280A" w:rsidP="00904ED8">
      <w:pPr>
        <w:pStyle w:val="BodyText"/>
        <w:numPr>
          <w:ilvl w:val="0"/>
          <w:numId w:val="7"/>
        </w:numPr>
        <w:jc w:val="left"/>
        <w:rPr>
          <w:rFonts w:eastAsiaTheme="minorEastAsia"/>
          <w:lang w:val="en-GB" w:eastAsia="zh-CN"/>
        </w:rPr>
      </w:pPr>
      <w:bookmarkStart w:id="12"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2"/>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5F4CD" w14:textId="77777777" w:rsidR="007C73E2" w:rsidRDefault="007C73E2">
      <w:r>
        <w:separator/>
      </w:r>
    </w:p>
  </w:endnote>
  <w:endnote w:type="continuationSeparator" w:id="0">
    <w:p w14:paraId="66286DD3" w14:textId="77777777" w:rsidR="007C73E2" w:rsidRDefault="007C73E2">
      <w:r>
        <w:continuationSeparator/>
      </w:r>
    </w:p>
  </w:endnote>
  <w:endnote w:type="continuationNotice" w:id="1">
    <w:p w14:paraId="771CAB9F" w14:textId="77777777" w:rsidR="007C73E2" w:rsidRDefault="007C7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Arial Unicode MS"/>
    <w:charset w:val="02"/>
    <w:family w:val="modern"/>
    <w:pitch w:val="fixed"/>
  </w:font>
  <w:font w:name="Monotype Sorts">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43DC8" w14:textId="77777777" w:rsidR="007C73E2" w:rsidRDefault="007C73E2">
      <w:r>
        <w:separator/>
      </w:r>
    </w:p>
  </w:footnote>
  <w:footnote w:type="continuationSeparator" w:id="0">
    <w:p w14:paraId="378E8868" w14:textId="77777777" w:rsidR="007C73E2" w:rsidRDefault="007C73E2">
      <w:r>
        <w:continuationSeparator/>
      </w:r>
    </w:p>
  </w:footnote>
  <w:footnote w:type="continuationNotice" w:id="1">
    <w:p w14:paraId="7B58620E" w14:textId="77777777" w:rsidR="007C73E2" w:rsidRDefault="007C7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2"/>
  </w:num>
  <w:num w:numId="2">
    <w:abstractNumId w:val="36"/>
  </w:num>
  <w:num w:numId="3">
    <w:abstractNumId w:val="25"/>
  </w:num>
  <w:num w:numId="4">
    <w:abstractNumId w:val="18"/>
  </w:num>
  <w:num w:numId="5">
    <w:abstractNumId w:val="43"/>
  </w:num>
  <w:num w:numId="6">
    <w:abstractNumId w:val="30"/>
  </w:num>
  <w:num w:numId="7">
    <w:abstractNumId w:val="27"/>
  </w:num>
  <w:num w:numId="8">
    <w:abstractNumId w:val="35"/>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8"/>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2"/>
  </w:num>
  <w:num w:numId="22">
    <w:abstractNumId w:val="17"/>
  </w:num>
  <w:num w:numId="23">
    <w:abstractNumId w:val="9"/>
  </w:num>
  <w:num w:numId="24">
    <w:abstractNumId w:val="28"/>
  </w:num>
  <w:num w:numId="25">
    <w:abstractNumId w:val="37"/>
  </w:num>
  <w:num w:numId="26">
    <w:abstractNumId w:val="1"/>
  </w:num>
  <w:num w:numId="27">
    <w:abstractNumId w:val="14"/>
  </w:num>
  <w:num w:numId="28">
    <w:abstractNumId w:val="41"/>
  </w:num>
  <w:num w:numId="29">
    <w:abstractNumId w:val="20"/>
  </w:num>
  <w:num w:numId="30">
    <w:abstractNumId w:val="39"/>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4"/>
  </w:num>
  <w:num w:numId="44">
    <w:abstractNumId w:val="40"/>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107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853BC6-1086-430B-8C0E-F7EDCB56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1325</Words>
  <Characters>7555</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 (QC)</cp:lastModifiedBy>
  <cp:revision>7</cp:revision>
  <cp:lastPrinted>2007-08-28T14:45:00Z</cp:lastPrinted>
  <dcterms:created xsi:type="dcterms:W3CDTF">2020-11-11T22:30:00Z</dcterms:created>
  <dcterms:modified xsi:type="dcterms:W3CDTF">2020-11-11T23:42:00Z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