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Heading1"/>
        <w:rPr>
          <w:rFonts w:cs="Arial"/>
        </w:rPr>
      </w:pPr>
      <w:r w:rsidRPr="00B207EF">
        <w:rPr>
          <w:rFonts w:cs="Arial"/>
        </w:rPr>
        <w:t>Introduction</w:t>
      </w:r>
    </w:p>
    <w:p w14:paraId="5ADA2839" w14:textId="496D57B4" w:rsidR="00A50179" w:rsidRDefault="00A50179">
      <w:r>
        <w:t>This document is for the following offline discussion on RedCap:</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w:tooltip="C:Data3GPPExtractsR2-2009936 Summary of email discussion [914].docx" w:history="1">
        <w:r w:rsidRPr="004B559E">
          <w:rPr>
            <w:rStyle w:val="Hyperlink"/>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Heading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Whether it is needed to identify RedCap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Heading2"/>
      </w:pPr>
      <w:r w:rsidRPr="00B207EF">
        <w:t>UE identification</w:t>
      </w:r>
    </w:p>
    <w:p w14:paraId="5C2C54CA" w14:textId="6D554C33" w:rsidR="009E7E46" w:rsidRPr="003A065D" w:rsidRDefault="003A065D" w:rsidP="009E7E46">
      <w:pPr>
        <w:overflowPunct/>
        <w:textAlignment w:val="auto"/>
      </w:pPr>
      <w:r w:rsidRPr="003A065D">
        <w:t xml:space="preserve">Regarding identifying RedCap UE in </w:t>
      </w:r>
      <w:r w:rsidR="009E7E46" w:rsidRPr="003A065D">
        <w:t>Msg5</w:t>
      </w:r>
      <w:r>
        <w:t>, the following summary was made in [1]</w:t>
      </w:r>
      <w:r>
        <w:t>：</w:t>
      </w:r>
    </w:p>
    <w:tbl>
      <w:tblPr>
        <w:tblStyle w:val="TableGrid"/>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RedCap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dentify RedCap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RedCap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32947CD5" w:rsidR="003A065D" w:rsidRPr="00B207EF" w:rsidRDefault="00947A20" w:rsidP="00286D34">
            <w:pPr>
              <w:overflowPunct/>
              <w:spacing w:before="60" w:after="60"/>
              <w:textAlignment w:val="auto"/>
            </w:pPr>
            <w:r>
              <w:t>Nokia</w:t>
            </w:r>
          </w:p>
        </w:tc>
        <w:tc>
          <w:tcPr>
            <w:tcW w:w="7703" w:type="dxa"/>
            <w:shd w:val="clear" w:color="auto" w:fill="auto"/>
            <w:vAlign w:val="center"/>
          </w:tcPr>
          <w:p w14:paraId="2BAC5294" w14:textId="39E606DF" w:rsidR="003A065D" w:rsidRPr="00B207EF" w:rsidRDefault="00947A20" w:rsidP="00286D34">
            <w:pPr>
              <w:overflowPunct/>
              <w:spacing w:before="60" w:after="60"/>
              <w:jc w:val="left"/>
              <w:textAlignment w:val="auto"/>
            </w:pPr>
            <w:r>
              <w:t>We are fine with the proposal in principle, however, it would seem feasible to agree that from RAN2 perspective, it is necessary to identify the RedCap UEs in Msg3/MsgA.</w:t>
            </w:r>
          </w:p>
        </w:tc>
      </w:tr>
      <w:tr w:rsidR="003A065D" w:rsidRPr="00B207EF" w14:paraId="2D63B610" w14:textId="77777777" w:rsidTr="003A065D">
        <w:trPr>
          <w:trHeight w:val="167"/>
          <w:jc w:val="center"/>
        </w:trPr>
        <w:tc>
          <w:tcPr>
            <w:tcW w:w="1931" w:type="dxa"/>
            <w:shd w:val="clear" w:color="auto" w:fill="FFFFFF"/>
            <w:noWrap/>
            <w:vAlign w:val="center"/>
          </w:tcPr>
          <w:p w14:paraId="5845956E" w14:textId="568FA545" w:rsidR="003A065D" w:rsidRPr="00B207EF" w:rsidRDefault="003A065D" w:rsidP="00286D34">
            <w:pPr>
              <w:overflowPunct/>
              <w:spacing w:before="60" w:after="60"/>
              <w:textAlignment w:val="auto"/>
            </w:pPr>
          </w:p>
        </w:tc>
        <w:tc>
          <w:tcPr>
            <w:tcW w:w="7703" w:type="dxa"/>
            <w:shd w:val="clear" w:color="auto" w:fill="auto"/>
          </w:tcPr>
          <w:p w14:paraId="2BA67F05" w14:textId="08D7A10C" w:rsidR="003A065D" w:rsidRPr="00B207EF" w:rsidRDefault="003A065D" w:rsidP="00286D34">
            <w:pPr>
              <w:overflowPunct/>
              <w:spacing w:before="60" w:after="60"/>
              <w:jc w:val="left"/>
              <w:textAlignment w:val="auto"/>
            </w:pP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Regarding identifying RedCap UE in Msg</w:t>
      </w:r>
      <w:r>
        <w:t>A for 2-step RACH, the following summary was made in [1]</w:t>
      </w:r>
      <w:r>
        <w:t>：</w:t>
      </w:r>
    </w:p>
    <w:tbl>
      <w:tblPr>
        <w:tblStyle w:val="TableGrid"/>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RedCap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From RAN2 perspective, the need to identify RedCap UEs during MsgA is the same as the need to identify RedCap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gNB would know based on Msg1. </w:t>
            </w:r>
          </w:p>
        </w:tc>
      </w:tr>
      <w:tr w:rsidR="00B26911" w:rsidRPr="00B207EF" w14:paraId="634456DA" w14:textId="77777777" w:rsidTr="00286D34">
        <w:trPr>
          <w:trHeight w:val="167"/>
          <w:jc w:val="center"/>
        </w:trPr>
        <w:tc>
          <w:tcPr>
            <w:tcW w:w="1931" w:type="dxa"/>
            <w:shd w:val="clear" w:color="auto" w:fill="FFFFFF"/>
            <w:noWrap/>
            <w:vAlign w:val="center"/>
          </w:tcPr>
          <w:p w14:paraId="75099049" w14:textId="2C65F96F" w:rsidR="00B26911" w:rsidRPr="00B207EF" w:rsidRDefault="00B26911" w:rsidP="00B26911">
            <w:pPr>
              <w:overflowPunct/>
              <w:spacing w:before="60" w:after="60"/>
              <w:textAlignment w:val="auto"/>
            </w:pPr>
            <w:r>
              <w:t>Intel</w:t>
            </w:r>
          </w:p>
        </w:tc>
        <w:tc>
          <w:tcPr>
            <w:tcW w:w="7703" w:type="dxa"/>
            <w:shd w:val="clear" w:color="auto" w:fill="auto"/>
          </w:tcPr>
          <w:p w14:paraId="5F1EDA02" w14:textId="77777777" w:rsidR="00B26911" w:rsidRDefault="00B26911" w:rsidP="00B26911">
            <w:pPr>
              <w:overflowPunct/>
              <w:spacing w:before="60" w:after="60"/>
              <w:jc w:val="left"/>
              <w:textAlignment w:val="auto"/>
            </w:pPr>
            <w:r>
              <w:t>We could just add MSGA in RAN2 original agreements as</w:t>
            </w:r>
          </w:p>
          <w:p w14:paraId="3D9E71E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Whether it is needed to identify RedCap UEs during Msg3</w:t>
            </w:r>
            <w:r w:rsidRPr="00C72F7D">
              <w:rPr>
                <w:color w:val="FF0000"/>
              </w:rPr>
              <w:t xml:space="preserve">/MSGA </w:t>
            </w:r>
            <w:r>
              <w:t>from RAN2 perspective or not depends on the following two aspects:</w:t>
            </w:r>
          </w:p>
          <w:p w14:paraId="028418A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0B1F2C5" w14:textId="77777777" w:rsidR="00B26911" w:rsidRPr="008956F2" w:rsidRDefault="00B26911" w:rsidP="00B26911">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0AF139D5" w14:textId="77777777" w:rsidR="00B26911" w:rsidRPr="00B207EF" w:rsidRDefault="00B26911" w:rsidP="00B26911">
            <w:pPr>
              <w:overflowPunct/>
              <w:spacing w:before="60" w:after="60"/>
              <w:jc w:val="left"/>
              <w:textAlignment w:val="auto"/>
            </w:pPr>
          </w:p>
        </w:tc>
      </w:tr>
      <w:tr w:rsidR="005512DA" w:rsidRPr="00B207EF" w14:paraId="0D737EFE" w14:textId="77777777" w:rsidTr="00962D3C">
        <w:trPr>
          <w:trHeight w:val="167"/>
          <w:jc w:val="center"/>
        </w:trPr>
        <w:tc>
          <w:tcPr>
            <w:tcW w:w="1931" w:type="dxa"/>
            <w:shd w:val="clear" w:color="auto" w:fill="FFFFFF"/>
            <w:noWrap/>
            <w:vAlign w:val="center"/>
          </w:tcPr>
          <w:p w14:paraId="4FC4C50F" w14:textId="05B56379" w:rsidR="005512DA" w:rsidRPr="00B207EF" w:rsidRDefault="005512DA" w:rsidP="005512DA">
            <w:pPr>
              <w:overflowPunct/>
              <w:spacing w:before="60" w:after="60"/>
              <w:textAlignment w:val="auto"/>
            </w:pPr>
            <w:r>
              <w:lastRenderedPageBreak/>
              <w:t>Ericsson</w:t>
            </w:r>
          </w:p>
        </w:tc>
        <w:tc>
          <w:tcPr>
            <w:tcW w:w="7703" w:type="dxa"/>
            <w:shd w:val="clear" w:color="auto" w:fill="auto"/>
          </w:tcPr>
          <w:p w14:paraId="4AC89E73" w14:textId="1AB5DB6C" w:rsidR="005512DA" w:rsidRPr="00B207EF" w:rsidRDefault="005512DA" w:rsidP="005512DA">
            <w:pPr>
              <w:overflowPunct/>
              <w:spacing w:before="60" w:after="60"/>
              <w:textAlignment w:val="auto"/>
            </w:pPr>
            <w:r>
              <w:t xml:space="preserve">In our understanding “or Msg3” is included in the proposal for the case when there would be no need for Msg1 indication, but there would be need for indication from Msg3 perspective. If this is true, then indication would be needed in MsgA. Thus, we think Apple’s suggestion is not correct. </w:t>
            </w:r>
          </w:p>
        </w:tc>
      </w:tr>
      <w:tr w:rsidR="005512DA" w:rsidRPr="00B207EF" w14:paraId="31A62ED0" w14:textId="77777777" w:rsidTr="00286D34">
        <w:trPr>
          <w:trHeight w:val="167"/>
          <w:jc w:val="center"/>
        </w:trPr>
        <w:tc>
          <w:tcPr>
            <w:tcW w:w="1931" w:type="dxa"/>
            <w:shd w:val="clear" w:color="auto" w:fill="auto"/>
            <w:noWrap/>
            <w:vAlign w:val="center"/>
          </w:tcPr>
          <w:p w14:paraId="22DB8841" w14:textId="77777777" w:rsidR="005512DA" w:rsidRPr="00B207EF" w:rsidRDefault="005512DA" w:rsidP="005512DA">
            <w:pPr>
              <w:overflowPunct/>
              <w:spacing w:before="60" w:after="60"/>
              <w:textAlignment w:val="auto"/>
            </w:pPr>
          </w:p>
        </w:tc>
        <w:tc>
          <w:tcPr>
            <w:tcW w:w="7703" w:type="dxa"/>
            <w:shd w:val="clear" w:color="auto" w:fill="auto"/>
            <w:vAlign w:val="center"/>
          </w:tcPr>
          <w:p w14:paraId="5B06DF02" w14:textId="77777777" w:rsidR="005512DA" w:rsidRPr="00B207EF" w:rsidRDefault="005512DA" w:rsidP="005512DA">
            <w:pPr>
              <w:overflowPunct/>
              <w:spacing w:before="60" w:after="60"/>
              <w:textAlignment w:val="auto"/>
            </w:pPr>
          </w:p>
        </w:tc>
      </w:tr>
      <w:tr w:rsidR="005512DA" w:rsidRPr="00B207EF" w14:paraId="144641A1" w14:textId="77777777" w:rsidTr="00286D34">
        <w:trPr>
          <w:trHeight w:val="167"/>
          <w:jc w:val="center"/>
        </w:trPr>
        <w:tc>
          <w:tcPr>
            <w:tcW w:w="1931" w:type="dxa"/>
            <w:shd w:val="clear" w:color="auto" w:fill="auto"/>
            <w:noWrap/>
            <w:vAlign w:val="center"/>
          </w:tcPr>
          <w:p w14:paraId="4F5EA84B" w14:textId="77777777" w:rsidR="005512DA" w:rsidRPr="00B207EF" w:rsidRDefault="005512DA" w:rsidP="005512DA">
            <w:pPr>
              <w:overflowPunct/>
              <w:spacing w:before="60" w:after="60"/>
              <w:textAlignment w:val="auto"/>
            </w:pPr>
          </w:p>
        </w:tc>
        <w:tc>
          <w:tcPr>
            <w:tcW w:w="7703" w:type="dxa"/>
            <w:shd w:val="clear" w:color="auto" w:fill="auto"/>
            <w:vAlign w:val="center"/>
          </w:tcPr>
          <w:p w14:paraId="7D6B3111" w14:textId="77777777" w:rsidR="005512DA" w:rsidRPr="00B207EF" w:rsidRDefault="005512DA" w:rsidP="005512DA">
            <w:pPr>
              <w:overflowPunct/>
              <w:spacing w:before="60" w:after="60"/>
              <w:textAlignment w:val="auto"/>
            </w:pPr>
          </w:p>
        </w:tc>
      </w:tr>
      <w:tr w:rsidR="005512DA" w:rsidRPr="00B207EF" w14:paraId="2F614600" w14:textId="77777777" w:rsidTr="00286D34">
        <w:trPr>
          <w:trHeight w:val="167"/>
          <w:jc w:val="center"/>
        </w:trPr>
        <w:tc>
          <w:tcPr>
            <w:tcW w:w="1931" w:type="dxa"/>
            <w:shd w:val="clear" w:color="auto" w:fill="auto"/>
            <w:noWrap/>
          </w:tcPr>
          <w:p w14:paraId="6650790E" w14:textId="77777777" w:rsidR="005512DA" w:rsidRPr="00B207EF" w:rsidRDefault="005512DA" w:rsidP="005512DA">
            <w:pPr>
              <w:overflowPunct/>
              <w:spacing w:before="60" w:after="60"/>
              <w:textAlignment w:val="auto"/>
            </w:pPr>
          </w:p>
        </w:tc>
        <w:tc>
          <w:tcPr>
            <w:tcW w:w="7703" w:type="dxa"/>
            <w:shd w:val="clear" w:color="auto" w:fill="auto"/>
          </w:tcPr>
          <w:p w14:paraId="3840F770" w14:textId="77777777" w:rsidR="005512DA" w:rsidRPr="00B207EF" w:rsidRDefault="005512DA" w:rsidP="005512DA">
            <w:pPr>
              <w:overflowPunct/>
              <w:spacing w:before="60" w:after="60"/>
              <w:textAlignment w:val="auto"/>
            </w:pPr>
          </w:p>
        </w:tc>
      </w:tr>
      <w:tr w:rsidR="005512DA" w:rsidRPr="00B207EF" w14:paraId="32D02792" w14:textId="77777777" w:rsidTr="00286D34">
        <w:trPr>
          <w:trHeight w:val="167"/>
          <w:jc w:val="center"/>
        </w:trPr>
        <w:tc>
          <w:tcPr>
            <w:tcW w:w="1931" w:type="dxa"/>
            <w:shd w:val="clear" w:color="auto" w:fill="FFFFFF"/>
            <w:noWrap/>
          </w:tcPr>
          <w:p w14:paraId="41C73E53" w14:textId="77777777" w:rsidR="005512DA" w:rsidRPr="00B207EF" w:rsidRDefault="005512DA" w:rsidP="005512DA">
            <w:pPr>
              <w:overflowPunct/>
              <w:spacing w:before="60" w:after="60"/>
              <w:textAlignment w:val="auto"/>
            </w:pPr>
          </w:p>
        </w:tc>
        <w:tc>
          <w:tcPr>
            <w:tcW w:w="7703" w:type="dxa"/>
            <w:shd w:val="clear" w:color="auto" w:fill="auto"/>
          </w:tcPr>
          <w:p w14:paraId="13AEC534" w14:textId="77777777" w:rsidR="005512DA" w:rsidRPr="00B207EF" w:rsidRDefault="005512DA" w:rsidP="005512DA">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RedCap UEs. Thus it was proposed to capture </w:t>
      </w:r>
      <w:r w:rsidRPr="003A065D">
        <w:t>options Msg1/A and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4F870D2F" w:rsidR="003A065D" w:rsidRPr="00B207EF" w:rsidRDefault="00913FC2" w:rsidP="00286D34">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286D34">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286D34">
            <w:pPr>
              <w:overflowPunct/>
              <w:spacing w:before="60" w:after="60"/>
              <w:jc w:val="left"/>
              <w:textAlignment w:val="auto"/>
            </w:pPr>
            <w:r>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B26911" w:rsidRPr="00B207EF" w14:paraId="6EE838EF" w14:textId="77777777" w:rsidTr="00286D34">
        <w:trPr>
          <w:trHeight w:val="167"/>
          <w:jc w:val="center"/>
        </w:trPr>
        <w:tc>
          <w:tcPr>
            <w:tcW w:w="1931" w:type="dxa"/>
            <w:shd w:val="clear" w:color="auto" w:fill="FFFFFF"/>
            <w:noWrap/>
            <w:vAlign w:val="center"/>
          </w:tcPr>
          <w:p w14:paraId="39A85A3E" w14:textId="50E4D0EA" w:rsidR="00B26911" w:rsidRPr="00B207EF" w:rsidRDefault="00B26911" w:rsidP="00B26911">
            <w:pPr>
              <w:overflowPunct/>
              <w:spacing w:before="60" w:after="60"/>
              <w:textAlignment w:val="auto"/>
            </w:pPr>
            <w:r>
              <w:t>Intel</w:t>
            </w:r>
          </w:p>
        </w:tc>
        <w:tc>
          <w:tcPr>
            <w:tcW w:w="7703" w:type="dxa"/>
            <w:shd w:val="clear" w:color="auto" w:fill="auto"/>
            <w:vAlign w:val="center"/>
          </w:tcPr>
          <w:p w14:paraId="0A9AC79B" w14:textId="752F7CF1" w:rsidR="00B26911" w:rsidRPr="00B207EF" w:rsidRDefault="00B26911" w:rsidP="00B26911">
            <w:pPr>
              <w:overflowPunct/>
              <w:spacing w:before="60" w:after="60"/>
              <w:textAlignment w:val="auto"/>
            </w:pPr>
            <w:r>
              <w:t xml:space="preserve">The proposal is not clear, does that mean we only capture option MSG1/A and MSG3 in the TR?. To our understanding, all options discussed in the email discussion should be captured in the TR, MSG1, 3, 5, A,B. </w:t>
            </w:r>
          </w:p>
        </w:tc>
      </w:tr>
      <w:tr w:rsidR="005512DA" w:rsidRPr="00B207EF" w14:paraId="2D56FFEF" w14:textId="77777777" w:rsidTr="00286D34">
        <w:trPr>
          <w:trHeight w:val="167"/>
          <w:jc w:val="center"/>
        </w:trPr>
        <w:tc>
          <w:tcPr>
            <w:tcW w:w="1931" w:type="dxa"/>
            <w:shd w:val="clear" w:color="auto" w:fill="auto"/>
            <w:noWrap/>
            <w:vAlign w:val="center"/>
          </w:tcPr>
          <w:p w14:paraId="5DDD086E" w14:textId="5358B7D3" w:rsidR="005512DA" w:rsidRPr="00B207EF" w:rsidRDefault="005512DA" w:rsidP="005512DA">
            <w:pPr>
              <w:overflowPunct/>
              <w:spacing w:before="60" w:after="60"/>
              <w:textAlignment w:val="auto"/>
            </w:pPr>
            <w:r>
              <w:t>Ericsson</w:t>
            </w:r>
          </w:p>
        </w:tc>
        <w:tc>
          <w:tcPr>
            <w:tcW w:w="7703" w:type="dxa"/>
            <w:shd w:val="clear" w:color="auto" w:fill="auto"/>
            <w:vAlign w:val="center"/>
          </w:tcPr>
          <w:p w14:paraId="0D90F4D8" w14:textId="77777777" w:rsidR="005512DA" w:rsidRDefault="005512DA" w:rsidP="005512DA">
            <w:pPr>
              <w:overflowPunct/>
              <w:spacing w:before="60" w:after="60"/>
              <w:textAlignment w:val="auto"/>
            </w:pPr>
            <w:r>
              <w:t xml:space="preserve">Agree with the proposal and it already says pending RAN1 output, thus it is neutral from preference point of view. </w:t>
            </w:r>
          </w:p>
          <w:p w14:paraId="0D0DB81F" w14:textId="77777777" w:rsidR="005512DA" w:rsidRDefault="005512DA" w:rsidP="005512DA">
            <w:pPr>
              <w:overflowPunct/>
              <w:spacing w:before="60" w:after="60"/>
              <w:textAlignment w:val="auto"/>
            </w:pPr>
          </w:p>
          <w:p w14:paraId="03995B7A" w14:textId="0CEEAAB3" w:rsidR="005512DA" w:rsidRPr="00B207EF" w:rsidRDefault="005512DA" w:rsidP="005512DA">
            <w:pPr>
              <w:overflowPunct/>
              <w:spacing w:before="60" w:after="60"/>
              <w:textAlignment w:val="auto"/>
            </w:pPr>
            <w:r>
              <w:t xml:space="preserve">We would prefer to capture the options in TR </w:t>
            </w:r>
            <w:r>
              <w:t xml:space="preserve">(thus agree with Intel on all options) </w:t>
            </w:r>
            <w:r>
              <w:t xml:space="preserve">already as they should be clear, we shouldn’t defer everything to the last meeting. Impacts can be updated once RAN1 has concluded their discussion, if there is anything to update. </w:t>
            </w:r>
          </w:p>
        </w:tc>
      </w:tr>
      <w:tr w:rsidR="005512DA" w:rsidRPr="00B207EF" w14:paraId="513A642F" w14:textId="77777777" w:rsidTr="00286D34">
        <w:trPr>
          <w:trHeight w:val="167"/>
          <w:jc w:val="center"/>
        </w:trPr>
        <w:tc>
          <w:tcPr>
            <w:tcW w:w="1931" w:type="dxa"/>
            <w:shd w:val="clear" w:color="auto" w:fill="auto"/>
            <w:noWrap/>
            <w:vAlign w:val="center"/>
          </w:tcPr>
          <w:p w14:paraId="7DA53888" w14:textId="77777777" w:rsidR="005512DA" w:rsidRPr="00B207EF" w:rsidRDefault="005512DA" w:rsidP="005512DA">
            <w:pPr>
              <w:overflowPunct/>
              <w:spacing w:before="60" w:after="60"/>
              <w:textAlignment w:val="auto"/>
            </w:pPr>
          </w:p>
        </w:tc>
        <w:tc>
          <w:tcPr>
            <w:tcW w:w="7703" w:type="dxa"/>
            <w:shd w:val="clear" w:color="auto" w:fill="auto"/>
            <w:vAlign w:val="center"/>
          </w:tcPr>
          <w:p w14:paraId="4676A8E6" w14:textId="77777777" w:rsidR="005512DA" w:rsidRPr="00B207EF" w:rsidRDefault="005512DA" w:rsidP="005512DA">
            <w:pPr>
              <w:overflowPunct/>
              <w:spacing w:before="60" w:after="60"/>
              <w:textAlignment w:val="auto"/>
            </w:pPr>
          </w:p>
        </w:tc>
      </w:tr>
      <w:tr w:rsidR="005512DA" w:rsidRPr="00B207EF" w14:paraId="4753FFC5" w14:textId="77777777" w:rsidTr="00286D34">
        <w:trPr>
          <w:trHeight w:val="167"/>
          <w:jc w:val="center"/>
        </w:trPr>
        <w:tc>
          <w:tcPr>
            <w:tcW w:w="1931" w:type="dxa"/>
            <w:shd w:val="clear" w:color="auto" w:fill="auto"/>
            <w:noWrap/>
          </w:tcPr>
          <w:p w14:paraId="482236BD" w14:textId="77777777" w:rsidR="005512DA" w:rsidRPr="00B207EF" w:rsidRDefault="005512DA" w:rsidP="005512DA">
            <w:pPr>
              <w:overflowPunct/>
              <w:spacing w:before="60" w:after="60"/>
              <w:textAlignment w:val="auto"/>
            </w:pPr>
          </w:p>
        </w:tc>
        <w:tc>
          <w:tcPr>
            <w:tcW w:w="7703" w:type="dxa"/>
            <w:shd w:val="clear" w:color="auto" w:fill="auto"/>
          </w:tcPr>
          <w:p w14:paraId="639ADE6E" w14:textId="77777777" w:rsidR="005512DA" w:rsidRPr="00B207EF" w:rsidRDefault="005512DA" w:rsidP="005512DA">
            <w:pPr>
              <w:overflowPunct/>
              <w:spacing w:before="60" w:after="60"/>
              <w:textAlignment w:val="auto"/>
            </w:pPr>
          </w:p>
        </w:tc>
      </w:tr>
      <w:tr w:rsidR="005512DA" w:rsidRPr="00B207EF" w14:paraId="2C4CE981" w14:textId="77777777" w:rsidTr="00286D34">
        <w:trPr>
          <w:trHeight w:val="167"/>
          <w:jc w:val="center"/>
        </w:trPr>
        <w:tc>
          <w:tcPr>
            <w:tcW w:w="1931" w:type="dxa"/>
            <w:shd w:val="clear" w:color="auto" w:fill="FFFFFF"/>
            <w:noWrap/>
          </w:tcPr>
          <w:p w14:paraId="7C881249" w14:textId="77777777" w:rsidR="005512DA" w:rsidRPr="00B207EF" w:rsidRDefault="005512DA" w:rsidP="005512DA">
            <w:pPr>
              <w:overflowPunct/>
              <w:spacing w:before="60" w:after="60"/>
              <w:textAlignment w:val="auto"/>
            </w:pPr>
          </w:p>
        </w:tc>
        <w:tc>
          <w:tcPr>
            <w:tcW w:w="7703" w:type="dxa"/>
            <w:shd w:val="clear" w:color="auto" w:fill="auto"/>
          </w:tcPr>
          <w:p w14:paraId="0B32860A" w14:textId="77777777" w:rsidR="005512DA" w:rsidRPr="00B207EF" w:rsidRDefault="005512DA" w:rsidP="005512DA">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Heading2"/>
        <w:overflowPunct/>
        <w:textAlignment w:val="auto"/>
      </w:pPr>
      <w:r w:rsidRPr="00B207EF">
        <w:t>Access restrictions</w:t>
      </w:r>
    </w:p>
    <w:p w14:paraId="68A7A6C5" w14:textId="4D7F1BDF" w:rsidR="00640CD7" w:rsidRPr="00B207EF" w:rsidRDefault="00AD12A4" w:rsidP="007502F1">
      <w:pPr>
        <w:pStyle w:val="Heading3"/>
      </w:pPr>
      <w:r w:rsidRPr="00B207EF">
        <w:rPr>
          <w:rFonts w:hint="eastAsia"/>
        </w:rPr>
        <w:t>U</w:t>
      </w:r>
      <w:r w:rsidRPr="00B207EF">
        <w:t>AC</w:t>
      </w:r>
    </w:p>
    <w:p w14:paraId="419B7319" w14:textId="77777777" w:rsidR="003A065D" w:rsidRDefault="003A065D" w:rsidP="007502F1">
      <w:pPr>
        <w:overflowPunct/>
        <w:textAlignment w:val="auto"/>
      </w:pPr>
      <w:r>
        <w:t>UAC enhancements for RedCap UEs were discussed in email discussion [1] and the following summary was made:</w:t>
      </w:r>
    </w:p>
    <w:tbl>
      <w:tblPr>
        <w:tblStyle w:val="TableGrid"/>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RedCap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b/>
              </w:rPr>
              <w:t xml:space="preserve">RAN2 motivation for UAC enhancement for RedCap UEs </w:t>
            </w:r>
          </w:p>
          <w:p w14:paraId="6384D1E8" w14:textId="68628309" w:rsidR="003A065D" w:rsidRPr="003A065D" w:rsidRDefault="003A065D" w:rsidP="00286D34">
            <w:pPr>
              <w:pStyle w:val="ListParagraph"/>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1934D4F3" w:rsidR="003A065D" w:rsidRPr="00B207EF" w:rsidRDefault="009D0417" w:rsidP="00286D34">
            <w:pPr>
              <w:overflowPunct/>
              <w:spacing w:before="60" w:after="60"/>
              <w:textAlignment w:val="auto"/>
            </w:pPr>
            <w:r>
              <w:rPr>
                <w:rFonts w:hint="eastAsia"/>
              </w:rPr>
              <w:lastRenderedPageBreak/>
              <w:t>v</w:t>
            </w:r>
            <w:r>
              <w:t>ivo</w:t>
            </w:r>
          </w:p>
        </w:tc>
        <w:tc>
          <w:tcPr>
            <w:tcW w:w="7703" w:type="dxa"/>
            <w:shd w:val="clear" w:color="auto" w:fill="auto"/>
            <w:vAlign w:val="center"/>
          </w:tcPr>
          <w:p w14:paraId="744FC066" w14:textId="4E24A3C1" w:rsidR="003A065D" w:rsidRPr="00B207EF" w:rsidRDefault="00A92677" w:rsidP="00286D34">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286D34">
        <w:trPr>
          <w:trHeight w:val="167"/>
          <w:jc w:val="center"/>
        </w:trPr>
        <w:tc>
          <w:tcPr>
            <w:tcW w:w="1931" w:type="dxa"/>
            <w:shd w:val="clear" w:color="auto" w:fill="FFFFFF"/>
            <w:noWrap/>
            <w:vAlign w:val="center"/>
          </w:tcPr>
          <w:p w14:paraId="16A8A7BB" w14:textId="1B41DBFA" w:rsidR="003A065D" w:rsidRPr="00B207EF" w:rsidRDefault="00755909" w:rsidP="00286D34">
            <w:pPr>
              <w:overflowPunct/>
              <w:spacing w:before="60" w:after="60"/>
              <w:textAlignment w:val="auto"/>
            </w:pPr>
            <w:r>
              <w:t>Nokia</w:t>
            </w:r>
          </w:p>
        </w:tc>
        <w:tc>
          <w:tcPr>
            <w:tcW w:w="7703" w:type="dxa"/>
            <w:shd w:val="clear" w:color="auto" w:fill="auto"/>
          </w:tcPr>
          <w:p w14:paraId="5F37799D" w14:textId="56DF782C" w:rsidR="003A065D" w:rsidRPr="00B207EF" w:rsidRDefault="00755909" w:rsidP="00286D34">
            <w:pPr>
              <w:overflowPunct/>
              <w:spacing w:before="60" w:after="60"/>
              <w:jc w:val="left"/>
              <w:textAlignment w:val="auto"/>
            </w:pPr>
            <w:r>
              <w:t>We don’t see there is enough details to be provided for SA1 that they would benefit of receiving this LS.</w:t>
            </w:r>
          </w:p>
        </w:tc>
      </w:tr>
      <w:tr w:rsidR="00B26911" w:rsidRPr="00B207EF" w14:paraId="13619CD9" w14:textId="77777777" w:rsidTr="00F1496E">
        <w:trPr>
          <w:trHeight w:val="167"/>
          <w:jc w:val="center"/>
        </w:trPr>
        <w:tc>
          <w:tcPr>
            <w:tcW w:w="1931" w:type="dxa"/>
            <w:shd w:val="clear" w:color="auto" w:fill="FFFFFF"/>
            <w:noWrap/>
            <w:vAlign w:val="center"/>
          </w:tcPr>
          <w:p w14:paraId="5CA1F75F" w14:textId="5508FC17" w:rsidR="00B26911" w:rsidRPr="00B207EF" w:rsidRDefault="00B26911" w:rsidP="00B26911">
            <w:pPr>
              <w:overflowPunct/>
              <w:spacing w:before="60" w:after="60"/>
              <w:textAlignment w:val="auto"/>
            </w:pPr>
            <w:r>
              <w:t>Intel</w:t>
            </w:r>
          </w:p>
        </w:tc>
        <w:tc>
          <w:tcPr>
            <w:tcW w:w="7703" w:type="dxa"/>
            <w:shd w:val="clear" w:color="auto" w:fill="auto"/>
          </w:tcPr>
          <w:p w14:paraId="54BBEF45" w14:textId="77777777" w:rsidR="00B26911" w:rsidRPr="00C72F7D" w:rsidRDefault="00B26911" w:rsidP="00B26911">
            <w:pPr>
              <w:overflowPunct/>
              <w:textAlignment w:val="auto"/>
              <w:rPr>
                <w:rFonts w:eastAsiaTheme="minorEastAsia"/>
                <w:b/>
              </w:rPr>
            </w:pPr>
            <w:r>
              <w:t>Ok to send the LS, but before that RAN2 should discuss “</w:t>
            </w:r>
            <w:r w:rsidRPr="00C72F7D">
              <w:rPr>
                <w:rFonts w:eastAsiaTheme="minorEastAsia"/>
                <w:b/>
              </w:rPr>
              <w:t xml:space="preserve">RAN2 motivation for UAC enhancement for RedCap UEs </w:t>
            </w:r>
          </w:p>
          <w:p w14:paraId="4C9BE309" w14:textId="48D72001" w:rsidR="00B26911" w:rsidRPr="00B207EF" w:rsidRDefault="00B26911" w:rsidP="00B26911">
            <w:pPr>
              <w:overflowPunct/>
              <w:spacing w:before="60" w:after="60"/>
              <w:textAlignment w:val="auto"/>
            </w:pPr>
            <w:r>
              <w:t>”</w:t>
            </w:r>
          </w:p>
        </w:tc>
      </w:tr>
      <w:tr w:rsidR="00623B1C" w:rsidRPr="00B207EF" w14:paraId="414BFA42" w14:textId="77777777" w:rsidTr="00810C60">
        <w:trPr>
          <w:trHeight w:val="167"/>
          <w:jc w:val="center"/>
        </w:trPr>
        <w:tc>
          <w:tcPr>
            <w:tcW w:w="1931" w:type="dxa"/>
            <w:shd w:val="clear" w:color="auto" w:fill="auto"/>
            <w:noWrap/>
            <w:vAlign w:val="center"/>
          </w:tcPr>
          <w:p w14:paraId="22CAFCBD" w14:textId="747E2777" w:rsidR="00623B1C" w:rsidRPr="00B207EF" w:rsidRDefault="00623B1C" w:rsidP="00623B1C">
            <w:pPr>
              <w:overflowPunct/>
              <w:spacing w:before="60" w:after="60"/>
              <w:textAlignment w:val="auto"/>
            </w:pPr>
            <w:r>
              <w:t>Ericsson</w:t>
            </w:r>
          </w:p>
        </w:tc>
        <w:tc>
          <w:tcPr>
            <w:tcW w:w="7703" w:type="dxa"/>
            <w:shd w:val="clear" w:color="auto" w:fill="auto"/>
          </w:tcPr>
          <w:p w14:paraId="604E9236" w14:textId="403BF97A" w:rsidR="00623B1C" w:rsidRPr="00B207EF" w:rsidRDefault="00623B1C" w:rsidP="00623B1C">
            <w:pPr>
              <w:overflowPunct/>
              <w:spacing w:before="60" w:after="60"/>
              <w:textAlignment w:val="auto"/>
            </w:pPr>
            <w:r>
              <w:t xml:space="preserve">Fine to send an LS </w:t>
            </w:r>
            <w:r>
              <w:t xml:space="preserve">later </w:t>
            </w:r>
            <w:r>
              <w:t xml:space="preserve">but we should first discuss what the actual options would be and whether there is a preference from RAN2 point of view. It would be fine to capture the various alternatives discussed e.g. in tdocs in the TR and then discuss what we should actually ask from SA1/CT1. </w:t>
            </w:r>
          </w:p>
        </w:tc>
      </w:tr>
      <w:tr w:rsidR="00623B1C" w:rsidRPr="00B207EF" w14:paraId="01C689A5" w14:textId="77777777" w:rsidTr="00286D34">
        <w:trPr>
          <w:trHeight w:val="167"/>
          <w:jc w:val="center"/>
        </w:trPr>
        <w:tc>
          <w:tcPr>
            <w:tcW w:w="1931" w:type="dxa"/>
            <w:shd w:val="clear" w:color="auto" w:fill="auto"/>
            <w:noWrap/>
            <w:vAlign w:val="center"/>
          </w:tcPr>
          <w:p w14:paraId="1ACC8B3F" w14:textId="77777777" w:rsidR="00623B1C" w:rsidRPr="00B207EF" w:rsidRDefault="00623B1C" w:rsidP="00623B1C">
            <w:pPr>
              <w:overflowPunct/>
              <w:spacing w:before="60" w:after="60"/>
              <w:textAlignment w:val="auto"/>
            </w:pPr>
          </w:p>
        </w:tc>
        <w:tc>
          <w:tcPr>
            <w:tcW w:w="7703" w:type="dxa"/>
            <w:shd w:val="clear" w:color="auto" w:fill="auto"/>
            <w:vAlign w:val="center"/>
          </w:tcPr>
          <w:p w14:paraId="3406BE7D" w14:textId="77777777" w:rsidR="00623B1C" w:rsidRPr="00B207EF" w:rsidRDefault="00623B1C" w:rsidP="00623B1C">
            <w:pPr>
              <w:overflowPunct/>
              <w:spacing w:before="60" w:after="60"/>
              <w:textAlignment w:val="auto"/>
            </w:pPr>
          </w:p>
        </w:tc>
      </w:tr>
      <w:tr w:rsidR="00623B1C" w:rsidRPr="00B207EF" w14:paraId="770ABB33" w14:textId="77777777" w:rsidTr="00286D34">
        <w:trPr>
          <w:trHeight w:val="167"/>
          <w:jc w:val="center"/>
        </w:trPr>
        <w:tc>
          <w:tcPr>
            <w:tcW w:w="1931" w:type="dxa"/>
            <w:shd w:val="clear" w:color="auto" w:fill="auto"/>
            <w:noWrap/>
          </w:tcPr>
          <w:p w14:paraId="389B3650" w14:textId="77777777" w:rsidR="00623B1C" w:rsidRPr="00B207EF" w:rsidRDefault="00623B1C" w:rsidP="00623B1C">
            <w:pPr>
              <w:overflowPunct/>
              <w:spacing w:before="60" w:after="60"/>
              <w:textAlignment w:val="auto"/>
            </w:pPr>
          </w:p>
        </w:tc>
        <w:tc>
          <w:tcPr>
            <w:tcW w:w="7703" w:type="dxa"/>
            <w:shd w:val="clear" w:color="auto" w:fill="auto"/>
          </w:tcPr>
          <w:p w14:paraId="357F7DD2" w14:textId="77777777" w:rsidR="00623B1C" w:rsidRPr="00B207EF" w:rsidRDefault="00623B1C" w:rsidP="00623B1C">
            <w:pPr>
              <w:overflowPunct/>
              <w:spacing w:before="60" w:after="60"/>
              <w:textAlignment w:val="auto"/>
            </w:pPr>
          </w:p>
        </w:tc>
      </w:tr>
      <w:tr w:rsidR="00623B1C" w:rsidRPr="00B207EF" w14:paraId="5716DB64" w14:textId="77777777" w:rsidTr="00286D34">
        <w:trPr>
          <w:trHeight w:val="167"/>
          <w:jc w:val="center"/>
        </w:trPr>
        <w:tc>
          <w:tcPr>
            <w:tcW w:w="1931" w:type="dxa"/>
            <w:shd w:val="clear" w:color="auto" w:fill="FFFFFF"/>
            <w:noWrap/>
          </w:tcPr>
          <w:p w14:paraId="71BC9287" w14:textId="77777777" w:rsidR="00623B1C" w:rsidRPr="00B207EF" w:rsidRDefault="00623B1C" w:rsidP="00623B1C">
            <w:pPr>
              <w:overflowPunct/>
              <w:spacing w:before="60" w:after="60"/>
              <w:textAlignment w:val="auto"/>
            </w:pPr>
          </w:p>
        </w:tc>
        <w:tc>
          <w:tcPr>
            <w:tcW w:w="7703" w:type="dxa"/>
            <w:shd w:val="clear" w:color="auto" w:fill="auto"/>
          </w:tcPr>
          <w:p w14:paraId="6A4E40BF" w14:textId="77777777" w:rsidR="00623B1C" w:rsidRPr="00B207EF" w:rsidRDefault="00623B1C" w:rsidP="00623B1C">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Heading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RedCap UEs are allowed to camp on the cell and </w:t>
      </w:r>
      <w:r w:rsidRPr="003A065D">
        <w:t>intraFreqReselection</w:t>
      </w:r>
      <w:r>
        <w:t xml:space="preserve"> for RedCap UEs, the following summary was made in [1]:</w:t>
      </w:r>
    </w:p>
    <w:tbl>
      <w:tblPr>
        <w:tblStyle w:val="TableGrid"/>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indication about whether the RedCap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r w:rsidRPr="003A065D">
              <w:rPr>
                <w:u w:val="single"/>
              </w:rPr>
              <w:t>intraFreqReselection for RedCap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Heading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R</w:t>
      </w:r>
      <w:r w:rsidR="00A46421" w:rsidRPr="00B207EF">
        <w:rPr>
          <w:rFonts w:cs="Arial"/>
          <w:bCs/>
          <w:lang w:val="en-US"/>
        </w:rPr>
        <w:t>edCap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Heading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6" w:name="_Ref430705448"/>
      <w:bookmarkStart w:id="7" w:name="_Ref189809556"/>
      <w:bookmarkStart w:id="8" w:name="_Ref174151459"/>
      <w:bookmarkStart w:id="9" w:name="OLE_LINK14"/>
      <w:bookmarkStart w:id="10" w:name="OLE_LINK292"/>
      <w:bookmarkStart w:id="11" w:name="OLE_LINK293"/>
      <w:bookmarkStart w:id="12"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3" w:name="OLE_LINK83"/>
      <w:bookmarkStart w:id="14"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3"/>
      <w:bookmarkEnd w:id="14"/>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6"/>
    <w:bookmarkEnd w:id="7"/>
    <w:bookmarkEnd w:id="8"/>
    <w:bookmarkEnd w:id="9"/>
    <w:bookmarkEnd w:id="10"/>
    <w:bookmarkEnd w:id="11"/>
    <w:bookmarkEnd w:id="12"/>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Heading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uawei, HiSilicon</w:t>
            </w:r>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Naveen Palle</w:t>
            </w:r>
          </w:p>
        </w:tc>
        <w:tc>
          <w:tcPr>
            <w:tcW w:w="2207" w:type="dxa"/>
            <w:vAlign w:val="center"/>
          </w:tcPr>
          <w:p w14:paraId="50B7965A" w14:textId="0B773614" w:rsidR="00866D24" w:rsidRPr="00B207EF" w:rsidRDefault="00A16644" w:rsidP="00866D24">
            <w:pPr>
              <w:overflowPunct/>
              <w:spacing w:before="60" w:after="60"/>
              <w:textAlignment w:val="auto"/>
            </w:pPr>
            <w:r>
              <w:t>Apple Inc</w:t>
            </w:r>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r>
              <w:rPr>
                <w:rFonts w:hint="eastAsia"/>
              </w:rPr>
              <w:t>C</w:t>
            </w:r>
            <w:r>
              <w:t>henli</w:t>
            </w:r>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7A5D7AE4" w:rsidR="00866D24" w:rsidRPr="00B207EF" w:rsidRDefault="00755909" w:rsidP="00866D24">
            <w:pPr>
              <w:overflowPunct/>
              <w:spacing w:before="60" w:after="60"/>
              <w:textAlignment w:val="auto"/>
            </w:pPr>
            <w:r>
              <w:t>Samuli Turtinen</w:t>
            </w:r>
          </w:p>
        </w:tc>
        <w:tc>
          <w:tcPr>
            <w:tcW w:w="2207" w:type="dxa"/>
            <w:vAlign w:val="center"/>
          </w:tcPr>
          <w:p w14:paraId="5A7CF6F7" w14:textId="58415F66" w:rsidR="00866D24" w:rsidRPr="00B207EF" w:rsidRDefault="00755909" w:rsidP="00866D24">
            <w:pPr>
              <w:overflowPunct/>
              <w:spacing w:before="60" w:after="60"/>
              <w:textAlignment w:val="auto"/>
            </w:pPr>
            <w:r>
              <w:t>Nokia, Nokia Shanghai Bell</w:t>
            </w:r>
          </w:p>
        </w:tc>
        <w:tc>
          <w:tcPr>
            <w:tcW w:w="5555" w:type="dxa"/>
            <w:shd w:val="clear" w:color="auto" w:fill="auto"/>
            <w:vAlign w:val="center"/>
          </w:tcPr>
          <w:p w14:paraId="071B4D2E" w14:textId="56162559" w:rsidR="00866D24" w:rsidRPr="00B207EF" w:rsidRDefault="00711DD1" w:rsidP="00866D24">
            <w:pPr>
              <w:overflowPunct/>
              <w:spacing w:before="60" w:after="60"/>
              <w:textAlignment w:val="auto"/>
            </w:pPr>
            <w:hyperlink r:id="rId13" w:history="1">
              <w:r w:rsidR="00755909" w:rsidRPr="00862DA9">
                <w:rPr>
                  <w:rStyle w:val="Hyperlink"/>
                </w:rPr>
                <w:t>samuli.turtinen@nokia-bell-labs.com</w:t>
              </w:r>
            </w:hyperlink>
          </w:p>
        </w:tc>
      </w:tr>
      <w:tr w:rsidR="00711DD1" w:rsidRPr="00B207EF" w14:paraId="766CBE2E" w14:textId="77777777" w:rsidTr="00866D24">
        <w:trPr>
          <w:trHeight w:val="167"/>
          <w:jc w:val="center"/>
        </w:trPr>
        <w:tc>
          <w:tcPr>
            <w:tcW w:w="1931" w:type="dxa"/>
            <w:shd w:val="clear" w:color="auto" w:fill="FFFFFF"/>
            <w:noWrap/>
            <w:vAlign w:val="center"/>
          </w:tcPr>
          <w:p w14:paraId="0BC250D1" w14:textId="008A8726" w:rsidR="00711DD1" w:rsidRPr="00B207EF" w:rsidRDefault="00711DD1" w:rsidP="00711DD1">
            <w:pPr>
              <w:overflowPunct/>
              <w:spacing w:before="60" w:after="60"/>
              <w:textAlignment w:val="auto"/>
            </w:pPr>
            <w:r>
              <w:t>Tuomas Tirronen</w:t>
            </w:r>
          </w:p>
        </w:tc>
        <w:tc>
          <w:tcPr>
            <w:tcW w:w="2207" w:type="dxa"/>
            <w:vAlign w:val="center"/>
          </w:tcPr>
          <w:p w14:paraId="38A3151A" w14:textId="5D6F7B85" w:rsidR="00711DD1" w:rsidRPr="00B207EF" w:rsidRDefault="00711DD1" w:rsidP="00711DD1">
            <w:pPr>
              <w:overflowPunct/>
              <w:spacing w:before="60" w:after="60"/>
              <w:textAlignment w:val="auto"/>
            </w:pPr>
            <w:r>
              <w:t>Ericsson</w:t>
            </w:r>
          </w:p>
        </w:tc>
        <w:tc>
          <w:tcPr>
            <w:tcW w:w="5555" w:type="dxa"/>
            <w:shd w:val="clear" w:color="auto" w:fill="auto"/>
            <w:vAlign w:val="center"/>
          </w:tcPr>
          <w:p w14:paraId="636D629B" w14:textId="18E2786F" w:rsidR="00711DD1" w:rsidRPr="00B207EF" w:rsidRDefault="00711DD1" w:rsidP="00711DD1">
            <w:pPr>
              <w:overflowPunct/>
              <w:spacing w:before="60" w:after="60"/>
              <w:textAlignment w:val="auto"/>
            </w:pPr>
            <w:r>
              <w:t>tuomas.tirronen@ericsson.com</w:t>
            </w:r>
          </w:p>
        </w:tc>
      </w:tr>
      <w:tr w:rsidR="00711DD1" w:rsidRPr="00B207EF" w14:paraId="7B53CEAF" w14:textId="77777777" w:rsidTr="00866D24">
        <w:trPr>
          <w:trHeight w:val="167"/>
          <w:jc w:val="center"/>
        </w:trPr>
        <w:tc>
          <w:tcPr>
            <w:tcW w:w="1931" w:type="dxa"/>
            <w:shd w:val="clear" w:color="auto" w:fill="FFFFFF"/>
            <w:noWrap/>
            <w:vAlign w:val="center"/>
          </w:tcPr>
          <w:p w14:paraId="44C8DDCD" w14:textId="7C482E2F" w:rsidR="00711DD1" w:rsidRPr="00B207EF" w:rsidRDefault="00711DD1" w:rsidP="00711DD1">
            <w:pPr>
              <w:overflowPunct/>
              <w:spacing w:before="60" w:after="60"/>
              <w:textAlignment w:val="auto"/>
            </w:pPr>
          </w:p>
        </w:tc>
        <w:tc>
          <w:tcPr>
            <w:tcW w:w="2207" w:type="dxa"/>
            <w:vAlign w:val="center"/>
          </w:tcPr>
          <w:p w14:paraId="68F1DB4F" w14:textId="0ED77FA2" w:rsidR="00711DD1" w:rsidRPr="00B207EF" w:rsidRDefault="00711DD1" w:rsidP="00711DD1">
            <w:pPr>
              <w:overflowPunct/>
              <w:spacing w:before="60" w:after="60"/>
              <w:textAlignment w:val="auto"/>
            </w:pPr>
          </w:p>
        </w:tc>
        <w:tc>
          <w:tcPr>
            <w:tcW w:w="5555" w:type="dxa"/>
            <w:shd w:val="clear" w:color="auto" w:fill="auto"/>
            <w:vAlign w:val="center"/>
          </w:tcPr>
          <w:p w14:paraId="21775DBD" w14:textId="5752641D" w:rsidR="00711DD1" w:rsidRPr="00B207EF" w:rsidRDefault="00711DD1" w:rsidP="00711DD1">
            <w:pPr>
              <w:overflowPunct/>
              <w:spacing w:before="60" w:after="60"/>
              <w:textAlignment w:val="auto"/>
            </w:pPr>
          </w:p>
        </w:tc>
      </w:tr>
      <w:tr w:rsidR="00711DD1" w:rsidRPr="00B207EF" w14:paraId="1E32730F" w14:textId="77777777" w:rsidTr="00866D24">
        <w:trPr>
          <w:trHeight w:val="167"/>
          <w:jc w:val="center"/>
        </w:trPr>
        <w:tc>
          <w:tcPr>
            <w:tcW w:w="1931" w:type="dxa"/>
            <w:shd w:val="clear" w:color="auto" w:fill="FFFFFF"/>
            <w:noWrap/>
            <w:vAlign w:val="center"/>
          </w:tcPr>
          <w:p w14:paraId="592D0429" w14:textId="1CD0CBD0" w:rsidR="00711DD1" w:rsidRPr="00B207EF" w:rsidRDefault="00711DD1" w:rsidP="00711DD1">
            <w:pPr>
              <w:overflowPunct/>
              <w:spacing w:before="60" w:after="60"/>
              <w:textAlignment w:val="auto"/>
              <w:rPr>
                <w:rFonts w:eastAsia="Yu Mincho"/>
                <w:lang w:eastAsia="ja-JP"/>
              </w:rPr>
            </w:pPr>
          </w:p>
        </w:tc>
        <w:tc>
          <w:tcPr>
            <w:tcW w:w="2207" w:type="dxa"/>
            <w:vAlign w:val="center"/>
          </w:tcPr>
          <w:p w14:paraId="2F058B03" w14:textId="19A9A94E" w:rsidR="00711DD1" w:rsidRPr="00B207EF" w:rsidRDefault="00711DD1" w:rsidP="00711DD1">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11DD1" w:rsidRPr="00B207EF" w:rsidRDefault="00711DD1" w:rsidP="00711DD1">
            <w:pPr>
              <w:overflowPunct/>
              <w:spacing w:before="60" w:after="60"/>
              <w:textAlignment w:val="auto"/>
              <w:rPr>
                <w:rFonts w:eastAsia="Yu Mincho"/>
                <w:lang w:eastAsia="ja-JP"/>
              </w:rPr>
            </w:pPr>
          </w:p>
        </w:tc>
      </w:tr>
      <w:tr w:rsidR="00711DD1" w:rsidRPr="00B207EF" w14:paraId="20F42B29" w14:textId="77777777" w:rsidTr="00866D24">
        <w:trPr>
          <w:trHeight w:val="167"/>
          <w:jc w:val="center"/>
        </w:trPr>
        <w:tc>
          <w:tcPr>
            <w:tcW w:w="1931" w:type="dxa"/>
            <w:shd w:val="clear" w:color="auto" w:fill="FFFFFF"/>
            <w:noWrap/>
            <w:vAlign w:val="center"/>
          </w:tcPr>
          <w:p w14:paraId="1074DAF9" w14:textId="4A802FC6" w:rsidR="00711DD1" w:rsidRPr="00B207EF" w:rsidRDefault="00711DD1" w:rsidP="00711DD1">
            <w:pPr>
              <w:overflowPunct/>
              <w:spacing w:before="60" w:after="60"/>
              <w:textAlignment w:val="auto"/>
            </w:pPr>
          </w:p>
        </w:tc>
        <w:tc>
          <w:tcPr>
            <w:tcW w:w="2207" w:type="dxa"/>
            <w:vAlign w:val="center"/>
          </w:tcPr>
          <w:p w14:paraId="6E0148BD" w14:textId="383453D0" w:rsidR="00711DD1" w:rsidRPr="00B207EF" w:rsidRDefault="00711DD1" w:rsidP="00711DD1">
            <w:pPr>
              <w:overflowPunct/>
              <w:spacing w:before="60" w:after="60"/>
              <w:textAlignment w:val="auto"/>
            </w:pPr>
          </w:p>
        </w:tc>
        <w:tc>
          <w:tcPr>
            <w:tcW w:w="5555" w:type="dxa"/>
            <w:shd w:val="clear" w:color="auto" w:fill="auto"/>
            <w:vAlign w:val="center"/>
          </w:tcPr>
          <w:p w14:paraId="42506309" w14:textId="1127A011" w:rsidR="00711DD1" w:rsidRPr="00B207EF" w:rsidRDefault="00711DD1" w:rsidP="00711DD1">
            <w:pPr>
              <w:overflowPunct/>
              <w:spacing w:before="60" w:after="60"/>
              <w:textAlignment w:val="auto"/>
            </w:pPr>
          </w:p>
        </w:tc>
      </w:tr>
      <w:tr w:rsidR="00711DD1" w:rsidRPr="00B207EF" w14:paraId="12E7BAE0" w14:textId="77777777" w:rsidTr="00866D24">
        <w:trPr>
          <w:trHeight w:val="167"/>
          <w:jc w:val="center"/>
        </w:trPr>
        <w:tc>
          <w:tcPr>
            <w:tcW w:w="1931" w:type="dxa"/>
            <w:shd w:val="clear" w:color="auto" w:fill="FFFFFF"/>
            <w:noWrap/>
            <w:vAlign w:val="center"/>
          </w:tcPr>
          <w:p w14:paraId="52288408" w14:textId="6EADAABC" w:rsidR="00711DD1" w:rsidRPr="00B207EF" w:rsidRDefault="00711DD1" w:rsidP="00711DD1">
            <w:pPr>
              <w:overflowPunct/>
              <w:spacing w:before="60" w:after="60"/>
              <w:textAlignment w:val="auto"/>
            </w:pPr>
          </w:p>
        </w:tc>
        <w:tc>
          <w:tcPr>
            <w:tcW w:w="2207" w:type="dxa"/>
            <w:vAlign w:val="center"/>
          </w:tcPr>
          <w:p w14:paraId="775E1353" w14:textId="7B7911D2" w:rsidR="00711DD1" w:rsidRPr="00B207EF" w:rsidRDefault="00711DD1" w:rsidP="00711DD1">
            <w:pPr>
              <w:overflowPunct/>
              <w:spacing w:before="60" w:after="60"/>
              <w:textAlignment w:val="auto"/>
            </w:pPr>
          </w:p>
        </w:tc>
        <w:tc>
          <w:tcPr>
            <w:tcW w:w="5555" w:type="dxa"/>
            <w:shd w:val="clear" w:color="auto" w:fill="auto"/>
            <w:vAlign w:val="center"/>
          </w:tcPr>
          <w:p w14:paraId="6F1850FC" w14:textId="32B59745" w:rsidR="00711DD1" w:rsidRPr="00B207EF" w:rsidRDefault="00711DD1" w:rsidP="00711DD1">
            <w:pPr>
              <w:overflowPunct/>
              <w:spacing w:before="60" w:after="60"/>
              <w:textAlignment w:val="auto"/>
            </w:pPr>
          </w:p>
        </w:tc>
      </w:tr>
      <w:tr w:rsidR="00711DD1" w:rsidRPr="00B207EF" w14:paraId="187F7026" w14:textId="77777777" w:rsidTr="00866D24">
        <w:trPr>
          <w:trHeight w:val="167"/>
          <w:jc w:val="center"/>
        </w:trPr>
        <w:tc>
          <w:tcPr>
            <w:tcW w:w="1931" w:type="dxa"/>
            <w:shd w:val="clear" w:color="auto" w:fill="FFFFFF"/>
            <w:noWrap/>
            <w:vAlign w:val="center"/>
          </w:tcPr>
          <w:p w14:paraId="5EF8E96E" w14:textId="4CDD1F04" w:rsidR="00711DD1" w:rsidRPr="00B207EF" w:rsidRDefault="00711DD1" w:rsidP="00711DD1">
            <w:pPr>
              <w:overflowPunct/>
              <w:spacing w:before="60" w:after="60"/>
              <w:textAlignment w:val="auto"/>
            </w:pPr>
          </w:p>
        </w:tc>
        <w:tc>
          <w:tcPr>
            <w:tcW w:w="2207" w:type="dxa"/>
            <w:vAlign w:val="center"/>
          </w:tcPr>
          <w:p w14:paraId="0E201ACC" w14:textId="059F5719" w:rsidR="00711DD1" w:rsidRPr="00B207EF" w:rsidRDefault="00711DD1" w:rsidP="00711DD1">
            <w:pPr>
              <w:overflowPunct/>
              <w:spacing w:before="60" w:after="60"/>
              <w:textAlignment w:val="auto"/>
            </w:pPr>
          </w:p>
        </w:tc>
        <w:tc>
          <w:tcPr>
            <w:tcW w:w="5555" w:type="dxa"/>
            <w:shd w:val="clear" w:color="auto" w:fill="auto"/>
            <w:vAlign w:val="center"/>
          </w:tcPr>
          <w:p w14:paraId="00B0C4ED" w14:textId="177BDB78" w:rsidR="00711DD1" w:rsidRPr="00B207EF" w:rsidRDefault="00711DD1" w:rsidP="00711DD1">
            <w:pPr>
              <w:overflowPunct/>
              <w:spacing w:before="60" w:after="60"/>
              <w:textAlignment w:val="auto"/>
            </w:pPr>
          </w:p>
        </w:tc>
      </w:tr>
      <w:tr w:rsidR="00711DD1" w:rsidRPr="00B207EF" w14:paraId="1C10865F" w14:textId="77777777" w:rsidTr="00866D24">
        <w:trPr>
          <w:trHeight w:val="167"/>
          <w:jc w:val="center"/>
        </w:trPr>
        <w:tc>
          <w:tcPr>
            <w:tcW w:w="1931" w:type="dxa"/>
            <w:shd w:val="clear" w:color="auto" w:fill="FFFFFF"/>
            <w:noWrap/>
            <w:vAlign w:val="center"/>
          </w:tcPr>
          <w:p w14:paraId="6BFE102F" w14:textId="6A6836A3" w:rsidR="00711DD1" w:rsidRPr="00B207EF" w:rsidRDefault="00711DD1" w:rsidP="00711DD1">
            <w:pPr>
              <w:overflowPunct/>
              <w:spacing w:before="60" w:after="60"/>
              <w:textAlignment w:val="auto"/>
            </w:pPr>
          </w:p>
        </w:tc>
        <w:tc>
          <w:tcPr>
            <w:tcW w:w="2207" w:type="dxa"/>
            <w:vAlign w:val="center"/>
          </w:tcPr>
          <w:p w14:paraId="0CBFD121" w14:textId="292E25AD" w:rsidR="00711DD1" w:rsidRPr="00B207EF" w:rsidRDefault="00711DD1" w:rsidP="00711DD1">
            <w:pPr>
              <w:overflowPunct/>
              <w:spacing w:before="60" w:after="60"/>
              <w:textAlignment w:val="auto"/>
            </w:pPr>
          </w:p>
        </w:tc>
        <w:tc>
          <w:tcPr>
            <w:tcW w:w="5555" w:type="dxa"/>
            <w:shd w:val="clear" w:color="auto" w:fill="auto"/>
            <w:vAlign w:val="center"/>
          </w:tcPr>
          <w:p w14:paraId="35C68607" w14:textId="59FBBA7D" w:rsidR="00711DD1" w:rsidRPr="00B207EF" w:rsidRDefault="00711DD1" w:rsidP="00711DD1">
            <w:pPr>
              <w:overflowPunct/>
              <w:spacing w:before="60" w:after="60"/>
              <w:textAlignment w:val="auto"/>
            </w:pPr>
          </w:p>
        </w:tc>
      </w:tr>
      <w:tr w:rsidR="00711DD1" w:rsidRPr="00B207EF" w14:paraId="4B538EB4" w14:textId="77777777" w:rsidTr="00866D24">
        <w:trPr>
          <w:trHeight w:val="167"/>
          <w:jc w:val="center"/>
        </w:trPr>
        <w:tc>
          <w:tcPr>
            <w:tcW w:w="1931" w:type="dxa"/>
            <w:shd w:val="clear" w:color="auto" w:fill="FFFFFF"/>
            <w:noWrap/>
            <w:vAlign w:val="center"/>
          </w:tcPr>
          <w:p w14:paraId="40FFBD75" w14:textId="4D9B6F33"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E140E44" w14:textId="473B6B98"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11DD1" w:rsidRPr="00B207EF" w:rsidRDefault="00711DD1" w:rsidP="00711DD1">
            <w:pPr>
              <w:overflowPunct/>
              <w:spacing w:before="60" w:after="60"/>
              <w:textAlignment w:val="auto"/>
              <w:rPr>
                <w:rFonts w:eastAsia="Malgun Gothic"/>
                <w:lang w:eastAsia="ko-KR"/>
              </w:rPr>
            </w:pPr>
          </w:p>
        </w:tc>
      </w:tr>
      <w:tr w:rsidR="00711DD1" w:rsidRPr="00B207EF" w14:paraId="39E0E9DD" w14:textId="77777777" w:rsidTr="00866D24">
        <w:trPr>
          <w:trHeight w:val="167"/>
          <w:jc w:val="center"/>
        </w:trPr>
        <w:tc>
          <w:tcPr>
            <w:tcW w:w="1931" w:type="dxa"/>
            <w:shd w:val="clear" w:color="auto" w:fill="FFFFFF"/>
            <w:noWrap/>
            <w:vAlign w:val="center"/>
          </w:tcPr>
          <w:p w14:paraId="5F966C3A" w14:textId="308CF646"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8C2C8EF" w14:textId="7CC51A40"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11DD1" w:rsidRPr="00B207EF" w:rsidRDefault="00711DD1" w:rsidP="00711DD1">
            <w:pPr>
              <w:overflowPunct/>
              <w:spacing w:before="60" w:after="60"/>
              <w:textAlignment w:val="auto"/>
              <w:rPr>
                <w:rFonts w:eastAsia="Malgun Gothic"/>
                <w:lang w:eastAsia="ko-KR"/>
              </w:rPr>
            </w:pPr>
          </w:p>
        </w:tc>
      </w:tr>
      <w:tr w:rsidR="00711DD1" w:rsidRPr="00B207EF" w14:paraId="201EF54B" w14:textId="77777777" w:rsidTr="00866D24">
        <w:trPr>
          <w:trHeight w:val="167"/>
          <w:jc w:val="center"/>
        </w:trPr>
        <w:tc>
          <w:tcPr>
            <w:tcW w:w="1931" w:type="dxa"/>
            <w:shd w:val="clear" w:color="auto" w:fill="FFFFFF"/>
            <w:noWrap/>
            <w:vAlign w:val="center"/>
          </w:tcPr>
          <w:p w14:paraId="360BDC10" w14:textId="54E340D9" w:rsidR="00711DD1" w:rsidRPr="00B207EF" w:rsidRDefault="00711DD1" w:rsidP="00711DD1">
            <w:pPr>
              <w:overflowPunct/>
              <w:spacing w:before="60" w:after="60"/>
              <w:textAlignment w:val="auto"/>
              <w:rPr>
                <w:rFonts w:eastAsiaTheme="minorEastAsia"/>
              </w:rPr>
            </w:pPr>
          </w:p>
        </w:tc>
        <w:tc>
          <w:tcPr>
            <w:tcW w:w="2207" w:type="dxa"/>
            <w:vAlign w:val="center"/>
          </w:tcPr>
          <w:p w14:paraId="00062549" w14:textId="1FB098D1" w:rsidR="00711DD1" w:rsidRPr="00B207EF" w:rsidRDefault="00711DD1" w:rsidP="00711DD1">
            <w:pPr>
              <w:overflowPunct/>
              <w:spacing w:before="60" w:after="60"/>
              <w:textAlignment w:val="auto"/>
              <w:rPr>
                <w:rFonts w:eastAsiaTheme="minorEastAsia"/>
              </w:rPr>
            </w:pPr>
          </w:p>
        </w:tc>
        <w:tc>
          <w:tcPr>
            <w:tcW w:w="5555" w:type="dxa"/>
            <w:shd w:val="clear" w:color="auto" w:fill="auto"/>
            <w:vAlign w:val="center"/>
          </w:tcPr>
          <w:p w14:paraId="06D12256" w14:textId="2AD099FF" w:rsidR="00711DD1" w:rsidRPr="00B207EF" w:rsidRDefault="00711DD1" w:rsidP="00711DD1">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1C3F" w14:textId="77777777" w:rsidR="002B443F" w:rsidRDefault="002B443F">
      <w:pPr>
        <w:spacing w:after="0" w:line="240" w:lineRule="auto"/>
      </w:pPr>
      <w:r>
        <w:separator/>
      </w:r>
    </w:p>
  </w:endnote>
  <w:endnote w:type="continuationSeparator" w:id="0">
    <w:p w14:paraId="70A686F6" w14:textId="77777777" w:rsidR="002B443F" w:rsidRDefault="002B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Ż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Bodoni MT"/>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C527B" w14:textId="77777777" w:rsidR="00B26911" w:rsidRDefault="00B2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71ECCC4C" w:rsidR="00A50179" w:rsidRDefault="00A501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0CA5">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0CA5">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63BB" w14:textId="77777777" w:rsidR="00B26911" w:rsidRDefault="00B2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E0C6B" w14:textId="77777777" w:rsidR="002B443F" w:rsidRDefault="002B443F">
      <w:pPr>
        <w:spacing w:after="0" w:line="240" w:lineRule="auto"/>
      </w:pPr>
      <w:r>
        <w:separator/>
      </w:r>
    </w:p>
  </w:footnote>
  <w:footnote w:type="continuationSeparator" w:id="0">
    <w:p w14:paraId="6F99ECB8" w14:textId="77777777" w:rsidR="002B443F" w:rsidRDefault="002B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A50179" w:rsidRDefault="00A501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60307" w14:textId="77777777" w:rsidR="00B26911" w:rsidRDefault="00B26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C63D3" w14:textId="77777777" w:rsidR="00B26911" w:rsidRDefault="00B2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12DA"/>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3B1C"/>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1DD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0C1"/>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Revision">
    <w:name w:val="Revision"/>
    <w:hidden/>
    <w:uiPriority w:val="99"/>
    <w:semiHidden/>
    <w:rsid w:val="00F53818"/>
    <w:pPr>
      <w:spacing w:after="0" w:line="240" w:lineRule="auto"/>
    </w:pPr>
    <w:rPr>
      <w:rFonts w:ascii="Arial" w:hAnsi="Arial"/>
      <w:lang w:val="en-GB" w:eastAsia="zh-CN"/>
    </w:rPr>
  </w:style>
  <w:style w:type="character" w:styleId="UnresolvedMention">
    <w:name w:val="Unresolved Mention"/>
    <w:basedOn w:val="DefaultParagraphFont"/>
    <w:uiPriority w:val="99"/>
    <w:semiHidden/>
    <w:unhideWhenUsed/>
    <w:rsid w:val="0075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muli.turtinen@nokia-bell-labs.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A0C7D3-06F7-4D03-A4C3-ADE8104F43F5}">
  <ds:schemaRefs>
    <ds:schemaRef ds:uri="http://schemas.openxmlformats.org/officeDocument/2006/bibliography"/>
  </ds:schemaRefs>
</ds:datastoreItem>
</file>

<file path=customXml/itemProps2.xml><?xml version="1.0" encoding="utf-8"?>
<ds:datastoreItem xmlns:ds="http://schemas.openxmlformats.org/officeDocument/2006/customXml" ds:itemID="{3699FD4E-3E3E-4638-B18E-C3DF0BB9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2</TotalTime>
  <Pages>6</Pages>
  <Words>1569</Words>
  <Characters>8945</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Ericsson - Tuomas</cp:lastModifiedBy>
  <cp:revision>5</cp:revision>
  <cp:lastPrinted>2019-08-02T23:53:00Z</cp:lastPrinted>
  <dcterms:created xsi:type="dcterms:W3CDTF">2020-11-09T16:49:00Z</dcterms:created>
  <dcterms:modified xsi:type="dcterms:W3CDTF">2020-11-09T16:54:00Z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