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QoE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Handling of RAN3 LS on QoE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1"/>
      </w:pPr>
      <w:r>
        <w:t>Introduction</w:t>
      </w:r>
    </w:p>
    <w:p w14:paraId="6CA7D75C" w14:textId="77777777" w:rsidR="0091167B" w:rsidRDefault="001C3B67">
      <w:pPr>
        <w:pStyle w:val="a6"/>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1"/>
      </w:pPr>
      <w:r>
        <w:t>Discussion</w:t>
      </w:r>
      <w:bookmarkEnd w:id="0"/>
    </w:p>
    <w:p w14:paraId="6CA7D75E" w14:textId="77777777" w:rsidR="0091167B" w:rsidRDefault="001C3B67">
      <w:pPr>
        <w:pStyle w:val="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“RAN3 has discussed the transport of NR QoE reports and agreed that the NR QoE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Rapporteur’s comment: It is the rapporteur’s understanding that this means that NR QoE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af4"/>
        <w:numPr>
          <w:ilvl w:val="0"/>
          <w:numId w:val="5"/>
        </w:numPr>
        <w:rPr>
          <w:lang w:val="en-GB" w:eastAsia="zh-CN"/>
        </w:rPr>
      </w:pPr>
      <w:r>
        <w:rPr>
          <w:lang w:val="en-GB" w:eastAsia="zh-CN"/>
        </w:rPr>
        <w:t>Send QoE reports via a separate SRB4 as in LTE.</w:t>
      </w:r>
    </w:p>
    <w:p w14:paraId="6CA7D764" w14:textId="77777777" w:rsidR="0091167B" w:rsidRDefault="001C3B67">
      <w:pPr>
        <w:pStyle w:val="af4"/>
        <w:numPr>
          <w:ilvl w:val="0"/>
          <w:numId w:val="5"/>
        </w:numPr>
        <w:rPr>
          <w:lang w:val="en-GB" w:eastAsia="zh-CN"/>
        </w:rPr>
      </w:pPr>
      <w:r>
        <w:rPr>
          <w:lang w:val="en-GB" w:eastAsia="zh-CN"/>
        </w:rPr>
        <w:t>Send QoE reports on another SRB.</w:t>
      </w:r>
    </w:p>
    <w:p w14:paraId="6CA7D765" w14:textId="77777777" w:rsidR="0091167B" w:rsidRDefault="001C3B67">
      <w:pPr>
        <w:pStyle w:val="af4"/>
        <w:numPr>
          <w:ilvl w:val="0"/>
          <w:numId w:val="5"/>
        </w:numPr>
        <w:rPr>
          <w:lang w:val="en-GB" w:eastAsia="zh-CN"/>
        </w:rPr>
      </w:pPr>
      <w:r>
        <w:rPr>
          <w:lang w:val="en-GB" w:eastAsia="zh-CN"/>
        </w:rPr>
        <w:t>Send QoE reports over user plane (not inline with RAN3 agreement).</w:t>
      </w:r>
    </w:p>
    <w:p w14:paraId="6CA7D766" w14:textId="77777777" w:rsidR="0091167B" w:rsidRDefault="001C3B67">
      <w:pPr>
        <w:pStyle w:val="af4"/>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af4"/>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ae"/>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t xml:space="preserve">In our understanding QMC feature require overview, as there are </w:t>
            </w:r>
            <w:r>
              <w:rPr>
                <w:rFonts w:eastAsiaTheme="minorEastAsia"/>
                <w:lang w:eastAsia="zh-CN"/>
              </w:rPr>
              <w:lastRenderedPageBreak/>
              <w:t xml:space="preserve">discrepancies between RAN2 assumptions (expectations) and SA5/4 design (please see </w:t>
            </w:r>
            <w:hyperlink r:id="rId13" w:history="1">
              <w:r>
                <w:rPr>
                  <w:rStyle w:val="af1"/>
                  <w:rFonts w:ascii="Cambria" w:hAnsi="Cambria"/>
                </w:rPr>
                <w:t>RP-181640</w:t>
              </w:r>
            </w:hyperlink>
            <w:r>
              <w:rPr>
                <w:rStyle w:val="af1"/>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e should definitely not contest RAN3 agreements. Hence, we think an SRB should be used for QoE reporting. Which SRB to utilize depends on the network deployment scenario (i.e. NR SA or MR-DC):</w:t>
            </w:r>
          </w:p>
          <w:p w14:paraId="6CA7D775" w14:textId="77777777" w:rsidR="0091167B" w:rsidRDefault="001C3B67">
            <w:pPr>
              <w:pStyle w:val="af4"/>
              <w:numPr>
                <w:ilvl w:val="0"/>
                <w:numId w:val="6"/>
              </w:numPr>
              <w:rPr>
                <w:rFonts w:eastAsiaTheme="minorEastAsia"/>
                <w:b/>
                <w:lang w:eastAsia="zh-CN"/>
              </w:rPr>
            </w:pPr>
            <w:r>
              <w:rPr>
                <w:rFonts w:eastAsiaTheme="minorEastAsia"/>
                <w:b/>
                <w:lang w:eastAsia="zh-CN"/>
              </w:rPr>
              <w:t>SRB for NR QoE reports in NR SA</w:t>
            </w:r>
          </w:p>
          <w:p w14:paraId="6CA7D776" w14:textId="77777777" w:rsidR="0091167B" w:rsidRDefault="001C3B67">
            <w:pPr>
              <w:rPr>
                <w:rFonts w:eastAsiaTheme="minorEastAsia"/>
                <w:lang w:eastAsia="zh-CN"/>
              </w:rPr>
            </w:pPr>
            <w:r>
              <w:rPr>
                <w:rFonts w:eastAsiaTheme="minorEastAsia"/>
                <w:lang w:eastAsia="zh-CN"/>
              </w:rPr>
              <w:t>For SA case, we prefer to specify a new SRB (e.g. SRB4). The rationale is the same as in LTE, i.e. having a new SRB ensures that QoE reports are treated with priority lower than control signaling that is using other SRBs, which in general is much more important.</w:t>
            </w:r>
          </w:p>
          <w:p w14:paraId="6CA7D777" w14:textId="77777777" w:rsidR="0091167B" w:rsidRDefault="001C3B67">
            <w:pPr>
              <w:pStyle w:val="af4"/>
              <w:numPr>
                <w:ilvl w:val="0"/>
                <w:numId w:val="6"/>
              </w:numPr>
              <w:rPr>
                <w:rFonts w:eastAsiaTheme="minorEastAsia"/>
                <w:b/>
                <w:lang w:eastAsia="zh-CN"/>
              </w:rPr>
            </w:pPr>
            <w:r>
              <w:rPr>
                <w:rFonts w:eastAsiaTheme="minorEastAsia"/>
                <w:b/>
                <w:lang w:eastAsia="zh-CN"/>
              </w:rPr>
              <w:t>SRB for NR QoE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AN3 is currently discussing the QoE measurement in MR-DC and it has to be decided how to deliver QoE reports also in this case. There may be some impacts to RAN2 but it is good to wait for RAN3 progress.</w:t>
            </w:r>
          </w:p>
          <w:p w14:paraId="6CA7D779" w14:textId="77777777" w:rsidR="0091167B" w:rsidRDefault="001C3B67">
            <w:pPr>
              <w:pStyle w:val="af4"/>
              <w:numPr>
                <w:ilvl w:val="0"/>
                <w:numId w:val="6"/>
              </w:numPr>
              <w:rPr>
                <w:rFonts w:eastAsiaTheme="minorEastAsia"/>
                <w:b/>
                <w:lang w:eastAsia="zh-CN"/>
              </w:rPr>
            </w:pPr>
            <w:r>
              <w:rPr>
                <w:rFonts w:eastAsiaTheme="minorEastAsia"/>
                <w:b/>
                <w:lang w:eastAsia="zh-CN"/>
              </w:rPr>
              <w:t>QoE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ven though the RAN3 LS does not mention QoE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QoE configuration is included in the IE otherConfig in RRCConnectionReconfiguration message, and the RRC message is always carried on SRB1. As we have otherConfig IE specified in NR as well, we could follow the LTE definition and include </w:t>
            </w:r>
            <w:r>
              <w:t>the QoE configuration in the otherConfig.</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RRCReconfiguration message (which includes otherConfig IE) can be carried in SRB1 or SRB3. For SA case, it is natural to use SRB1 to carry the QoE configuration (similar as in LTE). For MR-DC it is relevant to discuss whether direct QoE configuration from SN using SRB3 is allowed or not. However, since </w:t>
            </w:r>
            <w:r>
              <w:rPr>
                <w:rFonts w:eastAsiaTheme="minorEastAsia" w:hint="eastAsia"/>
                <w:lang w:eastAsia="zh-CN"/>
              </w:rPr>
              <w:t>R</w:t>
            </w:r>
            <w:r>
              <w:rPr>
                <w:rFonts w:eastAsiaTheme="minorEastAsia"/>
                <w:lang w:eastAsia="zh-CN"/>
              </w:rPr>
              <w:t>AN3 is still discussing the QoE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 xml:space="preserve">Cannot be decided now. Needs to be discussed in RAN2 based on </w:t>
            </w:r>
            <w:r>
              <w:rPr>
                <w:lang w:val="en-GB" w:eastAsia="zh-CN"/>
              </w:rPr>
              <w:lastRenderedPageBreak/>
              <w:t>contributions.</w:t>
            </w:r>
          </w:p>
          <w:p w14:paraId="6CA7D780" w14:textId="77777777" w:rsidR="0091167B" w:rsidRDefault="001C3B67">
            <w:pPr>
              <w:rPr>
                <w:rFonts w:eastAsia="Times New Roman"/>
              </w:rPr>
            </w:pPr>
            <w:r>
              <w:rPr>
                <w:rFonts w:eastAsia="Times New Roman"/>
              </w:rPr>
              <w:t>In general we feel RAN2 should not challenge RAN3’s agreement, i.e. we should not go with DRB. But for option 1) and 2), from reading the LS, we don’t think it is clearly indicated by RAN3. Thus RAN2 can have a discussion on those two options.</w:t>
            </w:r>
          </w:p>
        </w:tc>
      </w:tr>
      <w:tr w:rsidR="0091167B" w14:paraId="6CA7D785" w14:textId="77777777">
        <w:tc>
          <w:tcPr>
            <w:tcW w:w="2122" w:type="dxa"/>
          </w:tcPr>
          <w:p w14:paraId="6CA7D782" w14:textId="77777777" w:rsidR="0091167B" w:rsidRDefault="001C3B67">
            <w:pPr>
              <w:rPr>
                <w:rFonts w:eastAsia="宋体"/>
                <w:lang w:eastAsia="zh-CN"/>
              </w:rPr>
            </w:pPr>
            <w:bookmarkStart w:id="1" w:name="_Hlk42142988"/>
            <w:r>
              <w:rPr>
                <w:rFonts w:eastAsia="宋体" w:hint="eastAsia"/>
                <w:lang w:eastAsia="zh-CN"/>
              </w:rPr>
              <w:lastRenderedPageBreak/>
              <w:t>ZTE</w:t>
            </w:r>
          </w:p>
        </w:tc>
        <w:tc>
          <w:tcPr>
            <w:tcW w:w="6945" w:type="dxa"/>
          </w:tcPr>
          <w:p w14:paraId="6CA7D783" w14:textId="77777777" w:rsidR="0091167B" w:rsidRDefault="001C3B67">
            <w:pPr>
              <w:rPr>
                <w:rFonts w:eastAsia="宋体"/>
                <w:lang w:eastAsia="zh-CN"/>
              </w:rPr>
            </w:pPr>
            <w:r>
              <w:rPr>
                <w:rFonts w:eastAsia="宋体" w:hint="eastAsia"/>
                <w:lang w:eastAsia="zh-CN"/>
              </w:rPr>
              <w:t xml:space="preserve">We prefer to select option 4. </w:t>
            </w:r>
          </w:p>
          <w:p w14:paraId="6CA7D784" w14:textId="77777777" w:rsidR="0091167B" w:rsidRDefault="001C3B67">
            <w:pPr>
              <w:rPr>
                <w:rFonts w:eastAsia="宋体"/>
                <w:lang w:eastAsia="zh-CN"/>
              </w:rPr>
            </w:pPr>
            <w:r>
              <w:rPr>
                <w:rFonts w:eastAsia="宋体" w:hint="eastAsia"/>
                <w:lang w:eastAsia="zh-CN"/>
              </w:rPr>
              <w:t>Currently, we do not find any reason to challenge RAN3</w:t>
            </w:r>
            <w:r>
              <w:rPr>
                <w:rFonts w:eastAsia="宋体"/>
                <w:lang w:eastAsia="zh-CN"/>
              </w:rPr>
              <w:t>’</w:t>
            </w:r>
            <w:r>
              <w:rPr>
                <w:rFonts w:eastAsia="宋体"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宋体"/>
                <w:lang w:eastAsia="zh-CN"/>
              </w:rPr>
            </w:pPr>
            <w:r>
              <w:rPr>
                <w:rFonts w:eastAsia="宋体"/>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宋体"/>
                <w:lang w:eastAsia="zh-CN"/>
              </w:rPr>
            </w:pPr>
            <w:r>
              <w:rPr>
                <w:rFonts w:eastAsia="宋体"/>
                <w:lang w:eastAsia="zh-CN"/>
              </w:rPr>
              <w:t xml:space="preserve">In our opinion, we should be consistent with </w:t>
            </w:r>
            <w:r w:rsidRPr="00464ABE">
              <w:rPr>
                <w:rFonts w:eastAsia="宋体"/>
                <w:lang w:eastAsia="zh-CN"/>
              </w:rPr>
              <w:t>what RAN3 agreed</w:t>
            </w:r>
            <w:r>
              <w:rPr>
                <w:rFonts w:eastAsia="宋体"/>
                <w:lang w:eastAsia="zh-CN"/>
              </w:rPr>
              <w:t>. Considering the limit time for RAN2 to discuss QoE, we should have a common understanding about the RAN2 scope (e.g. QoE signal</w:t>
            </w:r>
            <w:r w:rsidRPr="001325CF">
              <w:rPr>
                <w:rFonts w:eastAsia="宋体"/>
                <w:lang w:eastAsia="zh-CN"/>
              </w:rPr>
              <w:t>ing p</w:t>
            </w:r>
            <w:r>
              <w:rPr>
                <w:rFonts w:eastAsia="宋体"/>
                <w:lang w:eastAsia="zh-CN"/>
              </w:rPr>
              <w:t>ro</w:t>
            </w:r>
            <w:r w:rsidRPr="001325CF">
              <w:rPr>
                <w:rFonts w:eastAsia="宋体"/>
                <w:lang w:eastAsia="zh-CN"/>
              </w:rPr>
              <w:t>cedures, configuration, reporting</w:t>
            </w:r>
            <w:r>
              <w:rPr>
                <w:rFonts w:eastAsia="宋体"/>
                <w:lang w:eastAsia="zh-CN"/>
              </w:rPr>
              <w:t>, etc.) as soon as possible.</w:t>
            </w:r>
          </w:p>
        </w:tc>
      </w:tr>
      <w:tr w:rsidR="00093656" w14:paraId="775AF6C0" w14:textId="77777777">
        <w:tc>
          <w:tcPr>
            <w:tcW w:w="2122" w:type="dxa"/>
          </w:tcPr>
          <w:p w14:paraId="20FD69AA" w14:textId="5DAB0F10" w:rsidR="00093656" w:rsidRDefault="00093656" w:rsidP="00B4171C">
            <w:pPr>
              <w:rPr>
                <w:rFonts w:eastAsia="宋体"/>
                <w:lang w:eastAsia="zh-CN"/>
              </w:rPr>
            </w:pPr>
            <w:r>
              <w:rPr>
                <w:rFonts w:eastAsia="宋体"/>
                <w:lang w:eastAsia="zh-CN"/>
              </w:rPr>
              <w:t>Qualcomm</w:t>
            </w:r>
          </w:p>
        </w:tc>
        <w:tc>
          <w:tcPr>
            <w:tcW w:w="6945" w:type="dxa"/>
          </w:tcPr>
          <w:p w14:paraId="31A28E3F" w14:textId="77777777" w:rsidR="0057368A" w:rsidRPr="002578A0" w:rsidRDefault="0057368A" w:rsidP="0057368A">
            <w:pPr>
              <w:rPr>
                <w:rFonts w:eastAsiaTheme="minorEastAsia" w:cs="Arial"/>
                <w:szCs w:val="20"/>
                <w:lang w:eastAsia="zh-CN"/>
              </w:rPr>
            </w:pPr>
            <w:r w:rsidRPr="002578A0">
              <w:rPr>
                <w:rFonts w:eastAsiaTheme="minorEastAsia" w:cs="Arial"/>
                <w:szCs w:val="20"/>
                <w:lang w:eastAsia="zh-CN"/>
              </w:rPr>
              <w:t>For QoE reporting, other factors need to be considered first, like</w:t>
            </w:r>
          </w:p>
          <w:p w14:paraId="4437CB39"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Whether we want QoE measurements to be exposed to the RAN</w:t>
            </w:r>
          </w:p>
          <w:p w14:paraId="2B7C165C"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to adopt the pull-based mechanism or pushed based mechanism </w:t>
            </w:r>
          </w:p>
          <w:p w14:paraId="52729A4B"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cs="Arial"/>
                <w:szCs w:val="20"/>
              </w:rPr>
              <w:t>Whether allow RAN to configure QoE reporting condition/trigger</w:t>
            </w:r>
          </w:p>
          <w:p w14:paraId="34CB53CF" w14:textId="6A65179D" w:rsidR="00093656" w:rsidRPr="002578A0" w:rsidRDefault="00746E44" w:rsidP="0057368A">
            <w:pPr>
              <w:rPr>
                <w:rFonts w:eastAsia="Times New Roman" w:cs="Arial"/>
                <w:szCs w:val="20"/>
              </w:rPr>
            </w:pPr>
            <w:r w:rsidRPr="002578A0">
              <w:rPr>
                <w:rFonts w:eastAsiaTheme="minorEastAsia" w:cs="Arial"/>
                <w:szCs w:val="20"/>
                <w:lang w:eastAsia="zh-CN"/>
              </w:rPr>
              <w:t>These topics are under discussion in RAN3 and i</w:t>
            </w:r>
            <w:r w:rsidR="0057368A" w:rsidRPr="002578A0">
              <w:rPr>
                <w:rFonts w:eastAsiaTheme="minorEastAsia" w:cs="Arial"/>
                <w:szCs w:val="20"/>
                <w:lang w:eastAsia="zh-CN"/>
              </w:rPr>
              <w:t xml:space="preserve">n our </w:t>
            </w:r>
            <w:r w:rsidRPr="002578A0">
              <w:rPr>
                <w:rFonts w:eastAsiaTheme="minorEastAsia" w:cs="Arial"/>
                <w:szCs w:val="20"/>
                <w:lang w:eastAsia="zh-CN"/>
              </w:rPr>
              <w:t>understanding</w:t>
            </w:r>
            <w:r w:rsidR="0057368A" w:rsidRPr="002578A0">
              <w:rPr>
                <w:rFonts w:eastAsiaTheme="minorEastAsia" w:cs="Arial"/>
                <w:szCs w:val="20"/>
                <w:lang w:eastAsia="zh-CN"/>
              </w:rPr>
              <w:t>, the optimal choice of reporting of the NR QoE report</w:t>
            </w:r>
            <w:r w:rsidR="003A4BC4" w:rsidRPr="002578A0">
              <w:rPr>
                <w:rFonts w:eastAsiaTheme="minorEastAsia" w:cs="Arial"/>
                <w:szCs w:val="20"/>
                <w:lang w:eastAsia="zh-CN"/>
              </w:rPr>
              <w:t xml:space="preserve"> (whether to use SRB2 or SRB4</w:t>
            </w:r>
            <w:r w:rsidR="00235CF9" w:rsidRPr="002578A0">
              <w:rPr>
                <w:rFonts w:eastAsiaTheme="minorEastAsia" w:cs="Arial"/>
                <w:szCs w:val="20"/>
                <w:lang w:eastAsia="zh-CN"/>
              </w:rPr>
              <w:t xml:space="preserve"> or other method of reporting</w:t>
            </w:r>
            <w:r w:rsidR="003A4BC4" w:rsidRPr="002578A0">
              <w:rPr>
                <w:rFonts w:eastAsiaTheme="minorEastAsia" w:cs="Arial"/>
                <w:szCs w:val="20"/>
                <w:lang w:eastAsia="zh-CN"/>
              </w:rPr>
              <w:t>)</w:t>
            </w:r>
            <w:r w:rsidR="0057368A" w:rsidRPr="002578A0">
              <w:rPr>
                <w:rFonts w:eastAsiaTheme="minorEastAsia" w:cs="Arial"/>
                <w:szCs w:val="20"/>
                <w:lang w:eastAsia="zh-CN"/>
              </w:rPr>
              <w:t xml:space="preserve"> depends on several factors</w:t>
            </w:r>
            <w:r w:rsidR="00235CF9" w:rsidRPr="002578A0">
              <w:rPr>
                <w:rFonts w:eastAsiaTheme="minorEastAsia" w:cs="Arial"/>
                <w:szCs w:val="20"/>
                <w:lang w:eastAsia="zh-CN"/>
              </w:rPr>
              <w:t xml:space="preserve"> that are u</w:t>
            </w:r>
            <w:r w:rsidR="00195FA7" w:rsidRPr="002578A0">
              <w:rPr>
                <w:rFonts w:eastAsiaTheme="minorEastAsia" w:cs="Arial"/>
                <w:szCs w:val="20"/>
                <w:lang w:eastAsia="zh-CN"/>
              </w:rPr>
              <w:t>nder discussion in RAN3</w:t>
            </w:r>
            <w:r w:rsidR="0057368A" w:rsidRPr="002578A0">
              <w:rPr>
                <w:rFonts w:eastAsiaTheme="minorEastAsia" w:cs="Arial"/>
                <w:szCs w:val="20"/>
                <w:lang w:eastAsia="zh-CN"/>
              </w:rPr>
              <w:t xml:space="preserve">. </w:t>
            </w:r>
            <w:r w:rsidR="0057368A" w:rsidRPr="002578A0">
              <w:rPr>
                <w:rFonts w:eastAsiaTheme="minorEastAsia" w:cs="Arial"/>
                <w:color w:val="FF0000"/>
                <w:szCs w:val="20"/>
                <w:lang w:eastAsia="zh-CN"/>
              </w:rPr>
              <w:t xml:space="preserve">Thus, we </w:t>
            </w:r>
            <w:r w:rsidR="0057368A" w:rsidRPr="002578A0">
              <w:rPr>
                <w:rFonts w:cs="Arial"/>
                <w:color w:val="FF0000"/>
                <w:szCs w:val="20"/>
                <w:lang w:val="en-GB" w:eastAsia="zh-CN"/>
              </w:rPr>
              <w:t>cannot decide this without discussion in RAN2. It needs to be discussed in RAN2 based on contributions</w:t>
            </w:r>
            <w:r w:rsidR="0057368A" w:rsidRPr="002578A0">
              <w:rPr>
                <w:rFonts w:eastAsiaTheme="minorEastAsia" w:cs="Arial"/>
                <w:szCs w:val="20"/>
                <w:lang w:eastAsia="zh-CN"/>
              </w:rPr>
              <w:t>.</w:t>
            </w:r>
          </w:p>
        </w:tc>
      </w:tr>
      <w:tr w:rsidR="002578A0" w14:paraId="52F092A3" w14:textId="77777777">
        <w:tc>
          <w:tcPr>
            <w:tcW w:w="2122" w:type="dxa"/>
          </w:tcPr>
          <w:p w14:paraId="25B09327" w14:textId="1E511B69" w:rsidR="002578A0" w:rsidRDefault="002578A0" w:rsidP="00B4171C">
            <w:pPr>
              <w:rPr>
                <w:rFonts w:eastAsia="宋体"/>
                <w:lang w:eastAsia="zh-CN"/>
              </w:rPr>
            </w:pPr>
            <w:r>
              <w:rPr>
                <w:rFonts w:eastAsia="宋体"/>
                <w:lang w:eastAsia="zh-CN"/>
              </w:rPr>
              <w:t>Ericsson</w:t>
            </w:r>
          </w:p>
        </w:tc>
        <w:tc>
          <w:tcPr>
            <w:tcW w:w="6945" w:type="dxa"/>
          </w:tcPr>
          <w:p w14:paraId="0209F45F" w14:textId="7EBE85C5" w:rsidR="002578A0" w:rsidRPr="002578A0" w:rsidRDefault="002578A0" w:rsidP="0057368A">
            <w:pPr>
              <w:rPr>
                <w:rFonts w:eastAsiaTheme="minorEastAsia" w:cs="Arial"/>
                <w:szCs w:val="20"/>
                <w:lang w:eastAsia="zh-CN"/>
              </w:rPr>
            </w:pPr>
            <w:r w:rsidRPr="002578A0">
              <w:rPr>
                <w:rFonts w:eastAsiaTheme="minorEastAsia" w:cs="Arial"/>
                <w:szCs w:val="20"/>
                <w:lang w:eastAsia="zh-CN"/>
              </w:rPr>
              <w:t xml:space="preserve">We think the LTE solution with SRB4 is fine and then we align with RAN3 also. However, we do not want to send QoE reports on the same SRB as important, time-critical RRC messages. </w:t>
            </w:r>
            <w:r>
              <w:rPr>
                <w:rFonts w:eastAsiaTheme="minorEastAsia" w:cs="Arial"/>
                <w:szCs w:val="20"/>
                <w:lang w:eastAsia="zh-CN"/>
              </w:rPr>
              <w:t xml:space="preserve"> </w:t>
            </w:r>
          </w:p>
        </w:tc>
      </w:tr>
      <w:tr w:rsidR="00AD27F6" w14:paraId="083DE97F" w14:textId="77777777">
        <w:tc>
          <w:tcPr>
            <w:tcW w:w="2122" w:type="dxa"/>
          </w:tcPr>
          <w:p w14:paraId="1347B504" w14:textId="4ACD6B7E" w:rsidR="00AD27F6" w:rsidRDefault="00AD27F6" w:rsidP="00AD27F6">
            <w:pPr>
              <w:rPr>
                <w:rFonts w:eastAsia="宋体"/>
                <w:lang w:eastAsia="zh-CN"/>
              </w:rPr>
            </w:pPr>
            <w:r>
              <w:rPr>
                <w:rFonts w:hint="eastAsia"/>
                <w:lang w:eastAsia="ko-KR"/>
              </w:rPr>
              <w:t>Samsung</w:t>
            </w:r>
          </w:p>
        </w:tc>
        <w:tc>
          <w:tcPr>
            <w:tcW w:w="6945" w:type="dxa"/>
          </w:tcPr>
          <w:p w14:paraId="40F814AC" w14:textId="45A195D1" w:rsidR="00AD27F6" w:rsidRPr="002578A0" w:rsidRDefault="00AD27F6" w:rsidP="00AD27F6">
            <w:pPr>
              <w:rPr>
                <w:rFonts w:eastAsiaTheme="minorEastAsia" w:cs="Arial"/>
                <w:szCs w:val="20"/>
                <w:lang w:eastAsia="zh-CN"/>
              </w:rPr>
            </w:pPr>
            <w:r>
              <w:rPr>
                <w:rFonts w:hint="eastAsia"/>
                <w:lang w:eastAsia="ko-KR"/>
              </w:rPr>
              <w:t>We also support option</w:t>
            </w:r>
            <w:r>
              <w:rPr>
                <w:lang w:eastAsia="ko-KR"/>
              </w:rPr>
              <w:t xml:space="preserve"> </w:t>
            </w:r>
            <w:r>
              <w:rPr>
                <w:rFonts w:hint="eastAsia"/>
                <w:lang w:eastAsia="ko-KR"/>
              </w:rPr>
              <w:t xml:space="preserve">4. </w:t>
            </w:r>
            <w:r>
              <w:rPr>
                <w:lang w:eastAsia="ko-KR"/>
              </w:rPr>
              <w:t>RAN2 can't decide it now and more discussion is needed. However, in our understanding, option 3 which is not aligned with RAN3 decision, cannot be one of candidates.</w:t>
            </w:r>
          </w:p>
        </w:tc>
      </w:tr>
      <w:bookmarkEnd w:id="1"/>
      <w:tr w:rsidR="0049789E" w14:paraId="744F1F2A" w14:textId="77777777" w:rsidTr="0049789E">
        <w:tc>
          <w:tcPr>
            <w:tcW w:w="2122" w:type="dxa"/>
          </w:tcPr>
          <w:p w14:paraId="1CC4F85D" w14:textId="77777777" w:rsidR="0049789E" w:rsidRDefault="0049789E" w:rsidP="00A53308">
            <w:pPr>
              <w:rPr>
                <w:rFonts w:eastAsia="宋体"/>
                <w:lang w:eastAsia="zh-CN"/>
              </w:rPr>
            </w:pPr>
            <w:r>
              <w:rPr>
                <w:rFonts w:eastAsia="宋体" w:hint="eastAsia"/>
                <w:lang w:eastAsia="zh-CN"/>
              </w:rPr>
              <w:t>CATT</w:t>
            </w:r>
          </w:p>
        </w:tc>
        <w:tc>
          <w:tcPr>
            <w:tcW w:w="6945" w:type="dxa"/>
          </w:tcPr>
          <w:p w14:paraId="4B78D842" w14:textId="77777777" w:rsidR="0049789E" w:rsidRDefault="0049789E" w:rsidP="00A53308">
            <w:pPr>
              <w:rPr>
                <w:rFonts w:eastAsiaTheme="minorEastAsia" w:cs="Arial"/>
                <w:szCs w:val="20"/>
                <w:lang w:eastAsia="zh-CN"/>
              </w:rPr>
            </w:pPr>
            <w:r>
              <w:rPr>
                <w:rFonts w:eastAsiaTheme="minorEastAsia" w:cs="Arial" w:hint="eastAsia"/>
                <w:szCs w:val="20"/>
                <w:lang w:eastAsia="zh-CN"/>
              </w:rPr>
              <w:t>We support option 4.</w:t>
            </w:r>
          </w:p>
          <w:p w14:paraId="760D38F6" w14:textId="77777777" w:rsidR="0049789E" w:rsidRPr="002578A0" w:rsidRDefault="0049789E" w:rsidP="00A53308">
            <w:pPr>
              <w:rPr>
                <w:rFonts w:eastAsiaTheme="minorEastAsia" w:cs="Arial"/>
                <w:szCs w:val="20"/>
                <w:lang w:eastAsia="zh-CN"/>
              </w:rPr>
            </w:pPr>
            <w:r>
              <w:rPr>
                <w:rFonts w:eastAsiaTheme="minorEastAsia" w:cs="Arial" w:hint="eastAsia"/>
                <w:szCs w:val="20"/>
                <w:lang w:eastAsia="zh-CN"/>
              </w:rPr>
              <w:t xml:space="preserve">We should not </w:t>
            </w:r>
            <w:r>
              <w:rPr>
                <w:rFonts w:eastAsiaTheme="minorEastAsia" w:cs="Arial"/>
                <w:szCs w:val="20"/>
                <w:lang w:eastAsia="zh-CN"/>
              </w:rPr>
              <w:t>challenge</w:t>
            </w:r>
            <w:r>
              <w:rPr>
                <w:rFonts w:eastAsiaTheme="minorEastAsia" w:cs="Arial" w:hint="eastAsia"/>
                <w:szCs w:val="20"/>
                <w:lang w:eastAsia="zh-CN"/>
              </w:rPr>
              <w:t xml:space="preserve"> R</w:t>
            </w:r>
            <w:r>
              <w:rPr>
                <w:rFonts w:eastAsiaTheme="minorEastAsia" w:cs="Arial"/>
                <w:szCs w:val="20"/>
                <w:lang w:eastAsia="zh-CN"/>
              </w:rPr>
              <w:t>AN3 agreement</w:t>
            </w:r>
            <w:r>
              <w:rPr>
                <w:rFonts w:eastAsiaTheme="minorEastAsia" w:cs="Arial" w:hint="eastAsia"/>
                <w:szCs w:val="20"/>
                <w:lang w:eastAsia="zh-CN"/>
              </w:rPr>
              <w:t xml:space="preserve">. But as QC mentioned, we need further </w:t>
            </w:r>
            <w:r>
              <w:rPr>
                <w:rFonts w:eastAsiaTheme="minorEastAsia" w:cs="Arial"/>
                <w:szCs w:val="20"/>
                <w:lang w:eastAsia="zh-CN"/>
              </w:rPr>
              <w:t>discuss</w:t>
            </w:r>
            <w:r>
              <w:rPr>
                <w:rFonts w:eastAsiaTheme="minorEastAsia" w:cs="Arial" w:hint="eastAsia"/>
                <w:szCs w:val="20"/>
                <w:lang w:eastAsia="zh-CN"/>
              </w:rPr>
              <w:t xml:space="preserve">ed base on the RAN3 output on the latest meeting. </w:t>
            </w:r>
          </w:p>
        </w:tc>
      </w:tr>
      <w:tr w:rsidR="00AD769D" w14:paraId="72EB0101" w14:textId="77777777" w:rsidTr="0049789E">
        <w:tc>
          <w:tcPr>
            <w:tcW w:w="2122" w:type="dxa"/>
          </w:tcPr>
          <w:p w14:paraId="1591544D" w14:textId="5E269221" w:rsidR="00AD769D" w:rsidRDefault="00AD769D" w:rsidP="00A53308">
            <w:pPr>
              <w:rPr>
                <w:rFonts w:eastAsia="宋体" w:hint="eastAsia"/>
                <w:lang w:eastAsia="zh-CN"/>
              </w:rPr>
            </w:pPr>
            <w:bookmarkStart w:id="2" w:name="_GoBack" w:colFirst="0" w:colLast="0"/>
            <w:r>
              <w:rPr>
                <w:rFonts w:eastAsia="宋体" w:hint="eastAsia"/>
                <w:lang w:eastAsia="zh-CN"/>
              </w:rPr>
              <w:t>OPPO</w:t>
            </w:r>
          </w:p>
        </w:tc>
        <w:tc>
          <w:tcPr>
            <w:tcW w:w="6945" w:type="dxa"/>
          </w:tcPr>
          <w:p w14:paraId="08C0F7C6" w14:textId="77777777" w:rsidR="00AD769D" w:rsidRDefault="00AD769D" w:rsidP="000320D5">
            <w:pPr>
              <w:rPr>
                <w:rFonts w:eastAsiaTheme="minorEastAsia" w:cs="Arial" w:hint="eastAsia"/>
                <w:szCs w:val="20"/>
                <w:lang w:eastAsia="zh-CN"/>
              </w:rPr>
            </w:pPr>
            <w:r>
              <w:rPr>
                <w:rFonts w:eastAsiaTheme="minorEastAsia" w:cs="Arial"/>
                <w:szCs w:val="20"/>
                <w:lang w:eastAsia="zh-CN"/>
              </w:rPr>
              <w:t>W</w:t>
            </w:r>
            <w:r>
              <w:rPr>
                <w:rFonts w:eastAsiaTheme="minorEastAsia" w:cs="Arial" w:hint="eastAsia"/>
                <w:szCs w:val="20"/>
                <w:lang w:eastAsia="zh-CN"/>
              </w:rPr>
              <w:t xml:space="preserve">e share the views from majority that we </w:t>
            </w:r>
            <w:r>
              <w:rPr>
                <w:rFonts w:eastAsiaTheme="minorEastAsia" w:cs="Arial"/>
                <w:szCs w:val="20"/>
                <w:lang w:eastAsia="zh-CN"/>
              </w:rPr>
              <w:t>don’t</w:t>
            </w:r>
            <w:r>
              <w:rPr>
                <w:rFonts w:eastAsiaTheme="minorEastAsia" w:cs="Arial" w:hint="eastAsia"/>
                <w:szCs w:val="20"/>
                <w:lang w:eastAsia="zh-CN"/>
              </w:rPr>
              <w:t xml:space="preserve"> need to decide </w:t>
            </w:r>
            <w:r>
              <w:rPr>
                <w:rFonts w:eastAsiaTheme="minorEastAsia" w:cs="Arial"/>
                <w:szCs w:val="20"/>
                <w:lang w:eastAsia="zh-CN"/>
              </w:rPr>
              <w:t>for now</w:t>
            </w:r>
            <w:r>
              <w:rPr>
                <w:rFonts w:eastAsiaTheme="minorEastAsia" w:cs="Arial" w:hint="eastAsia"/>
                <w:szCs w:val="20"/>
                <w:lang w:eastAsia="zh-CN"/>
              </w:rPr>
              <w:t xml:space="preserve">, and can be further discussed based on contributions. </w:t>
            </w:r>
          </w:p>
          <w:p w14:paraId="035BC6EC" w14:textId="6DEE1D1A" w:rsidR="00AD769D" w:rsidRDefault="00AD769D" w:rsidP="00A53308">
            <w:pPr>
              <w:rPr>
                <w:rFonts w:eastAsiaTheme="minorEastAsia" w:cs="Arial" w:hint="eastAsia"/>
                <w:szCs w:val="20"/>
                <w:lang w:eastAsia="zh-CN"/>
              </w:rPr>
            </w:pPr>
            <w:r>
              <w:rPr>
                <w:rFonts w:eastAsiaTheme="minorEastAsia" w:cs="Arial" w:hint="eastAsia"/>
                <w:szCs w:val="20"/>
                <w:lang w:eastAsia="zh-CN"/>
              </w:rPr>
              <w:t>In general, we think we can respect what have been agreed in RAN3.</w:t>
            </w:r>
          </w:p>
        </w:tc>
      </w:tr>
      <w:bookmarkEnd w:id="2"/>
    </w:tbl>
    <w:p w14:paraId="6CA7D78A" w14:textId="77777777" w:rsidR="0091167B" w:rsidRPr="0049789E" w:rsidRDefault="0091167B">
      <w:pPr>
        <w:rPr>
          <w:lang w:eastAsia="zh-CN"/>
        </w:rPr>
      </w:pPr>
    </w:p>
    <w:p w14:paraId="6CA7D78B" w14:textId="77777777" w:rsidR="0091167B" w:rsidRDefault="0091167B">
      <w:pPr>
        <w:rPr>
          <w:lang w:val="en-GB" w:eastAsia="zh-CN"/>
        </w:rPr>
      </w:pPr>
    </w:p>
    <w:p w14:paraId="6CA7D78C" w14:textId="77777777" w:rsidR="0091167B" w:rsidRDefault="001C3B67">
      <w:pPr>
        <w:pStyle w:val="1"/>
      </w:pPr>
      <w:bookmarkStart w:id="3" w:name="_Toc242573360"/>
      <w:r>
        <w:t>Summary</w:t>
      </w:r>
      <w:bookmarkEnd w:id="3"/>
      <w:r>
        <w:t xml:space="preserve"> and proposal</w:t>
      </w:r>
    </w:p>
    <w:p w14:paraId="6CA7D78D" w14:textId="77777777" w:rsidR="0091167B" w:rsidRDefault="001C3B67">
      <w:bookmarkStart w:id="4" w:name="_Toc242573361"/>
      <w:r>
        <w:t>TBD</w:t>
      </w:r>
    </w:p>
    <w:p w14:paraId="6CA7D78E" w14:textId="77777777" w:rsidR="0091167B" w:rsidRDefault="001C3B67">
      <w:pPr>
        <w:pStyle w:val="1"/>
      </w:pPr>
      <w:r>
        <w:t>References</w:t>
      </w:r>
      <w:bookmarkEnd w:id="4"/>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13A9D" w14:textId="77777777" w:rsidR="008A737D" w:rsidRDefault="008A737D">
      <w:pPr>
        <w:spacing w:after="0" w:line="240" w:lineRule="auto"/>
      </w:pPr>
      <w:r>
        <w:separator/>
      </w:r>
    </w:p>
  </w:endnote>
  <w:endnote w:type="continuationSeparator" w:id="0">
    <w:p w14:paraId="561E7930" w14:textId="77777777" w:rsidR="008A737D" w:rsidRDefault="008A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D795" w14:textId="12C001F0" w:rsidR="0091167B" w:rsidRDefault="001C3B67">
    <w:pPr>
      <w:pStyle w:val="a8"/>
      <w:jc w:val="center"/>
    </w:pPr>
    <w:r>
      <w:rPr>
        <w:rStyle w:val="af"/>
      </w:rPr>
      <w:fldChar w:fldCharType="begin"/>
    </w:r>
    <w:r>
      <w:rPr>
        <w:rStyle w:val="af"/>
      </w:rPr>
      <w:instrText xml:space="preserve"> PAGE </w:instrText>
    </w:r>
    <w:r>
      <w:rPr>
        <w:rStyle w:val="af"/>
      </w:rPr>
      <w:fldChar w:fldCharType="separate"/>
    </w:r>
    <w:r w:rsidR="0092148E">
      <w:rPr>
        <w:rStyle w:val="af"/>
        <w:noProof/>
      </w:rPr>
      <w:t>4</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38E35" w14:textId="77777777" w:rsidR="008A737D" w:rsidRDefault="008A737D">
      <w:pPr>
        <w:spacing w:after="0" w:line="240" w:lineRule="auto"/>
      </w:pPr>
      <w:r>
        <w:separator/>
      </w:r>
    </w:p>
  </w:footnote>
  <w:footnote w:type="continuationSeparator" w:id="0">
    <w:p w14:paraId="6A95A889" w14:textId="77777777" w:rsidR="008A737D" w:rsidRDefault="008A7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1sTQxMDI0MTK2sDBV0lEKTi0uzszPAykwqgUADYYZ1C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553"/>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578A0"/>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9789E"/>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8E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37D"/>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9BE"/>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48E"/>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6EFC"/>
    <w:rsid w:val="00AC79B6"/>
    <w:rsid w:val="00AC7CF7"/>
    <w:rsid w:val="00AC7DB5"/>
    <w:rsid w:val="00AD0171"/>
    <w:rsid w:val="00AD044F"/>
    <w:rsid w:val="00AD1ABD"/>
    <w:rsid w:val="00AD27F6"/>
    <w:rsid w:val="00AD4CED"/>
    <w:rsid w:val="00AD4FA5"/>
    <w:rsid w:val="00AD5366"/>
    <w:rsid w:val="00AD5583"/>
    <w:rsid w:val="00AD5E94"/>
    <w:rsid w:val="00AD68B9"/>
    <w:rsid w:val="00AD6A7B"/>
    <w:rsid w:val="00AD7059"/>
    <w:rsid w:val="00AD769D"/>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1"/>
    <w:lsdException w:name="annotation text" w:semiHidden="0" w:unhideWhenUsed="1" w:qFormat="1"/>
    <w:lsdException w:name="header" w:semiHidden="0" w:uiPriority="0" w:qFormat="1"/>
    <w:lsdException w:name="footer" w:semiHidden="0"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200" w:line="276" w:lineRule="auto"/>
    </w:pPr>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文档结构图 Char"/>
    <w:link w:val="a4"/>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rPr>
  </w:style>
  <w:style w:type="character" w:customStyle="1" w:styleId="2Char">
    <w:name w:val="标题 2 Char"/>
    <w:link w:val="2"/>
    <w:qFormat/>
    <w:rPr>
      <w:rFonts w:ascii="Arial" w:eastAsia="Times New Roman" w:hAnsi="Arial" w:cs="Arial"/>
      <w:sz w:val="24"/>
      <w:szCs w:val="32"/>
      <w:lang w:val="en-GB" w:eastAsia="zh-CN"/>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5"/>
    <w:uiPriority w:val="99"/>
  </w:style>
  <w:style w:type="character" w:customStyle="1" w:styleId="Char4">
    <w:name w:val="批注主题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正文文本 Char"/>
    <w:link w:val="a6"/>
    <w:uiPriority w:val="99"/>
    <w:qFormat/>
    <w:rPr>
      <w:rFonts w:ascii="Arial" w:hAnsi="Arial"/>
      <w:szCs w:val="22"/>
    </w:rPr>
  </w:style>
  <w:style w:type="character" w:customStyle="1" w:styleId="Char3">
    <w:name w:val="页眉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1"/>
    <w:lsdException w:name="annotation text" w:semiHidden="0" w:unhideWhenUsed="1" w:qFormat="1"/>
    <w:lsdException w:name="header" w:semiHidden="0" w:uiPriority="0" w:qFormat="1"/>
    <w:lsdException w:name="footer" w:semiHidden="0"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200" w:line="276" w:lineRule="auto"/>
    </w:pPr>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文档结构图 Char"/>
    <w:link w:val="a4"/>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rPr>
  </w:style>
  <w:style w:type="character" w:customStyle="1" w:styleId="2Char">
    <w:name w:val="标题 2 Char"/>
    <w:link w:val="2"/>
    <w:qFormat/>
    <w:rPr>
      <w:rFonts w:ascii="Arial" w:eastAsia="Times New Roman" w:hAnsi="Arial" w:cs="Arial"/>
      <w:sz w:val="24"/>
      <w:szCs w:val="32"/>
      <w:lang w:val="en-GB" w:eastAsia="zh-CN"/>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5"/>
    <w:uiPriority w:val="99"/>
  </w:style>
  <w:style w:type="character" w:customStyle="1" w:styleId="Char4">
    <w:name w:val="批注主题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正文文本 Char"/>
    <w:link w:val="a6"/>
    <w:uiPriority w:val="99"/>
    <w:qFormat/>
    <w:rPr>
      <w:rFonts w:ascii="Arial" w:hAnsi="Arial"/>
      <w:szCs w:val="22"/>
    </w:rPr>
  </w:style>
  <w:style w:type="character" w:customStyle="1" w:styleId="Char3">
    <w:name w:val="页眉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3gpp.org/ftp/tsg_ran/TSG_RAN/TSGR_81/Docs/RP-1816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D462C94-4BBC-4E6B-9E0B-F0EFB02C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OPPO (Shi Cong)</cp:lastModifiedBy>
  <cp:revision>2</cp:revision>
  <cp:lastPrinted>2019-10-03T17:41:00Z</cp:lastPrinted>
  <dcterms:created xsi:type="dcterms:W3CDTF">2020-11-11T16:28:00Z</dcterms:created>
  <dcterms:modified xsi:type="dcterms:W3CDTF">2020-11-11T16:28:00Z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