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17419E" w:rsidP="00DE0454">
      <w:pPr>
        <w:pStyle w:val="Doc-title"/>
      </w:pPr>
      <w:hyperlink r:id="rId12" w:tooltip="D:Documents3GPPtsg_ranWG2TSGR2_111-eDocsR2-2008422.zip" w:history="1">
        <w:r w:rsidR="00DE0454" w:rsidRPr="001276EF">
          <w:rPr>
            <w:rStyle w:val="Hyperlink"/>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anyting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asynch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r w:rsidR="00510117" w:rsidRPr="00510117">
        <w:rPr>
          <w:rFonts w:ascii="Arial" w:hAnsi="Arial" w:cs="Arial"/>
          <w:b/>
          <w:i/>
          <w:iCs/>
        </w:rPr>
        <w:t>sfn-SyncNRDC</w:t>
      </w:r>
    </w:p>
    <w:p w14:paraId="04F34AD5" w14:textId="325E0F1E" w:rsid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signalling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5A2C47">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5A2C4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5A2C47">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Heading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ListParagraph"/>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to indicate whether the UE support PCell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BodyText"/>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5A2C47">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5A2C47">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5A2C4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5A2C47">
            <w:pPr>
              <w:rPr>
                <w:rFonts w:eastAsia="Times New Roman"/>
              </w:rPr>
            </w:pP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74B74C0D" w:rsidR="00126F5F" w:rsidRPr="00EC0955" w:rsidRDefault="0087523D" w:rsidP="00AB7632">
      <w:pPr>
        <w:pStyle w:val="ListParagraph"/>
        <w:numPr>
          <w:ilvl w:val="0"/>
          <w:numId w:val="8"/>
        </w:numPr>
        <w:spacing w:before="180" w:after="120"/>
        <w:rPr>
          <w:rFonts w:ascii="Times New Roman" w:hAnsi="Times New Roman" w:cs="Times New Roman"/>
        </w:rPr>
      </w:pPr>
      <w:r w:rsidRPr="0087523D">
        <w:rPr>
          <w:rFonts w:ascii="Times New Roman" w:eastAsia="DengXian" w:hAnsi="Times New Roman" w:cs="Times New Roman"/>
        </w:rPr>
        <w:t>This additional bit allows to reduce the size of the signalled UE capability for the very common deployment of FR1-FR2 NR-DC. By including the bit, the UE can refrain from including the up to 15-bit long supportedCellGroupingAsyncNRDC-r16 for each band combination, significantly reducing the size of signalled UE capability, as the number of supported band combinations can grow very large even for systems with only a few available bands.</w:t>
      </w:r>
    </w:p>
    <w:p w14:paraId="36ED7779" w14:textId="67ABBF5F" w:rsidR="00EC0955" w:rsidRPr="00A1099E" w:rsidRDefault="00EC0955" w:rsidP="00A01FAF">
      <w:pPr>
        <w:pStyle w:val="ListParagraph"/>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BodyText"/>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5A2C47">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5A2C4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5A2C47">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6234C3">
            <w:pPr>
              <w:rPr>
                <w:rFonts w:eastAsia="Times New Roman"/>
              </w:rPr>
            </w:pPr>
            <w:r>
              <w:rPr>
                <w:rFonts w:eastAsia="Times New Roman"/>
              </w:rPr>
              <w:t>We are ok with signalling optimization</w:t>
            </w: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Heading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lastRenderedPageBreak/>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r w:rsidR="00F21158">
        <w:rPr>
          <w:b/>
          <w:bCs/>
          <w:sz w:val="21"/>
          <w:szCs w:val="21"/>
          <w:u w:val="single"/>
        </w:rPr>
        <w:t>PCell in FR2</w:t>
      </w:r>
      <w:r w:rsidR="007B3E56">
        <w:rPr>
          <w:b/>
          <w:bCs/>
          <w:sz w:val="21"/>
          <w:szCs w:val="21"/>
          <w:u w:val="single"/>
        </w:rPr>
        <w:t xml:space="preserve"> is a pre-requisite</w:t>
      </w:r>
    </w:p>
    <w:p w14:paraId="48A200CE" w14:textId="383F116A"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r w:rsidR="002173BB">
        <w:rPr>
          <w:sz w:val="21"/>
          <w:szCs w:val="21"/>
        </w:rPr>
        <w:t>PCell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PCell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07"/>
        <w:gridCol w:w="608"/>
        <w:gridCol w:w="607"/>
        <w:gridCol w:w="608"/>
        <w:gridCol w:w="5764"/>
      </w:tblGrid>
      <w:tr w:rsidR="0088558E" w14:paraId="741F1491" w14:textId="77777777" w:rsidTr="00CD44F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BodyText"/>
              <w:rPr>
                <w:lang w:eastAsia="ja-JP"/>
              </w:rPr>
            </w:pPr>
            <w:r>
              <w:rPr>
                <w:lang w:eastAsia="ja-JP"/>
              </w:rPr>
              <w:t>Company</w:t>
            </w:r>
          </w:p>
        </w:tc>
        <w:tc>
          <w:tcPr>
            <w:tcW w:w="607"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BodyText"/>
              <w:rPr>
                <w:lang w:eastAsia="ja-JP"/>
              </w:rPr>
            </w:pPr>
            <w:r>
              <w:rPr>
                <w:lang w:eastAsia="ja-JP"/>
              </w:rPr>
              <w:t>I1</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BodyText"/>
              <w:rPr>
                <w:lang w:eastAsia="ja-JP"/>
              </w:rPr>
            </w:pPr>
            <w:r>
              <w:rPr>
                <w:lang w:eastAsia="ja-JP"/>
              </w:rPr>
              <w:t>I2</w:t>
            </w:r>
          </w:p>
        </w:tc>
        <w:tc>
          <w:tcPr>
            <w:tcW w:w="607"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BodyText"/>
              <w:rPr>
                <w:lang w:eastAsia="ja-JP"/>
              </w:rPr>
            </w:pPr>
            <w:r>
              <w:rPr>
                <w:lang w:eastAsia="ja-JP"/>
              </w:rPr>
              <w:t>I3</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BodyText"/>
              <w:rPr>
                <w:lang w:eastAsia="ja-JP"/>
              </w:rPr>
            </w:pPr>
            <w:r>
              <w:rPr>
                <w:lang w:eastAsia="ja-JP"/>
              </w:rPr>
              <w:t>I4</w:t>
            </w:r>
          </w:p>
        </w:tc>
        <w:tc>
          <w:tcPr>
            <w:tcW w:w="576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BodyText"/>
              <w:rPr>
                <w:lang w:eastAsia="ja-JP"/>
              </w:rPr>
            </w:pPr>
            <w:r>
              <w:rPr>
                <w:lang w:eastAsia="ja-JP"/>
              </w:rPr>
              <w:t>Comments (if no, please indicate the reason)</w:t>
            </w:r>
          </w:p>
        </w:tc>
      </w:tr>
      <w:tr w:rsidR="0088558E" w14:paraId="69511D13" w14:textId="77777777" w:rsidTr="00C30858">
        <w:tc>
          <w:tcPr>
            <w:tcW w:w="143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6234C3">
            <w:pPr>
              <w:rPr>
                <w:rFonts w:eastAsia="Times New Roman"/>
              </w:rPr>
            </w:pPr>
            <w:r>
              <w:rPr>
                <w:rFonts w:eastAsia="Times New Roman"/>
              </w:rPr>
              <w:t>Qualcomm</w:t>
            </w:r>
          </w:p>
        </w:tc>
        <w:tc>
          <w:tcPr>
            <w:tcW w:w="607"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6234C3">
            <w:pPr>
              <w:rPr>
                <w:rFonts w:eastAsia="Times New Roman"/>
              </w:rPr>
            </w:pPr>
            <w:r>
              <w:rPr>
                <w:rFonts w:eastAsia="Times New Roman"/>
              </w:rPr>
              <w:t>Yes</w:t>
            </w:r>
          </w:p>
        </w:tc>
        <w:tc>
          <w:tcPr>
            <w:tcW w:w="607"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6234C3">
            <w:pPr>
              <w:rPr>
                <w:rFonts w:eastAsia="Times New Roman"/>
              </w:rPr>
            </w:pPr>
            <w:r>
              <w:rPr>
                <w:rFonts w:eastAsia="Times New Roman"/>
              </w:rPr>
              <w:t>Yes</w:t>
            </w:r>
          </w:p>
        </w:tc>
        <w:tc>
          <w:tcPr>
            <w:tcW w:w="576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after the UE supports all features of FR1-FR2 CA, PCell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ListParagraph"/>
              <w:ind w:left="360"/>
              <w:rPr>
                <w:rFonts w:ascii="Times New Roman" w:eastAsia="Times New Roman" w:hAnsi="Times New Roman" w:cs="Times New Roman"/>
                <w:sz w:val="20"/>
                <w:szCs w:val="20"/>
                <w:lang w:val="en-GB" w:eastAsia="en-US"/>
              </w:rPr>
            </w:pPr>
          </w:p>
          <w:p w14:paraId="4DCF6D39"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We don’t think the issues indicated in 1) are only for UE/chipset vendor. We are not sure whether Network vendor can deploy FR1-FR2 CA, PCell in FR2 and infra-FR power sharing because we understand these features have NW impact and are also not easy for Network to deploy in early Rel-16.</w:t>
            </w:r>
          </w:p>
          <w:p w14:paraId="299DFCE0" w14:textId="77777777" w:rsidR="00706E44" w:rsidRPr="007114BB" w:rsidRDefault="00706E44" w:rsidP="00706E44">
            <w:pPr>
              <w:pStyle w:val="ListParagraph"/>
              <w:ind w:left="360"/>
              <w:rPr>
                <w:rFonts w:ascii="Times New Roman" w:eastAsia="Times New Roman" w:hAnsi="Times New Roman" w:cs="Times New Roman"/>
                <w:sz w:val="20"/>
                <w:szCs w:val="20"/>
                <w:lang w:val="en-GB" w:eastAsia="en-US"/>
              </w:rPr>
            </w:pPr>
            <w:r w:rsidRPr="007114BB">
              <w:rPr>
                <w:rFonts w:eastAsia="Times New Roman"/>
              </w:rPr>
              <w:t xml:space="preserve"> </w:t>
            </w:r>
          </w:p>
          <w:p w14:paraId="2CFAD6B2"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2B68AA11" w14:textId="7D1BF574" w:rsidR="0088558E" w:rsidRDefault="0088558E" w:rsidP="00600F4C">
            <w:pPr>
              <w:rPr>
                <w:rFonts w:eastAsia="Times New Roman"/>
              </w:rPr>
            </w:pPr>
          </w:p>
        </w:tc>
      </w:tr>
      <w:tr w:rsidR="00E87622" w14:paraId="10EC42F4" w14:textId="77777777" w:rsidTr="005A2C47">
        <w:tc>
          <w:tcPr>
            <w:tcW w:w="143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5A2C47">
            <w:pPr>
              <w:rPr>
                <w:rFonts w:eastAsia="DengXian"/>
                <w:lang w:eastAsia="zh-CN"/>
              </w:rPr>
            </w:pPr>
            <w:r>
              <w:rPr>
                <w:rFonts w:eastAsia="DengXian" w:hint="eastAsia"/>
                <w:lang w:eastAsia="zh-CN"/>
              </w:rPr>
              <w:lastRenderedPageBreak/>
              <w:t>O</w:t>
            </w:r>
            <w:r>
              <w:rPr>
                <w:rFonts w:eastAsia="DengXian"/>
                <w:lang w:eastAsia="zh-CN"/>
              </w:rPr>
              <w:t>PPO</w:t>
            </w:r>
          </w:p>
        </w:tc>
        <w:tc>
          <w:tcPr>
            <w:tcW w:w="607"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5A2C47">
            <w:pPr>
              <w:rPr>
                <w:rFonts w:eastAsia="DengXian"/>
                <w:lang w:eastAsia="zh-CN"/>
              </w:rPr>
            </w:pPr>
            <w:r>
              <w:rPr>
                <w:rFonts w:eastAsia="DengXian"/>
                <w:lang w:eastAsia="zh-CN"/>
              </w:rPr>
              <w:t>No</w:t>
            </w:r>
          </w:p>
        </w:tc>
        <w:tc>
          <w:tcPr>
            <w:tcW w:w="608"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5A2C47">
            <w:pPr>
              <w:rPr>
                <w:rFonts w:eastAsia="DengXian"/>
                <w:lang w:eastAsia="zh-CN"/>
              </w:rPr>
            </w:pPr>
            <w:r>
              <w:rPr>
                <w:rFonts w:eastAsia="DengXian" w:hint="eastAsia"/>
                <w:lang w:eastAsia="zh-CN"/>
              </w:rPr>
              <w:t>N</w:t>
            </w:r>
            <w:r>
              <w:rPr>
                <w:rFonts w:eastAsia="DengXian"/>
                <w:lang w:eastAsia="zh-CN"/>
              </w:rPr>
              <w:t>o</w:t>
            </w:r>
          </w:p>
        </w:tc>
        <w:tc>
          <w:tcPr>
            <w:tcW w:w="607"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5A2C47">
            <w:pPr>
              <w:rPr>
                <w:rFonts w:eastAsia="DengXian"/>
                <w:lang w:eastAsia="zh-CN"/>
              </w:rPr>
            </w:pPr>
            <w:r>
              <w:rPr>
                <w:rFonts w:eastAsia="DengXian"/>
                <w:lang w:eastAsia="zh-CN"/>
              </w:rPr>
              <w:t>No</w:t>
            </w:r>
          </w:p>
        </w:tc>
        <w:tc>
          <w:tcPr>
            <w:tcW w:w="608"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5A2C47">
            <w:pPr>
              <w:rPr>
                <w:rFonts w:eastAsia="DengXian"/>
                <w:lang w:eastAsia="zh-CN"/>
              </w:rPr>
            </w:pPr>
            <w:r>
              <w:rPr>
                <w:rFonts w:eastAsia="DengXian"/>
                <w:lang w:eastAsia="zh-CN"/>
              </w:rPr>
              <w:t>No</w:t>
            </w:r>
          </w:p>
        </w:tc>
        <w:tc>
          <w:tcPr>
            <w:tcW w:w="5764"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5A2C47">
            <w:pPr>
              <w:rPr>
                <w:rFonts w:eastAsia="DengXian"/>
                <w:lang w:eastAsia="zh-CN"/>
              </w:rPr>
            </w:pPr>
            <w:r>
              <w:rPr>
                <w:rFonts w:eastAsia="DengXian"/>
                <w:lang w:eastAsia="zh-CN"/>
              </w:rPr>
              <w:t>Issue1: not sure why suddenly CA between FR1 and FR2 is difficult. It exists in Rel15 from very beginning</w:t>
            </w:r>
          </w:p>
          <w:p w14:paraId="53F08E99" w14:textId="77777777" w:rsidR="00E87622" w:rsidRDefault="00E87622" w:rsidP="005A2C47">
            <w:pPr>
              <w:rPr>
                <w:iCs/>
                <w:sz w:val="21"/>
                <w:szCs w:val="21"/>
              </w:rPr>
            </w:pPr>
            <w:r>
              <w:rPr>
                <w:rFonts w:eastAsia="DengXian"/>
                <w:lang w:eastAsia="zh-CN"/>
              </w:rPr>
              <w:t xml:space="preserve">Issue2: in case UE don’t want to support FR2 as PCell,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r w:rsidRPr="00BF4981">
              <w:rPr>
                <w:i/>
                <w:iCs/>
                <w:sz w:val="21"/>
                <w:szCs w:val="21"/>
              </w:rPr>
              <w:t>CarrierAggregationVariant</w:t>
            </w:r>
            <w:r>
              <w:rPr>
                <w:iCs/>
                <w:sz w:val="21"/>
                <w:szCs w:val="21"/>
              </w:rPr>
              <w:t xml:space="preserve"> is introduced to indicate whether FR2 carrier can configured as sPCell for CA between FR1 and FR2. So if UE wants FR1 carrier to be sPCell, it can also do it.</w:t>
            </w:r>
          </w:p>
          <w:p w14:paraId="4E9B5913" w14:textId="77777777" w:rsidR="00E87622" w:rsidRDefault="00E87622" w:rsidP="005A2C47">
            <w:pPr>
              <w:rPr>
                <w:iCs/>
                <w:sz w:val="21"/>
                <w:szCs w:val="21"/>
              </w:rPr>
            </w:pPr>
            <w:r>
              <w:rPr>
                <w:iCs/>
                <w:sz w:val="21"/>
                <w:szCs w:val="21"/>
              </w:rPr>
              <w:t>Issue3: that’s the consequence to split FRX carrier between MCG and SCG. If there is no such split, it means FRX can either in MCG or SCG. Since rapporteur has concern on FR2 as pcell, it seems rapporteur think Rel15 capability i.e. FR1 in MCG and FR2 in SCG is sufficient also in Rel16? If it is inevitable, then this should  not be a concern.</w:t>
            </w:r>
          </w:p>
          <w:p w14:paraId="38B51168" w14:textId="77777777" w:rsidR="00E87622" w:rsidRDefault="00E87622" w:rsidP="005A2C47">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5A2C47">
            <w:pPr>
              <w:rPr>
                <w:rFonts w:eastAsia="DengXian"/>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384A09">
        <w:tc>
          <w:tcPr>
            <w:tcW w:w="143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6234C3">
            <w:pPr>
              <w:rPr>
                <w:rFonts w:eastAsia="DengXian"/>
                <w:lang w:eastAsia="zh-CN"/>
              </w:rPr>
            </w:pPr>
            <w:r>
              <w:rPr>
                <w:rFonts w:eastAsia="DengXian"/>
                <w:lang w:eastAsia="zh-CN"/>
              </w:rPr>
              <w:t>Apple</w:t>
            </w:r>
          </w:p>
        </w:tc>
        <w:tc>
          <w:tcPr>
            <w:tcW w:w="607"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6234C3">
            <w:pPr>
              <w:rPr>
                <w:rFonts w:eastAsia="DengXian"/>
                <w:lang w:eastAsia="zh-CN"/>
              </w:rPr>
            </w:pPr>
            <w:r>
              <w:rPr>
                <w:rFonts w:eastAsia="DengXian"/>
                <w:lang w:eastAsia="zh-CN"/>
              </w:rPr>
              <w:t>Yes</w:t>
            </w:r>
          </w:p>
        </w:tc>
        <w:tc>
          <w:tcPr>
            <w:tcW w:w="608"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6234C3">
            <w:pPr>
              <w:rPr>
                <w:rFonts w:eastAsia="DengXian"/>
                <w:lang w:eastAsia="zh-CN"/>
              </w:rPr>
            </w:pPr>
            <w:r>
              <w:rPr>
                <w:rFonts w:eastAsia="DengXian"/>
                <w:lang w:eastAsia="zh-CN"/>
              </w:rPr>
              <w:t>Yes</w:t>
            </w:r>
          </w:p>
        </w:tc>
        <w:tc>
          <w:tcPr>
            <w:tcW w:w="607"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6234C3">
            <w:pPr>
              <w:rPr>
                <w:rFonts w:eastAsia="DengXian"/>
                <w:lang w:eastAsia="zh-CN"/>
              </w:rPr>
            </w:pPr>
            <w:r>
              <w:rPr>
                <w:rFonts w:eastAsia="DengXian"/>
                <w:lang w:eastAsia="zh-CN"/>
              </w:rPr>
              <w:t>Yes</w:t>
            </w:r>
          </w:p>
        </w:tc>
        <w:tc>
          <w:tcPr>
            <w:tcW w:w="608"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6234C3">
            <w:pPr>
              <w:rPr>
                <w:rFonts w:eastAsia="DengXian"/>
                <w:lang w:eastAsia="zh-CN"/>
              </w:rPr>
            </w:pPr>
            <w:r>
              <w:rPr>
                <w:rFonts w:eastAsia="DengXian"/>
                <w:lang w:eastAsia="zh-CN"/>
              </w:rPr>
              <w:t>Yes</w:t>
            </w:r>
          </w:p>
        </w:tc>
        <w:tc>
          <w:tcPr>
            <w:tcW w:w="576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384A09">
        <w:tc>
          <w:tcPr>
            <w:tcW w:w="1435" w:type="dxa"/>
            <w:tcBorders>
              <w:top w:val="single" w:sz="4" w:space="0" w:color="auto"/>
              <w:left w:val="single" w:sz="4" w:space="0" w:color="auto"/>
              <w:bottom w:val="single" w:sz="4" w:space="0" w:color="auto"/>
              <w:right w:val="single" w:sz="4" w:space="0" w:color="auto"/>
            </w:tcBorders>
          </w:tcPr>
          <w:p w14:paraId="567569E4" w14:textId="77777777" w:rsidR="003F0F76" w:rsidRPr="00A1326F" w:rsidRDefault="003F0F76"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716C25B1" w14:textId="77777777" w:rsidR="003F0F76" w:rsidRPr="00A1326F" w:rsidRDefault="003F0F76"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5CEEFDA5" w14:textId="77777777" w:rsidR="003F0F76" w:rsidRPr="00A1326F" w:rsidRDefault="003F0F76"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57859701" w14:textId="77777777" w:rsidR="003F0F76" w:rsidRPr="00A1326F" w:rsidRDefault="003F0F76"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3AFEE911" w14:textId="77777777" w:rsidR="003F0F76" w:rsidRPr="00A1326F" w:rsidRDefault="003F0F76" w:rsidP="006234C3">
            <w:pPr>
              <w:rPr>
                <w:rFonts w:eastAsia="DengXian"/>
                <w:lang w:eastAsia="zh-CN"/>
              </w:rPr>
            </w:pPr>
          </w:p>
        </w:tc>
        <w:tc>
          <w:tcPr>
            <w:tcW w:w="5764" w:type="dxa"/>
            <w:tcBorders>
              <w:top w:val="single" w:sz="4" w:space="0" w:color="auto"/>
              <w:left w:val="single" w:sz="4" w:space="0" w:color="auto"/>
              <w:bottom w:val="single" w:sz="4" w:space="0" w:color="auto"/>
              <w:right w:val="single" w:sz="4" w:space="0" w:color="auto"/>
            </w:tcBorders>
          </w:tcPr>
          <w:p w14:paraId="603FF3A3" w14:textId="77777777" w:rsidR="003F0F76" w:rsidRDefault="003F0F76" w:rsidP="006234C3">
            <w:pPr>
              <w:rPr>
                <w:rFonts w:eastAsia="Times New Roman"/>
              </w:rPr>
            </w:pPr>
          </w:p>
        </w:tc>
      </w:tr>
    </w:tbl>
    <w:p w14:paraId="0BF2ED6B" w14:textId="77777777" w:rsidR="003F24E5" w:rsidRDefault="003F24E5" w:rsidP="001E4175">
      <w:pPr>
        <w:spacing w:after="0"/>
        <w:rPr>
          <w:rFonts w:ascii="Arial" w:hAnsi="Arial" w:cs="Arial"/>
          <w:lang w:eastAsia="zh-CN"/>
        </w:rPr>
      </w:pPr>
    </w:p>
    <w:p w14:paraId="3F083FFB" w14:textId="284B167A"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e.g. support of FR1-FR2 CA, and support of PCell in FR2)</w:t>
      </w:r>
    </w:p>
    <w:p w14:paraId="719CC6A9" w14:textId="26010CFE"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UEs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BodyText"/>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6234C3">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6234C3">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6234C3">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584650FA"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Pr>
                <w:rFonts w:eastAsia="Times New Roman"/>
              </w:rPr>
              <w:t xml:space="preserve">signaling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5A2C47">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5A2C47">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6234C3">
            <w:pPr>
              <w:rPr>
                <w:rFonts w:eastAsia="Times New Roman"/>
              </w:rPr>
            </w:pPr>
          </w:p>
        </w:tc>
      </w:tr>
    </w:tbl>
    <w:p w14:paraId="0AF0067D" w14:textId="317BBACD" w:rsidR="00D37018" w:rsidRDefault="00122ACC" w:rsidP="00FE4FE1">
      <w:pPr>
        <w:spacing w:before="180"/>
        <w:rPr>
          <w:sz w:val="21"/>
          <w:szCs w:val="21"/>
        </w:rPr>
      </w:pPr>
      <w:r>
        <w:rPr>
          <w:sz w:val="21"/>
          <w:szCs w:val="21"/>
        </w:rPr>
        <w:lastRenderedPageBreak/>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BodyText"/>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378DDDAA"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signaling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5A2C47">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5A2C47">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6234C3">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6234C3">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BodyText"/>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5A2C47">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5A2C47">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5A2C47">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6234C3">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Heading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BodyText"/>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BodyText"/>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6234C3">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6234C3">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6234C3">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lastRenderedPageBreak/>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ListParagraph"/>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perspectve</w:t>
            </w:r>
          </w:p>
          <w:p w14:paraId="3B576140" w14:textId="23462417" w:rsidR="00D842BE" w:rsidRPr="00A92108" w:rsidRDefault="00D842BE" w:rsidP="00D842BE">
            <w:pPr>
              <w:pStyle w:val="ListParagraph"/>
              <w:rPr>
                <w:rFonts w:eastAsia="Times New Roman"/>
              </w:rPr>
            </w:pPr>
          </w:p>
        </w:tc>
      </w:tr>
      <w:tr w:rsidR="00E87622" w14:paraId="3901989E" w14:textId="77777777" w:rsidTr="005A2C47">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5A2C47">
            <w:pPr>
              <w:rPr>
                <w:rFonts w:ascii="Arial" w:eastAsia="DengXian" w:hAnsi="Arial" w:cs="Arial"/>
                <w:lang w:eastAsia="zh-CN"/>
              </w:rPr>
            </w:pPr>
            <w:r w:rsidRPr="009821B6">
              <w:rPr>
                <w:rFonts w:ascii="Arial" w:eastAsia="DengXian" w:hAnsi="Arial" w:cs="Arial"/>
                <w:lang w:eastAsia="zh-CN"/>
              </w:rPr>
              <w:lastRenderedPageBreak/>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5A2C47">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6234C3">
            <w:pPr>
              <w:rPr>
                <w:rFonts w:eastAsia="DengXian"/>
                <w:lang w:eastAsia="zh-CN"/>
              </w:rPr>
            </w:pPr>
            <w:r>
              <w:rPr>
                <w:rFonts w:eastAsia="DengXian"/>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6234C3">
            <w:pPr>
              <w:rPr>
                <w:rFonts w:eastAsia="Times New Roman"/>
              </w:rPr>
            </w:pPr>
            <w:r>
              <w:rPr>
                <w:rFonts w:eastAsia="Times New Roman"/>
              </w:rPr>
              <w:t xml:space="preserve">We also prefer to conclude in RAN2 and in the LS explain the RAN2 agreements and the reasoning behind these (potential NBC etc). We are not very keen on asking input in the LS, but rather provide the agreements and request RAN1/4 to take these into consideration. </w:t>
            </w: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lastRenderedPageBreak/>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lastRenderedPageBreak/>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A9F53" w14:textId="77777777" w:rsidR="0017419E" w:rsidRDefault="0017419E">
      <w:r>
        <w:separator/>
      </w:r>
    </w:p>
  </w:endnote>
  <w:endnote w:type="continuationSeparator" w:id="0">
    <w:p w14:paraId="62436CB0" w14:textId="77777777" w:rsidR="0017419E" w:rsidRDefault="0017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99FB7" w14:textId="77777777" w:rsidR="0017419E" w:rsidRDefault="0017419E">
      <w:r>
        <w:separator/>
      </w:r>
    </w:p>
  </w:footnote>
  <w:footnote w:type="continuationSeparator" w:id="0">
    <w:p w14:paraId="4C716ED5" w14:textId="77777777" w:rsidR="0017419E" w:rsidRDefault="0017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EB85" w14:textId="77777777" w:rsidR="003E2063" w:rsidRDefault="003E20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5"/>
  </w:num>
  <w:num w:numId="8">
    <w:abstractNumId w:val="11"/>
  </w:num>
  <w:num w:numId="9">
    <w:abstractNumId w:val="10"/>
  </w:num>
  <w:num w:numId="10">
    <w:abstractNumId w:val="2"/>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C0"/>
    <w:rsid w:val="00A7671C"/>
    <w:rsid w:val="00A7672A"/>
    <w:rsid w:val="00A778C4"/>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0DB"/>
    <w:rsid w:val="00DF5217"/>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93467-ED03-421B-B449-D10D61082BE1}">
  <ds:schemaRefs>
    <ds:schemaRef ds:uri="http://schemas.openxmlformats.org/officeDocument/2006/bibliography"/>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3465</Words>
  <Characters>19751</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23170</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Maruthi Alamuri</cp:lastModifiedBy>
  <cp:revision>4</cp:revision>
  <cp:lastPrinted>1900-12-31T16:00:00Z</cp:lastPrinted>
  <dcterms:created xsi:type="dcterms:W3CDTF">2020-08-24T09:56:00Z</dcterms:created>
  <dcterms:modified xsi:type="dcterms:W3CDTF">2020-08-24T16:17:00Z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