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234D" w:rsidRDefault="00A35739">
      <w:pPr>
        <w:pStyle w:val="CRCoverPage"/>
        <w:tabs>
          <w:tab w:val="right" w:pos="9639"/>
        </w:tabs>
        <w:spacing w:after="0"/>
        <w:rPr>
          <w:rFonts w:eastAsia="宋体"/>
          <w:b/>
          <w:i/>
          <w:sz w:val="28"/>
          <w:lang w:val="en-US" w:eastAsia="zh-CN"/>
        </w:rPr>
      </w:pPr>
      <w:r>
        <w:rPr>
          <w:b/>
          <w:sz w:val="24"/>
        </w:rPr>
        <w:t>3GPP TSG-RAN WG2 Meeting #109</w:t>
      </w:r>
      <w:r>
        <w:rPr>
          <w:b/>
          <w:sz w:val="24"/>
        </w:rPr>
        <w:tab/>
      </w:r>
      <w:r>
        <w:rPr>
          <w:b/>
          <w:i/>
          <w:sz w:val="28"/>
        </w:rPr>
        <w:t>R2-</w:t>
      </w:r>
      <w:r>
        <w:rPr>
          <w:rFonts w:eastAsia="宋体" w:hint="eastAsia"/>
          <w:b/>
          <w:i/>
          <w:sz w:val="28"/>
          <w:lang w:val="en-US" w:eastAsia="zh-CN"/>
        </w:rPr>
        <w:t>2000357</w:t>
      </w:r>
    </w:p>
    <w:p w:rsidR="0081234D" w:rsidRDefault="00A35739">
      <w:pPr>
        <w:pStyle w:val="CRCoverPage"/>
        <w:outlineLvl w:val="0"/>
        <w:rPr>
          <w:b/>
          <w:sz w:val="24"/>
          <w:szCs w:val="24"/>
          <w:lang w:eastAsia="zh-CN"/>
        </w:rPr>
      </w:pPr>
      <w:r>
        <w:rPr>
          <w:b/>
          <w:sz w:val="24"/>
          <w:szCs w:val="24"/>
          <w:lang w:eastAsia="zh-CN"/>
        </w:rPr>
        <w:t>E-meeting, 24</w:t>
      </w:r>
      <w:r>
        <w:rPr>
          <w:b/>
          <w:sz w:val="24"/>
          <w:szCs w:val="24"/>
          <w:vertAlign w:val="superscript"/>
          <w:lang w:eastAsia="zh-CN"/>
        </w:rPr>
        <w:t>th</w:t>
      </w:r>
      <w:r>
        <w:rPr>
          <w:b/>
          <w:sz w:val="24"/>
          <w:szCs w:val="24"/>
          <w:lang w:eastAsia="zh-CN"/>
        </w:rPr>
        <w:t xml:space="preserve"> Feb – 6</w:t>
      </w:r>
      <w:r>
        <w:rPr>
          <w:b/>
          <w:sz w:val="24"/>
          <w:szCs w:val="24"/>
          <w:vertAlign w:val="superscript"/>
          <w:lang w:eastAsia="zh-CN"/>
        </w:rPr>
        <w:t>th</w:t>
      </w:r>
      <w:r>
        <w:rPr>
          <w:b/>
          <w:sz w:val="24"/>
          <w:szCs w:val="24"/>
          <w:lang w:eastAsia="zh-CN"/>
        </w:rPr>
        <w:t xml:space="preserve"> Mar 20</w:t>
      </w:r>
      <w:r w:rsidR="00F30F7A">
        <w:rPr>
          <w:b/>
          <w:sz w:val="24"/>
          <w:szCs w:val="24"/>
          <w:lang w:eastAsia="zh-CN"/>
        </w:rPr>
        <w:t>20</w:t>
      </w:r>
    </w:p>
    <w:p w:rsidR="0081234D" w:rsidRDefault="0081234D">
      <w:pPr>
        <w:overflowPunct w:val="0"/>
        <w:autoSpaceDE w:val="0"/>
        <w:autoSpaceDN w:val="0"/>
        <w:adjustRightInd w:val="0"/>
        <w:snapToGrid w:val="0"/>
        <w:spacing w:line="240" w:lineRule="auto"/>
        <w:jc w:val="left"/>
        <w:textAlignment w:val="baseline"/>
        <w:rPr>
          <w:rFonts w:ascii="Arial" w:hAnsi="Arial" w:cs="Arial"/>
          <w:b/>
          <w:bCs/>
          <w:kern w:val="0"/>
          <w:sz w:val="24"/>
        </w:rPr>
      </w:pPr>
    </w:p>
    <w:p w:rsidR="0081234D" w:rsidRDefault="00A35739">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81234D" w:rsidRDefault="00A35739">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Remaining issues on the cell re-selection</w:t>
      </w:r>
    </w:p>
    <w:p w:rsidR="0081234D" w:rsidRDefault="00A35739">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6.18.2</w:t>
      </w:r>
    </w:p>
    <w:p w:rsidR="0081234D" w:rsidRDefault="00A35739">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81234D" w:rsidRDefault="00A35739">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81234D" w:rsidRDefault="00A35739">
      <w:pPr>
        <w:tabs>
          <w:tab w:val="left" w:pos="3115"/>
        </w:tabs>
        <w:rPr>
          <w:rFonts w:cstheme="minorHAnsi"/>
        </w:rPr>
      </w:pPr>
      <w:r>
        <w:rPr>
          <w:rFonts w:cstheme="minorHAnsi"/>
          <w:lang w:val="en-GB"/>
        </w:rPr>
        <w:t xml:space="preserve">In </w:t>
      </w:r>
      <w:r>
        <w:rPr>
          <w:rFonts w:cstheme="minorHAnsi" w:hint="eastAsia"/>
        </w:rPr>
        <w:t xml:space="preserve">the last meeting, there are many discussions on the SIB1 structure and the suitable cell definition, in this paper, we focus on the remaining issues on the cell reselection, </w:t>
      </w:r>
      <w:r w:rsidR="004B6D82">
        <w:rPr>
          <w:rFonts w:cstheme="minorHAnsi"/>
        </w:rPr>
        <w:t>and the</w:t>
      </w:r>
      <w:r>
        <w:rPr>
          <w:rFonts w:cstheme="minorHAnsi" w:hint="eastAsia"/>
        </w:rPr>
        <w:t xml:space="preserve"> following 2 FFS issues are also included.</w:t>
      </w:r>
    </w:p>
    <w:tbl>
      <w:tblPr>
        <w:tblStyle w:val="TableGrid"/>
        <w:tblW w:w="8363" w:type="dxa"/>
        <w:tblInd w:w="704" w:type="dxa"/>
        <w:tblLayout w:type="fixed"/>
        <w:tblLook w:val="04A0" w:firstRow="1" w:lastRow="0" w:firstColumn="1" w:lastColumn="0" w:noHBand="0" w:noVBand="1"/>
      </w:tblPr>
      <w:tblGrid>
        <w:gridCol w:w="8363"/>
      </w:tblGrid>
      <w:tr w:rsidR="0081234D">
        <w:tc>
          <w:tcPr>
            <w:tcW w:w="8363" w:type="dxa"/>
          </w:tcPr>
          <w:p w:rsidR="0081234D" w:rsidRPr="004B6D82" w:rsidRDefault="00A35739">
            <w:pPr>
              <w:ind w:right="-99"/>
              <w:rPr>
                <w:rFonts w:eastAsia="Malgun Gothic" w:cstheme="minorHAnsi"/>
              </w:rPr>
            </w:pPr>
            <w:proofErr w:type="gramStart"/>
            <w:r>
              <w:rPr>
                <w:rFonts w:eastAsia="宋体" w:cstheme="minorHAnsi" w:hint="eastAsia"/>
              </w:rPr>
              <w:t>1</w:t>
            </w:r>
            <w:r>
              <w:rPr>
                <w:rFonts w:eastAsia="Malgun Gothic" w:cstheme="minorHAnsi" w:hint="eastAsia"/>
              </w:rPr>
              <w:t>.the</w:t>
            </w:r>
            <w:proofErr w:type="gramEnd"/>
            <w:r>
              <w:rPr>
                <w:rFonts w:eastAsia="Malgun Gothic" w:cstheme="minorHAnsi" w:hint="eastAsia"/>
              </w:rPr>
              <w:t xml:space="preserve"> PCI list of CAG cells can optionally be </w:t>
            </w:r>
            <w:proofErr w:type="spellStart"/>
            <w:r>
              <w:rPr>
                <w:rFonts w:eastAsia="Malgun Gothic" w:cstheme="minorHAnsi" w:hint="eastAsia"/>
              </w:rPr>
              <w:t>signalled</w:t>
            </w:r>
            <w:proofErr w:type="spellEnd"/>
            <w:r>
              <w:rPr>
                <w:rFonts w:eastAsia="Malgun Gothic" w:cstheme="minorHAnsi" w:hint="eastAsia"/>
              </w:rPr>
              <w:t xml:space="preserve"> to UE</w:t>
            </w:r>
            <w:r w:rsidRPr="004B6D82">
              <w:rPr>
                <w:rFonts w:eastAsia="Malgun Gothic" w:cstheme="minorHAnsi" w:hint="eastAsia"/>
              </w:rPr>
              <w:t>s. FFS on details of the list</w:t>
            </w:r>
          </w:p>
          <w:p w:rsidR="0081234D" w:rsidRDefault="00A35739">
            <w:pPr>
              <w:ind w:right="-99"/>
              <w:rPr>
                <w:rFonts w:eastAsia="Malgun Gothic" w:cstheme="minorHAnsi"/>
              </w:rPr>
            </w:pPr>
            <w:proofErr w:type="gramStart"/>
            <w:r w:rsidRPr="004B6D82">
              <w:rPr>
                <w:rFonts w:eastAsia="宋体" w:cstheme="minorHAnsi" w:hint="eastAsia"/>
              </w:rPr>
              <w:t>2</w:t>
            </w:r>
            <w:r w:rsidRPr="004B6D82">
              <w:rPr>
                <w:rFonts w:eastAsia="Malgun Gothic" w:cstheme="minorHAnsi" w:hint="eastAsia"/>
              </w:rPr>
              <w:t>.FFS</w:t>
            </w:r>
            <w:proofErr w:type="gramEnd"/>
            <w:r w:rsidRPr="004B6D82">
              <w:rPr>
                <w:rFonts w:eastAsia="Malgun Gothic" w:cstheme="minorHAnsi" w:hint="eastAsia"/>
              </w:rPr>
              <w:t xml:space="preserve"> whether PCI range of SNPN cells can optionally be </w:t>
            </w:r>
            <w:proofErr w:type="spellStart"/>
            <w:r w:rsidRPr="004B6D82">
              <w:rPr>
                <w:rFonts w:eastAsia="Malgun Gothic" w:cstheme="minorHAnsi" w:hint="eastAsia"/>
              </w:rPr>
              <w:t>signalled</w:t>
            </w:r>
            <w:proofErr w:type="spellEnd"/>
            <w:r w:rsidRPr="004B6D82">
              <w:rPr>
                <w:rFonts w:eastAsia="Malgun Gothic" w:cstheme="minorHAnsi" w:hint="eastAsia"/>
              </w:rPr>
              <w:t xml:space="preserve"> to UEs.</w:t>
            </w:r>
            <w:r>
              <w:rPr>
                <w:rFonts w:eastAsia="Malgun Gothic" w:cstheme="minorHAnsi" w:hint="eastAsia"/>
              </w:rPr>
              <w:t xml:space="preserve"> </w:t>
            </w:r>
          </w:p>
        </w:tc>
      </w:tr>
    </w:tbl>
    <w:p w:rsidR="0081234D" w:rsidRDefault="00A35739">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r>
        <w:rPr>
          <w:rFonts w:ascii="Arial" w:hAnsi="Arial" w:cs="Arial" w:hint="eastAsia"/>
          <w:b w:val="0"/>
          <w:bCs w:val="0"/>
          <w:kern w:val="0"/>
          <w:sz w:val="32"/>
          <w:szCs w:val="36"/>
        </w:rPr>
        <w:t>s</w:t>
      </w:r>
    </w:p>
    <w:p w:rsidR="0081234D" w:rsidRDefault="00A35739">
      <w:pPr>
        <w:rPr>
          <w:rFonts w:cstheme="minorHAnsi"/>
        </w:rPr>
      </w:pPr>
      <w:r>
        <w:rPr>
          <w:rFonts w:cstheme="minorHAnsi"/>
        </w:rPr>
        <w:t xml:space="preserve">In this chapter, </w:t>
      </w:r>
      <w:r>
        <w:rPr>
          <w:rFonts w:cstheme="minorHAnsi" w:hint="eastAsia"/>
        </w:rPr>
        <w:t>we first discuss how to execute intra frequency reselection with considering of the private network, and then give our understandings on the two FFS issues on the PCI, at last we analyze private network</w:t>
      </w:r>
      <w:r>
        <w:rPr>
          <w:rFonts w:cstheme="minorHAnsi"/>
        </w:rPr>
        <w:t>’</w:t>
      </w:r>
      <w:r w:rsidR="008E4F9E">
        <w:rPr>
          <w:rFonts w:cstheme="minorHAnsi" w:hint="eastAsia"/>
        </w:rPr>
        <w:t xml:space="preserve">s impact on </w:t>
      </w:r>
      <w:r>
        <w:rPr>
          <w:rFonts w:cstheme="minorHAnsi" w:hint="eastAsia"/>
        </w:rPr>
        <w:t>the black and /or the neighbor cell list.</w:t>
      </w:r>
    </w:p>
    <w:p w:rsidR="0081234D" w:rsidRDefault="00A35739">
      <w:pPr>
        <w:pStyle w:val="Heading2"/>
        <w:keepNext w:val="0"/>
        <w:keepLines w:val="0"/>
        <w:ind w:left="0" w:firstLine="0"/>
        <w:rPr>
          <w:rFonts w:eastAsia="宋体"/>
          <w:b w:val="0"/>
          <w:bCs w:val="0"/>
          <w:sz w:val="28"/>
          <w:szCs w:val="28"/>
          <w:lang w:val="en-US"/>
        </w:rPr>
      </w:pPr>
      <w:r>
        <w:rPr>
          <w:rFonts w:hint="eastAsia"/>
          <w:b w:val="0"/>
          <w:bCs w:val="0"/>
          <w:sz w:val="28"/>
          <w:szCs w:val="28"/>
          <w:lang w:val="en-US"/>
        </w:rPr>
        <w:t xml:space="preserve">2.1 </w:t>
      </w:r>
      <w:r>
        <w:rPr>
          <w:rFonts w:eastAsia="宋体" w:hint="eastAsia"/>
          <w:b w:val="0"/>
          <w:bCs w:val="0"/>
          <w:sz w:val="28"/>
          <w:szCs w:val="28"/>
          <w:lang w:val="en-US"/>
        </w:rPr>
        <w:t>Intra Frequency Reselection</w:t>
      </w:r>
    </w:p>
    <w:p w:rsidR="0081234D" w:rsidRDefault="00A35739">
      <w:r>
        <w:rPr>
          <w:rFonts w:hint="eastAsia"/>
        </w:rPr>
        <w:t>In</w:t>
      </w:r>
      <w:r w:rsidR="008C4CEF">
        <w:rPr>
          <w:rFonts w:hint="eastAsia"/>
        </w:rPr>
        <w:t xml:space="preserve"> </w:t>
      </w:r>
      <w:r>
        <w:rPr>
          <w:rFonts w:hint="eastAsia"/>
        </w:rPr>
        <w:t>[1], the Intra Frequency Reselection Indication</w:t>
      </w:r>
      <w:r w:rsidR="008C4CEF">
        <w:rPr>
          <w:rFonts w:hint="eastAsia"/>
        </w:rPr>
        <w:t xml:space="preserve"> </w:t>
      </w:r>
      <w:r>
        <w:rPr>
          <w:rFonts w:hint="eastAsia"/>
        </w:rPr>
        <w:t xml:space="preserve">(IFRI) bit in MIB was discussed. In this section, we give our analysis on the intra frequency reselection </w:t>
      </w:r>
      <w:r>
        <w:rPr>
          <w:rFonts w:cstheme="minorHAnsi" w:hint="eastAsia"/>
        </w:rPr>
        <w:t xml:space="preserve">with considering of the private network. </w:t>
      </w:r>
    </w:p>
    <w:p w:rsidR="0081234D" w:rsidRDefault="00A35739">
      <w:pPr>
        <w:rPr>
          <w:rFonts w:cstheme="minorHAnsi"/>
        </w:rPr>
      </w:pPr>
      <w:r>
        <w:rPr>
          <w:rFonts w:cstheme="minorHAnsi" w:hint="eastAsia"/>
        </w:rPr>
        <w:t>In LTE, as described in [2],</w:t>
      </w:r>
    </w:p>
    <w:tbl>
      <w:tblPr>
        <w:tblStyle w:val="TableGrid"/>
        <w:tblW w:w="8972" w:type="dxa"/>
        <w:tblInd w:w="479" w:type="dxa"/>
        <w:tblLayout w:type="fixed"/>
        <w:tblLook w:val="04A0" w:firstRow="1" w:lastRow="0" w:firstColumn="1" w:lastColumn="0" w:noHBand="0" w:noVBand="1"/>
      </w:tblPr>
      <w:tblGrid>
        <w:gridCol w:w="8972"/>
      </w:tblGrid>
      <w:tr w:rsidR="0081234D">
        <w:tc>
          <w:tcPr>
            <w:tcW w:w="8972" w:type="dxa"/>
          </w:tcPr>
          <w:p w:rsidR="0081234D" w:rsidRDefault="00A35739">
            <w:pPr>
              <w:spacing w:line="260" w:lineRule="auto"/>
              <w:ind w:left="420" w:hangingChars="200" w:hanging="420"/>
              <w:rPr>
                <w:i/>
                <w:iCs/>
              </w:rPr>
            </w:pPr>
            <w:r>
              <w:rPr>
                <w:rFonts w:hint="eastAsia"/>
                <w:i/>
                <w:iCs/>
              </w:rPr>
              <w:t xml:space="preserve"> 1, </w:t>
            </w:r>
            <w:r>
              <w:rPr>
                <w:i/>
                <w:iCs/>
              </w:rPr>
              <w:t>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w:t>
            </w:r>
          </w:p>
          <w:p w:rsidR="0081234D" w:rsidRDefault="00A35739">
            <w:pPr>
              <w:spacing w:line="260" w:lineRule="auto"/>
              <w:ind w:left="420" w:hangingChars="200" w:hanging="420"/>
              <w:rPr>
                <w:i/>
                <w:iCs/>
              </w:rPr>
            </w:pPr>
            <w:r>
              <w:rPr>
                <w:rFonts w:hint="eastAsia"/>
                <w:i/>
                <w:iCs/>
              </w:rPr>
              <w:t xml:space="preserve">2, </w:t>
            </w:r>
            <w:r>
              <w:rPr>
                <w:i/>
                <w:iCs/>
              </w:rPr>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tc>
      </w:tr>
    </w:tbl>
    <w:p w:rsidR="0081234D" w:rsidRDefault="00A35739">
      <w:r>
        <w:rPr>
          <w:rFonts w:hint="eastAsia"/>
        </w:rPr>
        <w:lastRenderedPageBreak/>
        <w:t>With the above specification, the UE</w:t>
      </w:r>
      <w:r>
        <w:t>’</w:t>
      </w:r>
      <w:r>
        <w:rPr>
          <w:rFonts w:hint="eastAsia"/>
        </w:rPr>
        <w:t>s action can be further interpreted as follow:</w:t>
      </w:r>
    </w:p>
    <w:p w:rsidR="0081234D" w:rsidRDefault="00A35739">
      <w:pPr>
        <w:numPr>
          <w:ilvl w:val="0"/>
          <w:numId w:val="5"/>
        </w:numPr>
      </w:pPr>
      <w:r>
        <w:t xml:space="preserve">If the highest ranked cell </w:t>
      </w:r>
      <w:r w:rsidRPr="004B6D82">
        <w:t xml:space="preserve">or best cell is </w:t>
      </w:r>
      <w:r w:rsidRPr="004B6D82">
        <w:rPr>
          <w:rFonts w:hint="eastAsia"/>
        </w:rPr>
        <w:t xml:space="preserve">not a </w:t>
      </w:r>
      <w:r w:rsidRPr="004B6D82">
        <w:t>CSG cell</w:t>
      </w:r>
      <w:r w:rsidRPr="004B6D82">
        <w:rPr>
          <w:rFonts w:hint="eastAsia"/>
        </w:rPr>
        <w:t xml:space="preserve"> but not sui</w:t>
      </w:r>
      <w:r>
        <w:rPr>
          <w:rFonts w:hint="eastAsia"/>
        </w:rPr>
        <w:t xml:space="preserve">table for </w:t>
      </w:r>
      <w:r>
        <w:t xml:space="preserve">a CN type due to being part of the "list of forbidden TAs for roaming" or belonging to a </w:t>
      </w:r>
      <w:r>
        <w:rPr>
          <w:rFonts w:hint="eastAsia"/>
        </w:rPr>
        <w:t xml:space="preserve">registered or equivalent </w:t>
      </w:r>
      <w:r>
        <w:t>PLMN</w:t>
      </w:r>
      <w:r>
        <w:rPr>
          <w:rFonts w:hint="eastAsia"/>
        </w:rPr>
        <w:t>, the UE shall not consider any cells on the same frequency for 5mins.</w:t>
      </w:r>
    </w:p>
    <w:p w:rsidR="0081234D" w:rsidRDefault="00A35739">
      <w:pPr>
        <w:numPr>
          <w:ilvl w:val="0"/>
          <w:numId w:val="5"/>
        </w:numPr>
      </w:pPr>
      <w:r>
        <w:rPr>
          <w:rFonts w:hint="eastAsia"/>
        </w:rPr>
        <w:t>If the</w:t>
      </w:r>
      <w:r>
        <w:t xml:space="preserve"> highest ranked cell or best c</w:t>
      </w:r>
      <w:r w:rsidRPr="004B6D82">
        <w:t xml:space="preserve">ell is </w:t>
      </w:r>
      <w:r w:rsidRPr="004B6D82">
        <w:rPr>
          <w:rFonts w:hint="eastAsia"/>
        </w:rPr>
        <w:t xml:space="preserve">a </w:t>
      </w:r>
      <w:r w:rsidRPr="004B6D82">
        <w:t>CSG cell</w:t>
      </w:r>
      <w:r w:rsidRPr="004B6D82">
        <w:rPr>
          <w:rFonts w:hint="eastAsia"/>
        </w:rPr>
        <w:t xml:space="preserve"> but not a</w:t>
      </w:r>
      <w:r>
        <w:rPr>
          <w:rFonts w:hint="eastAsia"/>
        </w:rPr>
        <w:t xml:space="preserve"> CSG member cell, the UE can continue </w:t>
      </w:r>
      <w:r>
        <w:t>considering other cells on the same frequency</w:t>
      </w:r>
      <w:r>
        <w:rPr>
          <w:rFonts w:hint="eastAsia"/>
        </w:rPr>
        <w:t>.</w:t>
      </w:r>
      <w:r>
        <w:t xml:space="preserve"> </w:t>
      </w:r>
    </w:p>
    <w:p w:rsidR="0081234D" w:rsidRDefault="00A35739">
      <w:r>
        <w:rPr>
          <w:rFonts w:hint="eastAsia"/>
        </w:rPr>
        <w:t>The main reason for 2 different actions is that for the public network, there are always lots of neighbor cells with</w:t>
      </w:r>
      <w:r w:rsidR="008C4CEF">
        <w:rPr>
          <w:rFonts w:hint="eastAsia"/>
        </w:rPr>
        <w:t>in</w:t>
      </w:r>
      <w:r>
        <w:rPr>
          <w:rFonts w:hint="eastAsia"/>
        </w:rPr>
        <w:t xml:space="preserve"> the same PLMN/ TA on the same frequency especially in the urban area. To avoid the interference, the different operators will adopt d</w:t>
      </w:r>
      <w:r w:rsidR="008C4CEF">
        <w:rPr>
          <w:rFonts w:hint="eastAsia"/>
        </w:rPr>
        <w:t>ifferent frequencies in the overlapped</w:t>
      </w:r>
      <w:r>
        <w:rPr>
          <w:rFonts w:hint="eastAsia"/>
        </w:rPr>
        <w:t xml:space="preserve"> area. In other words, for the public network, if the highest ranked cell is non</w:t>
      </w:r>
      <w:r w:rsidR="008E4F9E">
        <w:t>-</w:t>
      </w:r>
      <w:r>
        <w:rPr>
          <w:rFonts w:hint="eastAsia"/>
        </w:rPr>
        <w:t xml:space="preserve">suitable due to </w:t>
      </w:r>
      <w:r w:rsidR="008C4CEF">
        <w:rPr>
          <w:rFonts w:hint="eastAsia"/>
        </w:rPr>
        <w:t xml:space="preserve">the </w:t>
      </w:r>
      <w:r>
        <w:rPr>
          <w:rFonts w:hint="eastAsia"/>
        </w:rPr>
        <w:t xml:space="preserve">CN type, there is a high probability that lots of cells with higher rank are deployed on this frequency but </w:t>
      </w:r>
      <w:r w:rsidR="008C4CEF">
        <w:rPr>
          <w:rFonts w:hint="eastAsia"/>
        </w:rPr>
        <w:t xml:space="preserve">also </w:t>
      </w:r>
      <w:r>
        <w:rPr>
          <w:rFonts w:hint="eastAsia"/>
        </w:rPr>
        <w:t>with non</w:t>
      </w:r>
      <w:r w:rsidR="008E4F9E">
        <w:t>-</w:t>
      </w:r>
      <w:r>
        <w:rPr>
          <w:rFonts w:hint="eastAsia"/>
        </w:rPr>
        <w:t>suitable CN type, thus it</w:t>
      </w:r>
      <w:r>
        <w:t>’</w:t>
      </w:r>
      <w:r>
        <w:rPr>
          <w:rFonts w:hint="eastAsia"/>
        </w:rPr>
        <w:t xml:space="preserve">s better to </w:t>
      </w:r>
      <w:r w:rsidR="008C4CEF">
        <w:t xml:space="preserve">switch </w:t>
      </w:r>
      <w:r>
        <w:rPr>
          <w:rFonts w:hint="eastAsia"/>
        </w:rPr>
        <w:t xml:space="preserve">to another frequency. When it comes to the CSG, </w:t>
      </w:r>
      <w:r w:rsidR="008C4CEF">
        <w:t xml:space="preserve">in most cases </w:t>
      </w:r>
      <w:r>
        <w:rPr>
          <w:rFonts w:hint="eastAsia"/>
        </w:rPr>
        <w:t>there are only a few cells for a certain CSG ID and the cells with different CSG ID can deploy on the same frequency, even the</w:t>
      </w:r>
      <w:r>
        <w:t xml:space="preserve"> highest ranked cell or best cell</w:t>
      </w:r>
      <w:r>
        <w:rPr>
          <w:rFonts w:hint="eastAsia"/>
        </w:rPr>
        <w:t xml:space="preserve"> is not a CSG member cell, the UE still can continue considering other cells on the same frequency. </w:t>
      </w:r>
    </w:p>
    <w:p w:rsidR="0081234D" w:rsidRDefault="00A35739">
      <w:r>
        <w:rPr>
          <w:rFonts w:hint="eastAsia"/>
        </w:rPr>
        <w:t>When it comes to the NPN, the similar issue shall be considered, that is</w:t>
      </w:r>
    </w:p>
    <w:p w:rsidR="0081234D" w:rsidRDefault="00A35739">
      <w:pPr>
        <w:rPr>
          <w:i/>
          <w:iCs/>
        </w:rPr>
      </w:pPr>
      <w:r>
        <w:rPr>
          <w:i/>
          <w:iCs/>
        </w:rPr>
        <w:t>If the highest ranked cell or best cell according to absolute priority reselection rul</w:t>
      </w:r>
      <w:r w:rsidRPr="004B6D82">
        <w:rPr>
          <w:i/>
          <w:iCs/>
        </w:rPr>
        <w:t>es</w:t>
      </w:r>
      <w:r w:rsidRPr="004B6D82">
        <w:rPr>
          <w:rFonts w:hint="eastAsia"/>
          <w:i/>
          <w:iCs/>
        </w:rPr>
        <w:t xml:space="preserve"> </w:t>
      </w:r>
      <w:r w:rsidRPr="004B6D82">
        <w:rPr>
          <w:i/>
          <w:iCs/>
        </w:rPr>
        <w:t>is</w:t>
      </w:r>
      <w:r w:rsidRPr="004B6D82">
        <w:rPr>
          <w:rFonts w:hint="eastAsia"/>
          <w:i/>
          <w:iCs/>
        </w:rPr>
        <w:t xml:space="preserve"> </w:t>
      </w:r>
      <w:r w:rsidRPr="004B6D82">
        <w:rPr>
          <w:i/>
          <w:iCs/>
        </w:rPr>
        <w:t xml:space="preserve">not suitable due to not being a </w:t>
      </w:r>
      <w:r w:rsidRPr="004B6D82">
        <w:rPr>
          <w:rFonts w:hint="eastAsia"/>
          <w:i/>
          <w:iCs/>
        </w:rPr>
        <w:t xml:space="preserve">NPN </w:t>
      </w:r>
      <w:r w:rsidRPr="004B6D82">
        <w:rPr>
          <w:i/>
          <w:iCs/>
        </w:rPr>
        <w:t>member cell</w:t>
      </w:r>
      <w:r w:rsidRPr="004B6D82">
        <w:rPr>
          <w:rFonts w:hint="eastAsia"/>
          <w:i/>
          <w:iCs/>
        </w:rPr>
        <w:t>, how does UE act?</w:t>
      </w:r>
    </w:p>
    <w:p w:rsidR="0081234D" w:rsidRDefault="00A35739">
      <w:r>
        <w:rPr>
          <w:rFonts w:hint="eastAsia"/>
        </w:rPr>
        <w:t>According to the submitted papers and email discussions in the previous meetings, there are 3 options:</w:t>
      </w:r>
    </w:p>
    <w:tbl>
      <w:tblPr>
        <w:tblStyle w:val="TableGrid"/>
        <w:tblW w:w="8972" w:type="dxa"/>
        <w:tblInd w:w="479" w:type="dxa"/>
        <w:tblLayout w:type="fixed"/>
        <w:tblLook w:val="04A0" w:firstRow="1" w:lastRow="0" w:firstColumn="1" w:lastColumn="0" w:noHBand="0" w:noVBand="1"/>
      </w:tblPr>
      <w:tblGrid>
        <w:gridCol w:w="8972"/>
      </w:tblGrid>
      <w:tr w:rsidR="0081234D">
        <w:tc>
          <w:tcPr>
            <w:tcW w:w="8972" w:type="dxa"/>
          </w:tcPr>
          <w:p w:rsidR="0081234D" w:rsidRDefault="00A35739">
            <w:pPr>
              <w:spacing w:line="260" w:lineRule="auto"/>
              <w:ind w:left="420" w:hangingChars="200" w:hanging="420"/>
              <w:rPr>
                <w:i/>
                <w:iCs/>
              </w:rPr>
            </w:pPr>
            <w:r>
              <w:rPr>
                <w:rFonts w:hint="eastAsia"/>
                <w:i/>
                <w:iCs/>
              </w:rPr>
              <w:t xml:space="preserve">Option 1: The UE shall not consider this cell and other cells on the same frequency, as candidates for re-selection for the CN type for a maximum of 300s. </w:t>
            </w:r>
          </w:p>
          <w:p w:rsidR="0081234D" w:rsidRDefault="00A35739">
            <w:pPr>
              <w:spacing w:line="260" w:lineRule="auto"/>
              <w:ind w:left="420" w:hangingChars="200" w:hanging="420"/>
              <w:rPr>
                <w:i/>
                <w:iCs/>
              </w:rPr>
            </w:pPr>
            <w:r>
              <w:rPr>
                <w:rFonts w:hint="eastAsia"/>
                <w:i/>
                <w:iCs/>
              </w:rPr>
              <w:t xml:space="preserve">Option 2: The UE shall check the IFRI bit to determine further action </w:t>
            </w:r>
          </w:p>
          <w:p w:rsidR="0081234D" w:rsidRDefault="00A35739">
            <w:pPr>
              <w:spacing w:line="260" w:lineRule="auto"/>
              <w:ind w:left="420" w:hangingChars="200" w:hanging="420"/>
              <w:rPr>
                <w:i/>
                <w:iCs/>
              </w:rPr>
            </w:pPr>
            <w:r>
              <w:rPr>
                <w:rFonts w:hint="eastAsia"/>
                <w:i/>
                <w:iCs/>
              </w:rPr>
              <w:t xml:space="preserve">Option 3: The UE shall ignore the IFRI bit and continue considering other cells on the same frequency for cell reselection. </w:t>
            </w:r>
          </w:p>
        </w:tc>
      </w:tr>
    </w:tbl>
    <w:p w:rsidR="0081234D" w:rsidRDefault="00A35739">
      <w:r>
        <w:rPr>
          <w:rFonts w:hint="eastAsia"/>
        </w:rPr>
        <w:t xml:space="preserve">For the option 2, considering that the IFRI bit in a non NPN member cell is incredible, we can exclude this option first. For the option 1and option 3, we think the same logic </w:t>
      </w:r>
      <w:r w:rsidR="008C4CEF">
        <w:t>as</w:t>
      </w:r>
      <w:r>
        <w:rPr>
          <w:rFonts w:hint="eastAsia"/>
        </w:rPr>
        <w:t xml:space="preserve"> CSG can be adopted. If the highest ranked cell or best cell is a public cell, there is a high probability that lots of similar public cells with higher rank are deployed on this frequency in the neighbor area, it</w:t>
      </w:r>
      <w:r>
        <w:t>’</w:t>
      </w:r>
      <w:r>
        <w:rPr>
          <w:rFonts w:hint="eastAsia"/>
        </w:rPr>
        <w:t>s better to change to another frequency as described in the Option 1 and this is also align with the current</w:t>
      </w:r>
      <w:r w:rsidR="008C4CEF">
        <w:rPr>
          <w:rFonts w:hint="eastAsia"/>
        </w:rPr>
        <w:t xml:space="preserve"> specification. H</w:t>
      </w:r>
      <w:r w:rsidR="008C4CEF">
        <w:t>owever,</w:t>
      </w:r>
      <w:r>
        <w:rPr>
          <w:rFonts w:hint="eastAsia"/>
        </w:rPr>
        <w:t xml:space="preserve"> if the highest ranked cell is a NPN-only cell but with unmatched NPN ID, the UE can continue </w:t>
      </w:r>
      <w:r>
        <w:t>considering other cells on the same frequency</w:t>
      </w:r>
      <w:r>
        <w:rPr>
          <w:rFonts w:hint="eastAsia"/>
        </w:rPr>
        <w:t xml:space="preserve"> as described in Option 3 especially for the scenario that there are only a few NPN cells</w:t>
      </w:r>
      <w:r w:rsidR="008C4CEF">
        <w:t xml:space="preserve"> with the same NPN-ID</w:t>
      </w:r>
      <w:r w:rsidR="008C4CEF">
        <w:rPr>
          <w:rFonts w:hint="eastAsia"/>
        </w:rPr>
        <w:t xml:space="preserve"> in the overlapped</w:t>
      </w:r>
      <w:r>
        <w:rPr>
          <w:rFonts w:hint="eastAsia"/>
        </w:rPr>
        <w:t xml:space="preserve"> area. For the option 3, companies may have some concern on the service quality for that there would be intra-frequency interference from the highest ranked cell, but the UE will only reselect to a cell once the S criterion is satisfied, thus the service quality can be guaranteed by the RSRP and RSRQ threshold configuration. Besides, as agreed in the NR-U discussion, the UE can also </w:t>
      </w:r>
      <w:r w:rsidR="008C4CEF" w:rsidRPr="008C4CEF">
        <w:rPr>
          <w:rFonts w:hint="eastAsia"/>
        </w:rPr>
        <w:t>consider the current frequency to be the lowest priority frequency</w:t>
      </w:r>
      <w:r>
        <w:rPr>
          <w:rFonts w:hint="eastAsia"/>
        </w:rPr>
        <w:t xml:space="preserve"> this frequency for 300 seconds after &lt; the N strongest cells &gt; were found not suitable due to NPN ID mismatch.</w:t>
      </w:r>
    </w:p>
    <w:tbl>
      <w:tblPr>
        <w:tblStyle w:val="TableGrid"/>
        <w:tblW w:w="8973" w:type="dxa"/>
        <w:tblInd w:w="492" w:type="dxa"/>
        <w:tblLayout w:type="fixed"/>
        <w:tblLook w:val="04A0" w:firstRow="1" w:lastRow="0" w:firstColumn="1" w:lastColumn="0" w:noHBand="0" w:noVBand="1"/>
      </w:tblPr>
      <w:tblGrid>
        <w:gridCol w:w="8973"/>
      </w:tblGrid>
      <w:tr w:rsidR="0081234D">
        <w:tc>
          <w:tcPr>
            <w:tcW w:w="8973" w:type="dxa"/>
          </w:tcPr>
          <w:p w:rsidR="0081234D" w:rsidRDefault="00A35739">
            <w:pPr>
              <w:spacing w:line="260" w:lineRule="auto"/>
              <w:ind w:left="420" w:hangingChars="200" w:hanging="420"/>
              <w:rPr>
                <w:i/>
                <w:iCs/>
              </w:rPr>
            </w:pPr>
            <w:r>
              <w:rPr>
                <w:rFonts w:hint="eastAsia"/>
                <w:i/>
                <w:iCs/>
              </w:rPr>
              <w:lastRenderedPageBreak/>
              <w:t>NR-U agreement:</w:t>
            </w:r>
          </w:p>
          <w:p w:rsidR="0081234D" w:rsidRDefault="00A35739">
            <w:pPr>
              <w:spacing w:line="260" w:lineRule="auto"/>
              <w:ind w:left="420" w:hangingChars="200" w:hanging="420"/>
            </w:pPr>
            <w:r>
              <w:rPr>
                <w:rFonts w:hint="eastAsia"/>
                <w:i/>
                <w:iCs/>
              </w:rPr>
              <w:t xml:space="preserve">The UE may consider the current NR-U frequency to be the lowest priority frequency for reselection for 300 seconds after at least &lt; the N strongest cells &gt; on that frequency were found not suitable due to belonging to a PLMN which is not indicated as being equivalent to the registered PLMN.  N is UE implementation and the UE should check at least 2 if there is more than one.     </w:t>
            </w:r>
          </w:p>
        </w:tc>
      </w:tr>
    </w:tbl>
    <w:p w:rsidR="0081234D" w:rsidRDefault="00A35739">
      <w:pPr>
        <w:rPr>
          <w:i/>
          <w:iCs/>
        </w:rPr>
      </w:pPr>
      <w:r>
        <w:rPr>
          <w:rFonts w:hint="eastAsia"/>
          <w:b/>
          <w:bCs/>
        </w:rPr>
        <w:t xml:space="preserve">Proposal 1: If the highest ranked cell or best cell according to absolute priority reselection rules is a NPN-only cell which is not suitable due to not being a NPN member cell, the UE shall ignore the IFRI bit and continue considering other cells on the same frequency for cell reselection. </w:t>
      </w:r>
      <w:r w:rsidR="008C4CEF">
        <w:rPr>
          <w:rFonts w:hint="eastAsia"/>
          <w:b/>
          <w:bCs/>
        </w:rPr>
        <w:t>The UE may consider the current</w:t>
      </w:r>
      <w:r>
        <w:rPr>
          <w:rFonts w:hint="eastAsia"/>
          <w:b/>
          <w:bCs/>
        </w:rPr>
        <w:t xml:space="preserve"> frequency to be the lowest priority frequency for reselection for 300 seconds after at least &lt; the N strongest cells &gt; on that frequency were found not suitable due to unmatched NPN-ID. N is UE implementation.    </w:t>
      </w:r>
      <w:r>
        <w:rPr>
          <w:rFonts w:hint="eastAsia"/>
          <w:i/>
          <w:iCs/>
        </w:rPr>
        <w:t xml:space="preserve"> </w:t>
      </w:r>
    </w:p>
    <w:p w:rsidR="0081234D" w:rsidRDefault="00A35739">
      <w:pPr>
        <w:pStyle w:val="Heading2"/>
        <w:keepNext w:val="0"/>
        <w:keepLines w:val="0"/>
        <w:ind w:left="0" w:firstLine="0"/>
        <w:rPr>
          <w:rFonts w:eastAsia="宋体"/>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2</w:t>
      </w:r>
      <w:r>
        <w:rPr>
          <w:rFonts w:hint="eastAsia"/>
          <w:b w:val="0"/>
          <w:bCs w:val="0"/>
          <w:sz w:val="28"/>
          <w:szCs w:val="28"/>
          <w:lang w:val="en-US"/>
        </w:rPr>
        <w:t xml:space="preserve"> </w:t>
      </w:r>
      <w:r>
        <w:rPr>
          <w:rFonts w:eastAsia="宋体" w:hint="eastAsia"/>
          <w:b w:val="0"/>
          <w:bCs w:val="0"/>
          <w:sz w:val="28"/>
          <w:szCs w:val="28"/>
          <w:lang w:val="en-US"/>
        </w:rPr>
        <w:t xml:space="preserve">PCI Range </w:t>
      </w:r>
    </w:p>
    <w:p w:rsidR="0081234D" w:rsidRDefault="00A35739">
      <w:r>
        <w:rPr>
          <w:rFonts w:hint="eastAsia"/>
        </w:rPr>
        <w:t xml:space="preserve">On the PCI range, there are two FFS issues, the first one is on the detail of the PCI range list for the CAG, and the second one is on </w:t>
      </w:r>
      <w:r>
        <w:rPr>
          <w:rFonts w:hint="eastAsia"/>
          <w:lang w:eastAsia="en-US"/>
        </w:rPr>
        <w:t>whether PCI range of SNPN cells can optionally be signaled to UE</w:t>
      </w:r>
      <w:r>
        <w:rPr>
          <w:rFonts w:hint="eastAsia"/>
        </w:rPr>
        <w:t>. We will discuss them one by one in this section.</w:t>
      </w:r>
    </w:p>
    <w:p w:rsidR="0081234D" w:rsidRDefault="00A35739">
      <w:pPr>
        <w:pStyle w:val="Heading3"/>
        <w:rPr>
          <w:lang w:val="en-US"/>
        </w:rPr>
      </w:pPr>
      <w:r>
        <w:rPr>
          <w:rFonts w:hint="eastAsia"/>
          <w:lang w:val="en-US"/>
        </w:rPr>
        <w:t>2.2.1 PCI range list for the CAG</w:t>
      </w:r>
    </w:p>
    <w:p w:rsidR="0081234D" w:rsidRDefault="00A35739">
      <w:pPr>
        <w:tabs>
          <w:tab w:val="left" w:pos="3990"/>
        </w:tabs>
      </w:pPr>
      <w:r>
        <w:rPr>
          <w:rFonts w:hint="eastAsia"/>
        </w:rPr>
        <w:t>For the PCI range list of the CAG, there would be 4 options:</w:t>
      </w:r>
    </w:p>
    <w:p w:rsidR="0081234D" w:rsidRDefault="00A35739">
      <w:pPr>
        <w:tabs>
          <w:tab w:val="left" w:pos="3990"/>
        </w:tabs>
        <w:ind w:firstLineChars="100" w:firstLine="210"/>
        <w:rPr>
          <w:i/>
          <w:iCs/>
        </w:rPr>
      </w:pPr>
      <w:r>
        <w:rPr>
          <w:rFonts w:hint="eastAsia"/>
          <w:i/>
          <w:iCs/>
        </w:rPr>
        <w:t>Option a: Reserve a list of PCI range per PLMN per frequency;</w:t>
      </w:r>
    </w:p>
    <w:p w:rsidR="0081234D" w:rsidRDefault="00A35739">
      <w:pPr>
        <w:tabs>
          <w:tab w:val="left" w:pos="3990"/>
        </w:tabs>
        <w:ind w:firstLineChars="100" w:firstLine="210"/>
        <w:rPr>
          <w:i/>
          <w:iCs/>
        </w:rPr>
      </w:pPr>
      <w:r>
        <w:rPr>
          <w:rFonts w:hint="eastAsia"/>
          <w:i/>
          <w:iCs/>
        </w:rPr>
        <w:t>Option b: Reserve only one PCI range per PLMN per frequency;</w:t>
      </w:r>
    </w:p>
    <w:p w:rsidR="0081234D" w:rsidRDefault="00A35739">
      <w:pPr>
        <w:tabs>
          <w:tab w:val="left" w:pos="3990"/>
        </w:tabs>
        <w:ind w:leftChars="100" w:left="1260" w:hangingChars="500" w:hanging="1050"/>
        <w:rPr>
          <w:i/>
          <w:iCs/>
        </w:rPr>
      </w:pPr>
      <w:r>
        <w:rPr>
          <w:rFonts w:hint="eastAsia"/>
          <w:i/>
          <w:iCs/>
        </w:rPr>
        <w:t>Option c: Reserve only one PCI range per CAG ID per frequency;</w:t>
      </w:r>
    </w:p>
    <w:p w:rsidR="0081234D" w:rsidRDefault="00A35739">
      <w:pPr>
        <w:tabs>
          <w:tab w:val="left" w:pos="3990"/>
        </w:tabs>
        <w:ind w:leftChars="100" w:left="1260" w:hangingChars="500" w:hanging="1050"/>
        <w:rPr>
          <w:i/>
          <w:iCs/>
        </w:rPr>
      </w:pPr>
      <w:r>
        <w:rPr>
          <w:rFonts w:hint="eastAsia"/>
          <w:i/>
          <w:iCs/>
        </w:rPr>
        <w:t>Option d: Reserve a list of PCI range per CAG ID per frequency.</w:t>
      </w:r>
    </w:p>
    <w:p w:rsidR="0081234D" w:rsidRDefault="00A35739">
      <w:pPr>
        <w:tabs>
          <w:tab w:val="left" w:pos="3990"/>
        </w:tabs>
      </w:pPr>
      <w:r>
        <w:rPr>
          <w:rFonts w:hint="eastAsia"/>
        </w:rPr>
        <w:t xml:space="preserve">Obviously, compared with the </w:t>
      </w:r>
      <w:r>
        <w:t>“</w:t>
      </w:r>
      <w:r>
        <w:rPr>
          <w:rFonts w:hint="eastAsia"/>
        </w:rPr>
        <w:t>only one PCI range</w:t>
      </w:r>
      <w:r>
        <w:t>”</w:t>
      </w:r>
      <w:r>
        <w:rPr>
          <w:rFonts w:hint="eastAsia"/>
        </w:rPr>
        <w:t>, reserving a list o</w:t>
      </w:r>
      <w:r w:rsidR="004C69B2">
        <w:rPr>
          <w:rFonts w:hint="eastAsia"/>
        </w:rPr>
        <w:t>f PCI range is more flexible fro</w:t>
      </w:r>
      <w:r>
        <w:rPr>
          <w:rFonts w:hint="eastAsia"/>
        </w:rPr>
        <w:t xml:space="preserve">m the network deployment aspect for that </w:t>
      </w:r>
      <w:r>
        <w:rPr>
          <w:rFonts w:eastAsia="宋体"/>
        </w:rPr>
        <w:t>PCIs reserved for CAG may not be contiguous</w:t>
      </w:r>
      <w:r>
        <w:rPr>
          <w:rFonts w:hint="eastAsia"/>
        </w:rPr>
        <w:t xml:space="preserve">. From UE aspect, compared with </w:t>
      </w:r>
      <w:r>
        <w:t>“</w:t>
      </w:r>
      <w:r>
        <w:rPr>
          <w:rFonts w:hint="eastAsia"/>
        </w:rPr>
        <w:t>per PLMN</w:t>
      </w:r>
      <w:r>
        <w:t>”</w:t>
      </w:r>
      <w:r>
        <w:rPr>
          <w:rFonts w:hint="eastAsia"/>
        </w:rPr>
        <w:t>, reserving PCI range per CAG ID would provide more reselection assistance information, which is beneficial for UE</w:t>
      </w:r>
      <w:r>
        <w:t>’</w:t>
      </w:r>
      <w:r>
        <w:rPr>
          <w:rFonts w:hint="eastAsia"/>
        </w:rPr>
        <w:t>s power saving. However, all of these benefits are at the cost of the signaling bits. It can be left to the operators to determine which option are preferred</w:t>
      </w:r>
    </w:p>
    <w:p w:rsidR="0081234D" w:rsidRDefault="00A35739">
      <w:pPr>
        <w:tabs>
          <w:tab w:val="left" w:pos="3990"/>
        </w:tabs>
        <w:rPr>
          <w:b/>
          <w:bCs/>
        </w:rPr>
      </w:pPr>
      <w:r>
        <w:rPr>
          <w:rFonts w:hint="eastAsia"/>
          <w:b/>
          <w:bCs/>
        </w:rPr>
        <w:t xml:space="preserve">Proposal 2: For the PCI range list of the CAG, there would be 4 options as follow, it can be left to the operators to determine which option are preferred. </w:t>
      </w:r>
    </w:p>
    <w:p w:rsidR="0081234D" w:rsidRDefault="00A35739">
      <w:pPr>
        <w:tabs>
          <w:tab w:val="left" w:pos="3990"/>
        </w:tabs>
        <w:ind w:firstLineChars="100" w:firstLine="211"/>
        <w:rPr>
          <w:b/>
          <w:bCs/>
          <w:i/>
          <w:iCs/>
        </w:rPr>
      </w:pPr>
      <w:r>
        <w:rPr>
          <w:rFonts w:hint="eastAsia"/>
          <w:b/>
          <w:bCs/>
          <w:i/>
          <w:iCs/>
        </w:rPr>
        <w:t>Option a: Reserve a list of PCI range per PLMN per frequency;</w:t>
      </w:r>
    </w:p>
    <w:p w:rsidR="0081234D" w:rsidRDefault="00A35739">
      <w:pPr>
        <w:tabs>
          <w:tab w:val="left" w:pos="3990"/>
        </w:tabs>
        <w:ind w:firstLineChars="100" w:firstLine="211"/>
        <w:rPr>
          <w:b/>
          <w:bCs/>
          <w:i/>
          <w:iCs/>
        </w:rPr>
      </w:pPr>
      <w:r>
        <w:rPr>
          <w:rFonts w:hint="eastAsia"/>
          <w:b/>
          <w:bCs/>
          <w:i/>
          <w:iCs/>
        </w:rPr>
        <w:t>Option b: Reserve only one PCI range per PLMN per frequency;</w:t>
      </w:r>
    </w:p>
    <w:p w:rsidR="0081234D" w:rsidRDefault="00A35739">
      <w:pPr>
        <w:tabs>
          <w:tab w:val="left" w:pos="3990"/>
        </w:tabs>
        <w:ind w:leftChars="100" w:left="1264" w:hangingChars="500" w:hanging="1054"/>
        <w:rPr>
          <w:b/>
          <w:bCs/>
          <w:i/>
          <w:iCs/>
        </w:rPr>
      </w:pPr>
      <w:r>
        <w:rPr>
          <w:rFonts w:hint="eastAsia"/>
          <w:b/>
          <w:bCs/>
          <w:i/>
          <w:iCs/>
        </w:rPr>
        <w:t>Option c: Reserve only one PCI range per CAG ID per frequency;</w:t>
      </w:r>
    </w:p>
    <w:p w:rsidR="0081234D" w:rsidRDefault="00A35739">
      <w:pPr>
        <w:tabs>
          <w:tab w:val="left" w:pos="3990"/>
        </w:tabs>
        <w:ind w:leftChars="100" w:left="1264" w:hangingChars="500" w:hanging="1054"/>
        <w:rPr>
          <w:b/>
          <w:bCs/>
          <w:i/>
          <w:iCs/>
        </w:rPr>
      </w:pPr>
      <w:r>
        <w:rPr>
          <w:rFonts w:hint="eastAsia"/>
          <w:b/>
          <w:bCs/>
          <w:i/>
          <w:iCs/>
        </w:rPr>
        <w:t xml:space="preserve">Option d: Reserve a list of PCI range per CAG ID per frequency. </w:t>
      </w:r>
    </w:p>
    <w:p w:rsidR="0081234D" w:rsidRDefault="00A35739">
      <w:pPr>
        <w:tabs>
          <w:tab w:val="left" w:pos="3990"/>
        </w:tabs>
      </w:pPr>
      <w:r>
        <w:rPr>
          <w:rFonts w:hint="eastAsia"/>
        </w:rPr>
        <w:lastRenderedPageBreak/>
        <w:t xml:space="preserve">In LTE, the UE considers the last received PCI ranges for CSG cells to be valid for a maximum of 24 hours within the entire PLMN. </w:t>
      </w:r>
    </w:p>
    <w:tbl>
      <w:tblPr>
        <w:tblStyle w:val="TableGrid"/>
        <w:tblW w:w="8380" w:type="dxa"/>
        <w:jc w:val="center"/>
        <w:tblLayout w:type="fixed"/>
        <w:tblLook w:val="04A0" w:firstRow="1" w:lastRow="0" w:firstColumn="1" w:lastColumn="0" w:noHBand="0" w:noVBand="1"/>
      </w:tblPr>
      <w:tblGrid>
        <w:gridCol w:w="8380"/>
      </w:tblGrid>
      <w:tr w:rsidR="0081234D">
        <w:trPr>
          <w:jc w:val="center"/>
        </w:trPr>
        <w:tc>
          <w:tcPr>
            <w:tcW w:w="8380" w:type="dxa"/>
          </w:tcPr>
          <w:p w:rsidR="0081234D" w:rsidRDefault="00A35739">
            <w:pPr>
              <w:spacing w:line="260" w:lineRule="auto"/>
            </w:pPr>
            <w:r>
              <w:rPr>
                <w:i/>
                <w:iCs/>
                <w:color w:val="FF0000"/>
              </w:rPr>
              <w:t xml:space="preserve"> </w:t>
            </w:r>
            <w:r>
              <w:rPr>
                <w:i/>
                <w:iCs/>
              </w:rPr>
              <w:t>The reserved PCI range is only applicable to the frequency of the PLMN where the UE received this information. The UE considers the last received reserved range of PCI values for CSG cells to be valid for a maximum of 24 hours within the entire PLMN.</w:t>
            </w:r>
          </w:p>
        </w:tc>
      </w:tr>
    </w:tbl>
    <w:p w:rsidR="0081234D" w:rsidRDefault="00A35739">
      <w:pPr>
        <w:tabs>
          <w:tab w:val="left" w:pos="3990"/>
        </w:tabs>
      </w:pPr>
      <w:r>
        <w:rPr>
          <w:rFonts w:hint="eastAsia"/>
        </w:rPr>
        <w:t>For the CAG, a CAG is identified by a CAG Identifier which is unique within the scope of a PLMN ID and the PCI range</w:t>
      </w:r>
      <w:r w:rsidR="004C69B2">
        <w:t>s</w:t>
      </w:r>
      <w:r>
        <w:rPr>
          <w:rFonts w:hint="eastAsia"/>
        </w:rPr>
        <w:t xml:space="preserve"> reserved for a CAG will not change frequently. Thus the similar limitation can be adopted.</w:t>
      </w:r>
    </w:p>
    <w:p w:rsidR="0081234D" w:rsidRDefault="00A35739">
      <w:pPr>
        <w:tabs>
          <w:tab w:val="left" w:pos="3990"/>
        </w:tabs>
        <w:rPr>
          <w:b/>
          <w:bCs/>
          <w:i/>
          <w:iCs/>
        </w:rPr>
      </w:pPr>
      <w:r>
        <w:rPr>
          <w:rFonts w:hint="eastAsia"/>
          <w:b/>
          <w:bCs/>
        </w:rPr>
        <w:t>Proposal 3: The UE considers the last received reserved range of PCI values for CAG cells to be valid for a maximum of 24 hours within the related network ID.</w:t>
      </w:r>
    </w:p>
    <w:p w:rsidR="0081234D" w:rsidRDefault="00A35739">
      <w:pPr>
        <w:pStyle w:val="Heading3"/>
        <w:rPr>
          <w:lang w:val="en-US"/>
        </w:rPr>
      </w:pPr>
      <w:r>
        <w:rPr>
          <w:rFonts w:hint="eastAsia"/>
          <w:lang w:val="en-US"/>
        </w:rPr>
        <w:t>2.2.2 PCI range list for the SNPN</w:t>
      </w:r>
    </w:p>
    <w:p w:rsidR="0081234D" w:rsidRDefault="00A35739">
      <w:pPr>
        <w:rPr>
          <w:rFonts w:eastAsia="宋体"/>
        </w:rPr>
      </w:pPr>
      <w:r>
        <w:rPr>
          <w:rFonts w:hint="eastAsia"/>
        </w:rPr>
        <w:t>For the SNPN, d</w:t>
      </w:r>
      <w:r>
        <w:rPr>
          <w:rFonts w:eastAsia="宋体" w:hint="eastAsia"/>
        </w:rPr>
        <w:t>ifferent from the CAG, it</w:t>
      </w:r>
      <w:r>
        <w:rPr>
          <w:rFonts w:eastAsia="宋体"/>
        </w:rPr>
        <w:t>’</w:t>
      </w:r>
      <w:r>
        <w:rPr>
          <w:rFonts w:eastAsia="宋体" w:hint="eastAsia"/>
        </w:rPr>
        <w:t xml:space="preserve">s still FFS on </w:t>
      </w:r>
      <w:r>
        <w:rPr>
          <w:rFonts w:hint="eastAsia"/>
          <w:lang w:eastAsia="en-US"/>
        </w:rPr>
        <w:t>whether PCI range of SNPN cells can optionally be signaled to UE</w:t>
      </w:r>
      <w:r>
        <w:rPr>
          <w:rFonts w:eastAsia="宋体" w:hint="eastAsia"/>
        </w:rPr>
        <w:t>. According to the submitted papers in the previous meeting, there are 2 options:</w:t>
      </w:r>
    </w:p>
    <w:p w:rsidR="0081234D" w:rsidRDefault="00A35739">
      <w:pPr>
        <w:tabs>
          <w:tab w:val="center" w:pos="4677"/>
        </w:tabs>
        <w:ind w:firstLineChars="100" w:firstLine="210"/>
        <w:rPr>
          <w:rFonts w:eastAsia="宋体"/>
          <w:i/>
          <w:iCs/>
        </w:rPr>
      </w:pPr>
      <w:r>
        <w:rPr>
          <w:rFonts w:eastAsia="宋体" w:hint="eastAsia"/>
          <w:i/>
          <w:iCs/>
        </w:rPr>
        <w:t>Option 1: No PCI range for the SNPN</w:t>
      </w:r>
      <w:r w:rsidR="004C69B2">
        <w:rPr>
          <w:rFonts w:eastAsia="宋体"/>
          <w:i/>
          <w:iCs/>
        </w:rPr>
        <w:t xml:space="preserve"> </w:t>
      </w:r>
      <w:r>
        <w:rPr>
          <w:rFonts w:eastAsia="宋体" w:hint="eastAsia"/>
          <w:i/>
          <w:iCs/>
        </w:rPr>
        <w:t>[3]</w:t>
      </w:r>
      <w:r w:rsidR="00332C22">
        <w:rPr>
          <w:rFonts w:eastAsia="宋体"/>
          <w:i/>
          <w:iCs/>
        </w:rPr>
        <w:t>.</w:t>
      </w:r>
    </w:p>
    <w:p w:rsidR="0081234D" w:rsidRDefault="00A35739">
      <w:pPr>
        <w:tabs>
          <w:tab w:val="center" w:pos="4677"/>
        </w:tabs>
        <w:ind w:firstLineChars="100" w:firstLine="210"/>
        <w:rPr>
          <w:rFonts w:eastAsia="宋体"/>
          <w:i/>
          <w:iCs/>
        </w:rPr>
      </w:pPr>
      <w:r>
        <w:rPr>
          <w:rFonts w:eastAsia="宋体" w:hint="eastAsia"/>
          <w:i/>
          <w:iCs/>
        </w:rPr>
        <w:t>Option 2: Send PCI range related info for the SNPN</w:t>
      </w:r>
      <w:r w:rsidR="00332C22">
        <w:rPr>
          <w:rFonts w:eastAsia="宋体"/>
          <w:i/>
          <w:iCs/>
        </w:rPr>
        <w:t>.</w:t>
      </w:r>
    </w:p>
    <w:p w:rsidR="0081234D" w:rsidRDefault="00A35739">
      <w:pPr>
        <w:rPr>
          <w:rFonts w:eastAsia="宋体"/>
        </w:rPr>
      </w:pPr>
      <w:r>
        <w:rPr>
          <w:rFonts w:eastAsia="宋体" w:hint="eastAsia"/>
        </w:rPr>
        <w:t xml:space="preserve">For the option 1, as described in [3], the autonomous search is not supported for SNPN access mode, thus the signaling of PCI range for SNPN is not necessary. However, even without autonomous search, the PCI range can make the SNPN cell reselection more efficient. </w:t>
      </w:r>
      <w:r w:rsidR="004C69B2">
        <w:rPr>
          <w:rFonts w:eastAsia="宋体"/>
        </w:rPr>
        <w:t>E.g.</w:t>
      </w:r>
      <w:r>
        <w:rPr>
          <w:rFonts w:eastAsia="宋体" w:hint="eastAsia"/>
        </w:rPr>
        <w:t xml:space="preserve"> if the PCIs of &lt; the N strongest cells &gt; in the proposal 1 are all outside of the reserved PCI range, the UE can change to another frequency directly. Besides, it can also be used by the normal UE to exclude the SNPN cell directly. </w:t>
      </w:r>
    </w:p>
    <w:p w:rsidR="0081234D" w:rsidRDefault="00A35739">
      <w:pPr>
        <w:rPr>
          <w:rFonts w:eastAsia="宋体"/>
        </w:rPr>
      </w:pPr>
      <w:r>
        <w:rPr>
          <w:rFonts w:eastAsia="宋体" w:hint="eastAsia"/>
        </w:rPr>
        <w:t>Therefore, it</w:t>
      </w:r>
      <w:r>
        <w:rPr>
          <w:rFonts w:eastAsia="宋体"/>
        </w:rPr>
        <w:t>’</w:t>
      </w:r>
      <w:r>
        <w:rPr>
          <w:rFonts w:eastAsia="宋体" w:hint="eastAsia"/>
        </w:rPr>
        <w:t>s preferred to send the PCI range related info for the SNPN. About the PCI range info, there are 2 options as follow:</w:t>
      </w:r>
    </w:p>
    <w:p w:rsidR="0081234D" w:rsidRDefault="00A35739">
      <w:pPr>
        <w:tabs>
          <w:tab w:val="center" w:pos="4677"/>
        </w:tabs>
        <w:ind w:firstLineChars="100" w:firstLine="210"/>
        <w:rPr>
          <w:rFonts w:eastAsia="宋体"/>
          <w:i/>
          <w:iCs/>
        </w:rPr>
      </w:pPr>
      <w:r>
        <w:rPr>
          <w:rFonts w:eastAsia="宋体" w:hint="eastAsia"/>
          <w:i/>
          <w:iCs/>
        </w:rPr>
        <w:t>Option a:  The White list introduced in the NR-U and the Legacy black list can be used for the SNPN</w:t>
      </w:r>
    </w:p>
    <w:p w:rsidR="0081234D" w:rsidRDefault="00A35739">
      <w:pPr>
        <w:tabs>
          <w:tab w:val="center" w:pos="4677"/>
        </w:tabs>
        <w:ind w:firstLineChars="100" w:firstLine="210"/>
        <w:rPr>
          <w:rFonts w:eastAsia="宋体"/>
          <w:i/>
          <w:iCs/>
        </w:rPr>
      </w:pPr>
      <w:r>
        <w:rPr>
          <w:rFonts w:eastAsia="宋体" w:hint="eastAsia"/>
          <w:i/>
          <w:iCs/>
        </w:rPr>
        <w:t xml:space="preserve">Option b:  Adopt legacy PCI range </w:t>
      </w:r>
      <w:r w:rsidR="00DD751C">
        <w:rPr>
          <w:rFonts w:eastAsia="宋体"/>
          <w:i/>
          <w:iCs/>
        </w:rPr>
        <w:t xml:space="preserve">scheme </w:t>
      </w:r>
      <w:r>
        <w:rPr>
          <w:rFonts w:eastAsia="宋体" w:hint="eastAsia"/>
          <w:i/>
          <w:iCs/>
        </w:rPr>
        <w:t>as in CSG.</w:t>
      </w:r>
    </w:p>
    <w:p w:rsidR="00DD751C" w:rsidRDefault="00A35739">
      <w:r>
        <w:rPr>
          <w:rFonts w:eastAsia="宋体" w:hint="eastAsia"/>
        </w:rPr>
        <w:t xml:space="preserve">In the option </w:t>
      </w:r>
      <w:r w:rsidR="00CD6476">
        <w:rPr>
          <w:rFonts w:eastAsia="宋体"/>
        </w:rPr>
        <w:t>(</w:t>
      </w:r>
      <w:r>
        <w:rPr>
          <w:rFonts w:eastAsia="宋体" w:hint="eastAsia"/>
        </w:rPr>
        <w:t>a</w:t>
      </w:r>
      <w:r w:rsidR="00CD6476">
        <w:rPr>
          <w:rFonts w:eastAsia="宋体"/>
        </w:rPr>
        <w:t>)</w:t>
      </w:r>
      <w:r>
        <w:rPr>
          <w:rFonts w:eastAsia="宋体" w:hint="eastAsia"/>
        </w:rPr>
        <w:t>, the normal cell can put the PCI range of the neighbor SNPN cell</w:t>
      </w:r>
      <w:r w:rsidR="00DD751C">
        <w:rPr>
          <w:rFonts w:eastAsia="宋体"/>
        </w:rPr>
        <w:t>s</w:t>
      </w:r>
      <w:r>
        <w:rPr>
          <w:rFonts w:eastAsia="宋体" w:hint="eastAsia"/>
        </w:rPr>
        <w:t xml:space="preserve"> into the black cell list to prevent the normal UE from taking the SNPN cell as reselection candidates, while the SNPN cell can put its PCI range into the white list as cell reselection assistance information. Similar to the other system Information, </w:t>
      </w:r>
      <w:r>
        <w:rPr>
          <w:rFonts w:hint="eastAsia"/>
        </w:rPr>
        <w:t xml:space="preserve">the black/white list can be used under the current cell for about 3 hours. In the option </w:t>
      </w:r>
      <w:r w:rsidR="00CD6476">
        <w:t>(</w:t>
      </w:r>
      <w:r>
        <w:rPr>
          <w:rFonts w:hint="eastAsia"/>
        </w:rPr>
        <w:t>b</w:t>
      </w:r>
      <w:r w:rsidR="00CD6476">
        <w:t>)</w:t>
      </w:r>
      <w:r>
        <w:rPr>
          <w:rFonts w:hint="eastAsia"/>
        </w:rPr>
        <w:t xml:space="preserve">, the legacy PCI range </w:t>
      </w:r>
      <w:r w:rsidR="00DD751C">
        <w:t>scheme in the CSG is that reserve PCI ranges</w:t>
      </w:r>
      <w:r>
        <w:rPr>
          <w:rFonts w:hint="eastAsia"/>
        </w:rPr>
        <w:t xml:space="preserve"> for all of the CSG cells with the same PLMN even these cells are belongs to the different CSG IDs, thus in the CSG the PCI range can be used among the whole frequency within the same PLMN for 24 hours. Generally, there are two main difference</w:t>
      </w:r>
      <w:r w:rsidR="00CD6476">
        <w:rPr>
          <w:rFonts w:hint="eastAsia"/>
        </w:rPr>
        <w:t xml:space="preserve">s between option </w:t>
      </w:r>
      <w:r w:rsidR="00CD6476">
        <w:t>(</w:t>
      </w:r>
      <w:r w:rsidR="00CD6476">
        <w:rPr>
          <w:rFonts w:hint="eastAsia"/>
        </w:rPr>
        <w:t>a</w:t>
      </w:r>
      <w:r w:rsidR="00CD6476">
        <w:t>)</w:t>
      </w:r>
      <w:r w:rsidR="00CD6476">
        <w:rPr>
          <w:rFonts w:hint="eastAsia"/>
        </w:rPr>
        <w:t xml:space="preserve"> </w:t>
      </w:r>
      <w:r w:rsidR="00DD751C">
        <w:rPr>
          <w:rFonts w:hint="eastAsia"/>
        </w:rPr>
        <w:t xml:space="preserve">and option </w:t>
      </w:r>
      <w:r w:rsidR="00CD6476">
        <w:t>(</w:t>
      </w:r>
      <w:r w:rsidR="00DD751C">
        <w:rPr>
          <w:rFonts w:hint="eastAsia"/>
        </w:rPr>
        <w:t>b</w:t>
      </w:r>
      <w:r w:rsidR="00CD6476">
        <w:t>)</w:t>
      </w:r>
      <w:r>
        <w:rPr>
          <w:rFonts w:hint="eastAsia"/>
        </w:rPr>
        <w:t>, one is the effective area and the other one is</w:t>
      </w:r>
      <w:r w:rsidR="00DD751C">
        <w:rPr>
          <w:rFonts w:hint="eastAsia"/>
        </w:rPr>
        <w:t xml:space="preserve"> the valid time. </w:t>
      </w:r>
    </w:p>
    <w:p w:rsidR="0081234D" w:rsidRDefault="00A35739">
      <w:r>
        <w:rPr>
          <w:rFonts w:hint="eastAsia"/>
        </w:rPr>
        <w:t>Different from the CSG, the SNPN cells are deployed by the SNPN vendors independently. It</w:t>
      </w:r>
      <w:r>
        <w:t>’</w:t>
      </w:r>
      <w:r>
        <w:rPr>
          <w:rFonts w:hint="eastAsia"/>
        </w:rPr>
        <w:t xml:space="preserve">s hard to require all of the SNPN vendors to adopt the same PCI range on the same frequency, in most cases the different SNPN vendors </w:t>
      </w:r>
      <w:r>
        <w:rPr>
          <w:rFonts w:hint="eastAsia"/>
        </w:rPr>
        <w:lastRenderedPageBreak/>
        <w:t xml:space="preserve">may adopt different PCI ranges even on the same frequency. Obviously, compared with the CSG, the PCI range for each SNPN has much smaller effective area and thus there is no need to keep the PCI range for 24 hours. According to above analysis, the option </w:t>
      </w:r>
      <w:r w:rsidR="00CD6476">
        <w:t>(</w:t>
      </w:r>
      <w:r>
        <w:rPr>
          <w:rFonts w:hint="eastAsia"/>
        </w:rPr>
        <w:t>a</w:t>
      </w:r>
      <w:r w:rsidR="00CD6476">
        <w:t>)</w:t>
      </w:r>
      <w:r>
        <w:rPr>
          <w:rFonts w:hint="eastAsia"/>
        </w:rPr>
        <w:t xml:space="preserve"> seems </w:t>
      </w:r>
      <w:r w:rsidR="00CD6476">
        <w:t xml:space="preserve">to be </w:t>
      </w:r>
      <w:r>
        <w:rPr>
          <w:rFonts w:hint="eastAsia"/>
        </w:rPr>
        <w:t xml:space="preserve">a little </w:t>
      </w:r>
      <w:r w:rsidR="00CD6476">
        <w:t xml:space="preserve">bit </w:t>
      </w:r>
      <w:r>
        <w:rPr>
          <w:rFonts w:hint="eastAsia"/>
        </w:rPr>
        <w:t>more suitable for the SNPN.</w:t>
      </w:r>
    </w:p>
    <w:p w:rsidR="0081234D" w:rsidRDefault="00A35739">
      <w:pPr>
        <w:tabs>
          <w:tab w:val="left" w:pos="3990"/>
        </w:tabs>
        <w:rPr>
          <w:b/>
          <w:bCs/>
        </w:rPr>
      </w:pPr>
      <w:r>
        <w:rPr>
          <w:rFonts w:hint="eastAsia"/>
          <w:b/>
          <w:bCs/>
        </w:rPr>
        <w:t>Proposal 4: The White list introduced in the NR-U and the Legacy black list can be used to indicate PCI range info for the SNPN.</w:t>
      </w:r>
    </w:p>
    <w:p w:rsidR="0081234D" w:rsidRDefault="00A35739">
      <w:r>
        <w:rPr>
          <w:rFonts w:hint="eastAsia"/>
        </w:rPr>
        <w:t xml:space="preserve">Furthermore, the SNPN ID can be locally managed and </w:t>
      </w:r>
      <w:r>
        <w:t>may therefore not be unique</w:t>
      </w:r>
      <w:r>
        <w:rPr>
          <w:rFonts w:hint="eastAsia"/>
        </w:rPr>
        <w:t>, which means that the different SNPN networks may have the same SNPN ID but broadcast different PCI range info. Therefore, the UE may reselect to and camp on the wrong SNPN network and then the UE may execute reselection based on the wrong PCI range info, the worst case is that the UE can</w:t>
      </w:r>
      <w:r>
        <w:t>’</w:t>
      </w:r>
      <w:r>
        <w:rPr>
          <w:rFonts w:hint="eastAsia"/>
        </w:rPr>
        <w:t xml:space="preserve">t reselect back to the right SNPN network. </w:t>
      </w:r>
    </w:p>
    <w:p w:rsidR="0081234D" w:rsidRDefault="00A35739">
      <w:r>
        <w:rPr>
          <w:rFonts w:hint="eastAsia"/>
        </w:rPr>
        <w:t xml:space="preserve">To reduce the chance of the UE reselecting to the wrong SNPN network, the network can further indicate the dedicated PCI range info to the UE in the RRC release </w:t>
      </w:r>
      <w:proofErr w:type="spellStart"/>
      <w:r>
        <w:rPr>
          <w:rFonts w:hint="eastAsia"/>
        </w:rPr>
        <w:t>Msg</w:t>
      </w:r>
      <w:proofErr w:type="spellEnd"/>
      <w:r>
        <w:rPr>
          <w:rFonts w:hint="eastAsia"/>
        </w:rPr>
        <w:t>, then similar to the dedicated frequency priority, the UE will give these dedicated PCI ranges info with higher priority than that in the system information.</w:t>
      </w:r>
    </w:p>
    <w:p w:rsidR="0081234D" w:rsidRDefault="00A35739">
      <w:pPr>
        <w:rPr>
          <w:rFonts w:eastAsia="Malgun Gothic" w:cstheme="minorHAnsi"/>
          <w:b/>
          <w:bCs/>
        </w:rPr>
      </w:pPr>
      <w:r>
        <w:rPr>
          <w:rFonts w:hint="eastAsia"/>
          <w:b/>
          <w:bCs/>
        </w:rPr>
        <w:t xml:space="preserve">Proposal 5: The network may indicate the dedicated PCI range info in the </w:t>
      </w:r>
      <w:proofErr w:type="spellStart"/>
      <w:r w:rsidRPr="00FA3463">
        <w:rPr>
          <w:rFonts w:hint="eastAsia"/>
          <w:b/>
          <w:bCs/>
          <w:i/>
        </w:rPr>
        <w:t>RRCRelease</w:t>
      </w:r>
      <w:proofErr w:type="spellEnd"/>
      <w:r>
        <w:rPr>
          <w:rFonts w:hint="eastAsia"/>
          <w:b/>
          <w:bCs/>
        </w:rPr>
        <w:t xml:space="preserve"> Msg.</w:t>
      </w:r>
    </w:p>
    <w:p w:rsidR="0081234D" w:rsidRDefault="00A35739">
      <w:pPr>
        <w:pStyle w:val="Heading2"/>
        <w:keepNext w:val="0"/>
        <w:keepLines w:val="0"/>
        <w:ind w:left="0" w:firstLine="0"/>
        <w:rPr>
          <w:b w:val="0"/>
          <w:bCs w:val="0"/>
          <w:sz w:val="28"/>
          <w:szCs w:val="28"/>
          <w:lang w:val="en-US"/>
        </w:rPr>
      </w:pPr>
      <w:r>
        <w:rPr>
          <w:rFonts w:hint="eastAsia"/>
          <w:b w:val="0"/>
          <w:bCs w:val="0"/>
          <w:sz w:val="28"/>
          <w:szCs w:val="28"/>
          <w:lang w:val="en-US"/>
        </w:rPr>
        <w:t>2.3 Neighbor cell list and Black cell list for the network sharing</w:t>
      </w:r>
    </w:p>
    <w:p w:rsidR="0081234D" w:rsidRDefault="00A35739">
      <w:r>
        <w:rPr>
          <w:rFonts w:hint="eastAsia"/>
        </w:rPr>
        <w:t>In this section, we want to give some analysis on the Neighbor cell list and Black cell list for the network sharing scenario.</w:t>
      </w:r>
    </w:p>
    <w:p w:rsidR="0081234D" w:rsidRDefault="00A35739">
      <w:pPr>
        <w:pStyle w:val="Heading3"/>
        <w:rPr>
          <w:lang w:val="en-US"/>
        </w:rPr>
      </w:pPr>
      <w:r>
        <w:rPr>
          <w:rFonts w:hint="eastAsia"/>
          <w:lang w:val="en-US"/>
        </w:rPr>
        <w:t>2.3.1 Neighbor cell list</w:t>
      </w:r>
    </w:p>
    <w:p w:rsidR="0081234D" w:rsidRDefault="00A35739">
      <w:pPr>
        <w:rPr>
          <w:rFonts w:eastAsia="宋体"/>
          <w:i/>
          <w:iCs/>
        </w:rPr>
      </w:pPr>
      <w:r>
        <w:rPr>
          <w:rFonts w:hint="eastAsia"/>
        </w:rPr>
        <w:t xml:space="preserve">For the neighbor cell list, the Cell specific </w:t>
      </w:r>
      <w:proofErr w:type="spellStart"/>
      <w:r>
        <w:rPr>
          <w:rFonts w:hint="eastAsia"/>
        </w:rPr>
        <w:t>Qoffset</w:t>
      </w:r>
      <w:proofErr w:type="spellEnd"/>
      <w:r>
        <w:rPr>
          <w:rFonts w:hint="eastAsia"/>
        </w:rPr>
        <w:t xml:space="preserve"> is provided. As described in [5], one usage of the cell specific </w:t>
      </w:r>
      <w:proofErr w:type="spellStart"/>
      <w:r>
        <w:rPr>
          <w:rFonts w:hint="eastAsia"/>
        </w:rPr>
        <w:t>Qoffset</w:t>
      </w:r>
      <w:proofErr w:type="spellEnd"/>
      <w:r>
        <w:rPr>
          <w:rFonts w:hint="eastAsia"/>
        </w:rPr>
        <w:t xml:space="preserve"> in LTE is to prioritize some cells, such as CSG cells. Similarly, we can also prioritize some NPN cells by </w:t>
      </w:r>
      <w:proofErr w:type="spellStart"/>
      <w:r>
        <w:rPr>
          <w:rFonts w:hint="eastAsia"/>
        </w:rPr>
        <w:t>Qoffset</w:t>
      </w:r>
      <w:proofErr w:type="spellEnd"/>
      <w:r>
        <w:rPr>
          <w:rFonts w:hint="eastAsia"/>
        </w:rPr>
        <w:t>. Then the problem is for the cell is shared by both the public network and the non-</w:t>
      </w:r>
      <w:proofErr w:type="spellStart"/>
      <w:r>
        <w:rPr>
          <w:rFonts w:hint="eastAsia"/>
        </w:rPr>
        <w:t>publich</w:t>
      </w:r>
      <w:proofErr w:type="spellEnd"/>
      <w:r>
        <w:rPr>
          <w:rFonts w:hint="eastAsia"/>
        </w:rPr>
        <w:t xml:space="preserve"> network, how to set cell specific </w:t>
      </w:r>
      <w:proofErr w:type="spellStart"/>
      <w:r>
        <w:rPr>
          <w:rFonts w:hint="eastAsia"/>
        </w:rPr>
        <w:t>Qoffset</w:t>
      </w:r>
      <w:proofErr w:type="spellEnd"/>
      <w:r>
        <w:rPr>
          <w:rFonts w:hint="eastAsia"/>
        </w:rPr>
        <w:t xml:space="preserve">. If we include the neighbor NPN cells with the cell specific </w:t>
      </w:r>
      <w:proofErr w:type="spellStart"/>
      <w:r>
        <w:rPr>
          <w:rFonts w:hint="eastAsia"/>
        </w:rPr>
        <w:t>Qoffset</w:t>
      </w:r>
      <w:proofErr w:type="spellEnd"/>
      <w:r>
        <w:rPr>
          <w:rFonts w:hint="eastAsia"/>
        </w:rPr>
        <w:t xml:space="preserve"> into the legacy neighbor cell list, the legacy UE and the NPN UE will refer to the same Neighbor cell list, then the legacy UE may get the higher rank for some NPN cells and read the corresponding SIB1 unnecessarily. Thus, it</w:t>
      </w:r>
      <w:r>
        <w:t>’</w:t>
      </w:r>
      <w:r>
        <w:rPr>
          <w:rFonts w:hint="eastAsia"/>
        </w:rPr>
        <w:t>s better to add</w:t>
      </w:r>
      <w:r>
        <w:rPr>
          <w:rFonts w:eastAsia="宋体" w:hint="eastAsia"/>
        </w:rPr>
        <w:t xml:space="preserve"> a new </w:t>
      </w:r>
      <w:proofErr w:type="spellStart"/>
      <w:r>
        <w:rPr>
          <w:rFonts w:hint="eastAsia"/>
        </w:rPr>
        <w:t>Neighcell</w:t>
      </w:r>
      <w:proofErr w:type="spellEnd"/>
      <w:r>
        <w:rPr>
          <w:rFonts w:hint="eastAsia"/>
        </w:rPr>
        <w:t xml:space="preserve"> list for the NPN, then the normal UE and the NPN UE can refer to the Neighbor cell list</w:t>
      </w:r>
      <w:r w:rsidR="00DD751C">
        <w:t>s</w:t>
      </w:r>
      <w:r>
        <w:rPr>
          <w:rFonts w:hint="eastAsia"/>
        </w:rPr>
        <w:t xml:space="preserve"> accordingly. </w:t>
      </w:r>
    </w:p>
    <w:p w:rsidR="0081234D" w:rsidRDefault="00A35739">
      <w:r>
        <w:rPr>
          <w:rFonts w:hint="eastAsia"/>
          <w:b/>
          <w:bCs/>
        </w:rPr>
        <w:t>Proposal 6: For the Public network and non-public network sharing scenario, a new Neighbor cell list shall be added for the NPN, the normal UE and the NPN UE can refer to t</w:t>
      </w:r>
      <w:r w:rsidR="00DD751C">
        <w:rPr>
          <w:rFonts w:hint="eastAsia"/>
          <w:b/>
          <w:bCs/>
        </w:rPr>
        <w:t xml:space="preserve">he different Neighbor cell lists </w:t>
      </w:r>
      <w:r>
        <w:rPr>
          <w:rFonts w:hint="eastAsia"/>
          <w:b/>
          <w:bCs/>
        </w:rPr>
        <w:t>accordingly.</w:t>
      </w:r>
    </w:p>
    <w:p w:rsidR="0081234D" w:rsidRDefault="00A35739">
      <w:pPr>
        <w:pStyle w:val="Heading3"/>
        <w:rPr>
          <w:lang w:val="en-US"/>
        </w:rPr>
      </w:pPr>
      <w:r>
        <w:rPr>
          <w:rFonts w:hint="eastAsia"/>
          <w:lang w:val="en-US"/>
        </w:rPr>
        <w:t xml:space="preserve">2.3.2 Black cell list </w:t>
      </w:r>
    </w:p>
    <w:p w:rsidR="0081234D" w:rsidRDefault="00A35739">
      <w:pPr>
        <w:pStyle w:val="Doc-text2"/>
        <w:ind w:left="0" w:firstLine="0"/>
        <w:jc w:val="both"/>
        <w:rPr>
          <w:rFonts w:ascii="Times New Roman" w:eastAsiaTheme="minorEastAsia" w:hAnsi="Times New Roman"/>
          <w:kern w:val="2"/>
          <w:sz w:val="21"/>
          <w:lang w:val="en-US" w:eastAsia="zh-CN"/>
        </w:rPr>
      </w:pPr>
      <w:r>
        <w:rPr>
          <w:rFonts w:ascii="Times New Roman" w:eastAsiaTheme="minorEastAsia" w:hAnsi="Times New Roman" w:hint="eastAsia"/>
          <w:kern w:val="2"/>
          <w:sz w:val="21"/>
          <w:lang w:val="en-US" w:eastAsia="zh-CN"/>
        </w:rPr>
        <w:t xml:space="preserve">Similar to the neighbor cell list, there are also some problems on the black cell list especially for the public network and non-public network sharing scenario for that currently the black cell list is defined per cell. As discussed in section 2.2, for the SNPN, the black cell list can be used to prevent normal UE from accessing to the SNPN network. For example, for a normal cell, it can include the PCI range that reserved for the neighbor SNPN cell on the same frequency into the black cell list, then the normal UE can exclude the SNPN cells according to the PCI range directly. </w:t>
      </w:r>
      <w:r>
        <w:rPr>
          <w:rFonts w:ascii="Times New Roman" w:eastAsiaTheme="minorEastAsia" w:hAnsi="Times New Roman" w:hint="eastAsia"/>
          <w:kern w:val="2"/>
          <w:sz w:val="21"/>
          <w:lang w:val="en-US" w:eastAsia="zh-CN"/>
        </w:rPr>
        <w:lastRenderedPageBreak/>
        <w:t>But once this normal cell is shared by the public network and a SNPN, how to set the black cell list? If moving the PCI range of SNPN outside of the black cell list, at least for the legacy R15 UE, it has to read the SIB1 of the SN</w:t>
      </w:r>
      <w:r w:rsidR="00DD751C">
        <w:rPr>
          <w:rFonts w:ascii="Times New Roman" w:eastAsiaTheme="minorEastAsia" w:hAnsi="Times New Roman" w:hint="eastAsia"/>
          <w:kern w:val="2"/>
          <w:sz w:val="21"/>
          <w:lang w:val="en-US" w:eastAsia="zh-CN"/>
        </w:rPr>
        <w:t>PN cells that have higher rank, which will increase R15 UE</w:t>
      </w:r>
      <w:r w:rsidR="00DD751C">
        <w:rPr>
          <w:rFonts w:ascii="Times New Roman" w:eastAsiaTheme="minorEastAsia" w:hAnsi="Times New Roman"/>
          <w:kern w:val="2"/>
          <w:sz w:val="21"/>
          <w:lang w:val="en-US" w:eastAsia="zh-CN"/>
        </w:rPr>
        <w:t>’s power consumption and reselection delay.</w:t>
      </w:r>
    </w:p>
    <w:p w:rsidR="004B6D82" w:rsidRDefault="00A35739">
      <w:pPr>
        <w:pStyle w:val="Doc-text2"/>
        <w:ind w:left="0" w:firstLine="0"/>
        <w:jc w:val="both"/>
        <w:rPr>
          <w:rFonts w:ascii="Times New Roman" w:eastAsiaTheme="minorEastAsia" w:hAnsi="Times New Roman"/>
          <w:kern w:val="2"/>
          <w:sz w:val="21"/>
          <w:lang w:val="en-US" w:eastAsia="zh-CN"/>
        </w:rPr>
      </w:pPr>
      <w:r>
        <w:rPr>
          <w:rFonts w:ascii="Times New Roman" w:eastAsiaTheme="minorEastAsia" w:hAnsi="Times New Roman" w:hint="eastAsia"/>
          <w:kern w:val="2"/>
          <w:sz w:val="21"/>
          <w:lang w:val="en-US" w:eastAsia="zh-CN"/>
        </w:rPr>
        <w:t xml:space="preserve">Another example is on the PLMN and CAG sharing scenario. We assume the reserved PCI range on the PLMN1 is PCI 1~ 50, and the reserved PCI range for the PLMN 2 is PCI 25~75. We further assume that a cell is shared by the PLMN1 for the public service and PLMN2+CAG1 for the CAG service. Then for the R15 UEs that camp on </w:t>
      </w:r>
      <w:r w:rsidR="004B6D82">
        <w:rPr>
          <w:rFonts w:ascii="Times New Roman" w:eastAsiaTheme="minorEastAsia" w:hAnsi="Times New Roman"/>
          <w:kern w:val="2"/>
          <w:sz w:val="21"/>
          <w:lang w:val="en-US" w:eastAsia="zh-CN"/>
        </w:rPr>
        <w:t>this cell with</w:t>
      </w:r>
      <w:r>
        <w:rPr>
          <w:rFonts w:ascii="Times New Roman" w:eastAsiaTheme="minorEastAsia" w:hAnsi="Times New Roman" w:hint="eastAsia"/>
          <w:kern w:val="2"/>
          <w:sz w:val="21"/>
          <w:lang w:val="en-US" w:eastAsia="zh-CN"/>
        </w:rPr>
        <w:t xml:space="preserve"> PLMN1, it</w:t>
      </w:r>
      <w:r>
        <w:rPr>
          <w:rFonts w:ascii="Times New Roman" w:eastAsiaTheme="minorEastAsia" w:hAnsi="Times New Roman"/>
          <w:kern w:val="2"/>
          <w:sz w:val="21"/>
          <w:lang w:val="en-US" w:eastAsia="zh-CN"/>
        </w:rPr>
        <w:t>’</w:t>
      </w:r>
      <w:r>
        <w:rPr>
          <w:rFonts w:ascii="Times New Roman" w:eastAsiaTheme="minorEastAsia" w:hAnsi="Times New Roman" w:hint="eastAsia"/>
          <w:kern w:val="2"/>
          <w:sz w:val="21"/>
          <w:lang w:val="en-US" w:eastAsia="zh-CN"/>
        </w:rPr>
        <w:t>s better to put the PCI 1~50 into the black cell list, but for the CAG UE that camp on</w:t>
      </w:r>
      <w:r w:rsidR="004B6D82">
        <w:rPr>
          <w:rFonts w:ascii="Times New Roman" w:eastAsiaTheme="minorEastAsia" w:hAnsi="Times New Roman"/>
          <w:kern w:val="2"/>
          <w:sz w:val="21"/>
          <w:lang w:val="en-US" w:eastAsia="zh-CN"/>
        </w:rPr>
        <w:t xml:space="preserve"> this cell with</w:t>
      </w:r>
      <w:r>
        <w:rPr>
          <w:rFonts w:ascii="Times New Roman" w:eastAsiaTheme="minorEastAsia" w:hAnsi="Times New Roman" w:hint="eastAsia"/>
          <w:kern w:val="2"/>
          <w:sz w:val="21"/>
          <w:lang w:val="en-US" w:eastAsia="zh-CN"/>
        </w:rPr>
        <w:t xml:space="preserve"> PLMN2+CAG1, it will read the PCI 25~75 from the new added PCI range info but find that PCI 25~50 are included in the blacklist, obviously, it will cause confusion. </w:t>
      </w:r>
    </w:p>
    <w:p w:rsidR="0081234D" w:rsidRDefault="004B6D82">
      <w:pPr>
        <w:pStyle w:val="Doc-text2"/>
        <w:ind w:left="0" w:firstLine="0"/>
        <w:jc w:val="both"/>
        <w:rPr>
          <w:rFonts w:ascii="Times New Roman" w:eastAsiaTheme="minorEastAsia" w:hAnsi="Times New Roman"/>
          <w:kern w:val="2"/>
          <w:sz w:val="21"/>
          <w:lang w:val="en-US" w:eastAsia="zh-CN"/>
        </w:rPr>
      </w:pPr>
      <w:r>
        <w:rPr>
          <w:rFonts w:ascii="Times New Roman" w:eastAsiaTheme="minorEastAsia" w:hAnsi="Times New Roman"/>
          <w:kern w:val="2"/>
          <w:sz w:val="21"/>
          <w:lang w:val="en-US" w:eastAsia="zh-CN"/>
        </w:rPr>
        <w:t>To solve above problems,</w:t>
      </w:r>
      <w:r w:rsidR="00A35739">
        <w:rPr>
          <w:rFonts w:ascii="Times New Roman" w:eastAsiaTheme="minorEastAsia" w:hAnsi="Times New Roman" w:hint="eastAsia"/>
          <w:kern w:val="2"/>
          <w:sz w:val="21"/>
          <w:lang w:val="en-US" w:eastAsia="zh-CN"/>
        </w:rPr>
        <w:t xml:space="preserve"> it</w:t>
      </w:r>
      <w:r>
        <w:rPr>
          <w:rFonts w:ascii="Times New Roman" w:eastAsiaTheme="minorEastAsia" w:hAnsi="Times New Roman"/>
          <w:kern w:val="2"/>
          <w:sz w:val="21"/>
          <w:lang w:val="en-US" w:eastAsia="zh-CN"/>
        </w:rPr>
        <w:t>’s better</w:t>
      </w:r>
      <w:r w:rsidR="00A35739">
        <w:rPr>
          <w:rFonts w:ascii="Times New Roman" w:eastAsiaTheme="minorEastAsia" w:hAnsi="Times New Roman" w:hint="eastAsia"/>
          <w:kern w:val="2"/>
          <w:sz w:val="21"/>
          <w:lang w:val="en-US" w:eastAsia="zh-CN"/>
        </w:rPr>
        <w:t xml:space="preserve"> to e</w:t>
      </w:r>
      <w:r>
        <w:rPr>
          <w:rFonts w:ascii="Times New Roman" w:eastAsiaTheme="minorEastAsia" w:hAnsi="Times New Roman" w:hint="eastAsia"/>
          <w:kern w:val="2"/>
          <w:sz w:val="21"/>
          <w:lang w:val="en-US" w:eastAsia="zh-CN"/>
        </w:rPr>
        <w:t>xtend the black list for the NPN</w:t>
      </w:r>
      <w:r w:rsidR="00A35739">
        <w:rPr>
          <w:rFonts w:ascii="Times New Roman" w:eastAsiaTheme="minorEastAsia" w:hAnsi="Times New Roman" w:hint="eastAsia"/>
          <w:kern w:val="2"/>
          <w:sz w:val="21"/>
          <w:lang w:val="en-US" w:eastAsia="zh-CN"/>
        </w:rPr>
        <w:t xml:space="preserve"> in the network sharing scenario.</w:t>
      </w:r>
      <w:r>
        <w:rPr>
          <w:rFonts w:ascii="Times New Roman" w:eastAsiaTheme="minorEastAsia" w:hAnsi="Times New Roman"/>
          <w:kern w:val="2"/>
          <w:sz w:val="21"/>
          <w:lang w:val="en-US" w:eastAsia="zh-CN"/>
        </w:rPr>
        <w:t xml:space="preserve"> </w:t>
      </w:r>
      <w:r w:rsidR="00A35739">
        <w:rPr>
          <w:rFonts w:ascii="Times New Roman" w:eastAsiaTheme="minorEastAsia" w:hAnsi="Times New Roman" w:hint="eastAsia"/>
          <w:kern w:val="2"/>
          <w:sz w:val="21"/>
          <w:lang w:val="en-US" w:eastAsia="zh-CN"/>
        </w:rPr>
        <w:t xml:space="preserve">Then the black cell list can </w:t>
      </w:r>
      <w:r>
        <w:rPr>
          <w:rFonts w:ascii="Times New Roman" w:eastAsiaTheme="minorEastAsia" w:hAnsi="Times New Roman" w:hint="eastAsia"/>
          <w:kern w:val="2"/>
          <w:sz w:val="21"/>
          <w:lang w:val="en-US" w:eastAsia="zh-CN"/>
        </w:rPr>
        <w:t>be set for the public network and</w:t>
      </w:r>
      <w:r w:rsidR="00A35739">
        <w:rPr>
          <w:rFonts w:ascii="Times New Roman" w:eastAsiaTheme="minorEastAsia" w:hAnsi="Times New Roman" w:hint="eastAsia"/>
          <w:kern w:val="2"/>
          <w:sz w:val="21"/>
          <w:lang w:val="en-US" w:eastAsia="zh-CN"/>
        </w:rPr>
        <w:t xml:space="preserve"> the non-public network independently. </w:t>
      </w:r>
    </w:p>
    <w:p w:rsidR="0081234D" w:rsidRDefault="00A35739">
      <w:r>
        <w:rPr>
          <w:rFonts w:hint="eastAsia"/>
          <w:b/>
          <w:bCs/>
        </w:rPr>
        <w:t xml:space="preserve">Proposal 7: For the Public network and non-public network sharing scenario, a new black cell </w:t>
      </w:r>
      <w:r w:rsidR="004B6D82">
        <w:rPr>
          <w:rFonts w:hint="eastAsia"/>
          <w:b/>
          <w:bCs/>
        </w:rPr>
        <w:t>list shall be added for the NPN</w:t>
      </w:r>
      <w:r>
        <w:rPr>
          <w:rFonts w:hint="eastAsia"/>
          <w:b/>
          <w:bCs/>
        </w:rPr>
        <w:t>, the normal UE and the NPN UE can refer to the different black cell list</w:t>
      </w:r>
      <w:r w:rsidR="004B6D82">
        <w:rPr>
          <w:b/>
          <w:bCs/>
        </w:rPr>
        <w:t>s</w:t>
      </w:r>
      <w:r>
        <w:rPr>
          <w:rFonts w:hint="eastAsia"/>
          <w:b/>
          <w:bCs/>
        </w:rPr>
        <w:t xml:space="preserve"> accordingly.</w:t>
      </w:r>
    </w:p>
    <w:p w:rsidR="0081234D" w:rsidRDefault="00A35739">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81234D" w:rsidRDefault="00A35739">
      <w:pPr>
        <w:rPr>
          <w:sz w:val="20"/>
          <w:szCs w:val="20"/>
        </w:rPr>
      </w:pPr>
      <w:r>
        <w:rPr>
          <w:rFonts w:hint="eastAsia"/>
          <w:sz w:val="20"/>
          <w:szCs w:val="20"/>
        </w:rPr>
        <w:t xml:space="preserve">With the above analysis, we have the following </w:t>
      </w:r>
      <w:r>
        <w:rPr>
          <w:sz w:val="20"/>
          <w:szCs w:val="20"/>
        </w:rPr>
        <w:t>proposals</w:t>
      </w:r>
      <w:r>
        <w:rPr>
          <w:rFonts w:hint="eastAsia"/>
          <w:sz w:val="20"/>
          <w:szCs w:val="20"/>
        </w:rPr>
        <w:t>:</w:t>
      </w:r>
    </w:p>
    <w:p w:rsidR="0081234D" w:rsidRDefault="00A35739">
      <w:pPr>
        <w:rPr>
          <w:i/>
          <w:iCs/>
        </w:rPr>
      </w:pPr>
      <w:r>
        <w:rPr>
          <w:rFonts w:hint="eastAsia"/>
          <w:b/>
          <w:bCs/>
        </w:rPr>
        <w:t>Proposal 1: If the highest ranked cell or best cell according to absolute priority reselection rules is a NPN-only cell which is not suitable due to not being a NPN member cell, the UE shall ignore the IFRI bit and continue considering other cells on the same frequency for cell reselection. T</w:t>
      </w:r>
      <w:r w:rsidR="004B6D82">
        <w:rPr>
          <w:rFonts w:hint="eastAsia"/>
          <w:b/>
          <w:bCs/>
        </w:rPr>
        <w:t xml:space="preserve">he UE may consider the current </w:t>
      </w:r>
      <w:r>
        <w:rPr>
          <w:rFonts w:hint="eastAsia"/>
          <w:b/>
          <w:bCs/>
        </w:rPr>
        <w:t xml:space="preserve">frequency to be the lowest priority frequency for reselection for 300 seconds after at least &lt; the N strongest cells &gt; on that frequency were found not suitable due to unmatched NPN-ID. N is UE implementation.    </w:t>
      </w:r>
      <w:r>
        <w:rPr>
          <w:rFonts w:hint="eastAsia"/>
          <w:i/>
          <w:iCs/>
        </w:rPr>
        <w:t xml:space="preserve"> </w:t>
      </w:r>
    </w:p>
    <w:p w:rsidR="0081234D" w:rsidRDefault="00A35739">
      <w:pPr>
        <w:tabs>
          <w:tab w:val="left" w:pos="3990"/>
        </w:tabs>
        <w:rPr>
          <w:b/>
          <w:bCs/>
        </w:rPr>
      </w:pPr>
      <w:r>
        <w:rPr>
          <w:rFonts w:hint="eastAsia"/>
          <w:b/>
          <w:bCs/>
        </w:rPr>
        <w:t xml:space="preserve">Proposal 2: For the PCI range list of the CAG, there would be 4 options as follow, it can be left to the operators to determine which option are preferred. </w:t>
      </w:r>
    </w:p>
    <w:p w:rsidR="0081234D" w:rsidRDefault="00A35739">
      <w:pPr>
        <w:tabs>
          <w:tab w:val="left" w:pos="3990"/>
        </w:tabs>
        <w:ind w:firstLineChars="100" w:firstLine="211"/>
        <w:rPr>
          <w:b/>
          <w:bCs/>
          <w:i/>
          <w:iCs/>
        </w:rPr>
      </w:pPr>
      <w:r>
        <w:rPr>
          <w:rFonts w:hint="eastAsia"/>
          <w:b/>
          <w:bCs/>
          <w:i/>
          <w:iCs/>
        </w:rPr>
        <w:t>Option a: Reserve a list of PCI range per PLMN per frequency;</w:t>
      </w:r>
    </w:p>
    <w:p w:rsidR="0081234D" w:rsidRDefault="00A35739">
      <w:pPr>
        <w:tabs>
          <w:tab w:val="left" w:pos="3990"/>
        </w:tabs>
        <w:ind w:firstLineChars="100" w:firstLine="211"/>
        <w:rPr>
          <w:b/>
          <w:bCs/>
          <w:i/>
          <w:iCs/>
        </w:rPr>
      </w:pPr>
      <w:r>
        <w:rPr>
          <w:rFonts w:hint="eastAsia"/>
          <w:b/>
          <w:bCs/>
          <w:i/>
          <w:iCs/>
        </w:rPr>
        <w:t>Option b: Reserve only one PCI range per PLMN per frequency;</w:t>
      </w:r>
    </w:p>
    <w:p w:rsidR="0081234D" w:rsidRDefault="00A35739">
      <w:pPr>
        <w:tabs>
          <w:tab w:val="left" w:pos="3990"/>
        </w:tabs>
        <w:ind w:leftChars="100" w:left="1264" w:hangingChars="500" w:hanging="1054"/>
        <w:rPr>
          <w:b/>
          <w:bCs/>
          <w:i/>
          <w:iCs/>
        </w:rPr>
      </w:pPr>
      <w:r>
        <w:rPr>
          <w:rFonts w:hint="eastAsia"/>
          <w:b/>
          <w:bCs/>
          <w:i/>
          <w:iCs/>
        </w:rPr>
        <w:t>Option c: Reserve only one PCI range per CAG ID per frequency;</w:t>
      </w:r>
    </w:p>
    <w:p w:rsidR="0081234D" w:rsidRDefault="00A35739">
      <w:pPr>
        <w:tabs>
          <w:tab w:val="left" w:pos="3990"/>
        </w:tabs>
        <w:ind w:leftChars="100" w:left="1264" w:hangingChars="500" w:hanging="1054"/>
        <w:rPr>
          <w:b/>
          <w:bCs/>
          <w:i/>
          <w:iCs/>
        </w:rPr>
      </w:pPr>
      <w:r>
        <w:rPr>
          <w:rFonts w:hint="eastAsia"/>
          <w:b/>
          <w:bCs/>
          <w:i/>
          <w:iCs/>
        </w:rPr>
        <w:t xml:space="preserve">Option d: Reserve a list of PCI range per CAG ID per frequency. </w:t>
      </w:r>
    </w:p>
    <w:p w:rsidR="0081234D" w:rsidRDefault="00A35739">
      <w:pPr>
        <w:tabs>
          <w:tab w:val="left" w:pos="3990"/>
        </w:tabs>
        <w:rPr>
          <w:b/>
          <w:bCs/>
          <w:i/>
          <w:iCs/>
        </w:rPr>
      </w:pPr>
      <w:r>
        <w:rPr>
          <w:rFonts w:hint="eastAsia"/>
          <w:b/>
          <w:bCs/>
        </w:rPr>
        <w:t>Proposal 3: The UE considers the last received reserved range of PCI values for CAG cells to be valid for a maximum of 24 hours within the related network ID.</w:t>
      </w:r>
    </w:p>
    <w:p w:rsidR="0081234D" w:rsidRDefault="00A35739">
      <w:pPr>
        <w:tabs>
          <w:tab w:val="left" w:pos="3990"/>
        </w:tabs>
        <w:rPr>
          <w:b/>
          <w:bCs/>
        </w:rPr>
      </w:pPr>
      <w:r>
        <w:rPr>
          <w:rFonts w:hint="eastAsia"/>
          <w:b/>
          <w:bCs/>
        </w:rPr>
        <w:t>Proposal 4: The White list introduced in the NR-U and the Legacy black list can be used to indicate PCI range info for the SNPN.</w:t>
      </w:r>
    </w:p>
    <w:p w:rsidR="0081234D" w:rsidRDefault="00A35739">
      <w:pPr>
        <w:rPr>
          <w:b/>
          <w:bCs/>
        </w:rPr>
      </w:pPr>
      <w:r>
        <w:rPr>
          <w:rFonts w:hint="eastAsia"/>
          <w:b/>
          <w:bCs/>
        </w:rPr>
        <w:t xml:space="preserve">Proposal 5: The network may indicate the dedicated PCI range info in the </w:t>
      </w:r>
      <w:bookmarkStart w:id="2" w:name="_GoBack"/>
      <w:proofErr w:type="spellStart"/>
      <w:r w:rsidRPr="00A379F5">
        <w:rPr>
          <w:rFonts w:hint="eastAsia"/>
          <w:b/>
          <w:bCs/>
          <w:i/>
        </w:rPr>
        <w:t>RRCRelease</w:t>
      </w:r>
      <w:bookmarkEnd w:id="2"/>
      <w:proofErr w:type="spellEnd"/>
      <w:r>
        <w:rPr>
          <w:rFonts w:hint="eastAsia"/>
          <w:b/>
          <w:bCs/>
        </w:rPr>
        <w:t xml:space="preserve"> Msg.</w:t>
      </w:r>
    </w:p>
    <w:p w:rsidR="0081234D" w:rsidRDefault="00A35739">
      <w:r>
        <w:rPr>
          <w:rFonts w:hint="eastAsia"/>
          <w:b/>
          <w:bCs/>
        </w:rPr>
        <w:t>Proposal 6: For the Public network and non-public network sharing scenario, a new Neighbor cell list shall be added for the NPN, the normal UE and the NPN UE can refer to the different Neighbor cell list</w:t>
      </w:r>
      <w:r w:rsidR="004B6D82">
        <w:rPr>
          <w:b/>
          <w:bCs/>
        </w:rPr>
        <w:t>s</w:t>
      </w:r>
      <w:r>
        <w:rPr>
          <w:rFonts w:hint="eastAsia"/>
          <w:b/>
          <w:bCs/>
        </w:rPr>
        <w:t xml:space="preserve"> accordingly.</w:t>
      </w:r>
    </w:p>
    <w:p w:rsidR="0081234D" w:rsidRDefault="00A35739">
      <w:pPr>
        <w:rPr>
          <w:b/>
          <w:bCs/>
        </w:rPr>
      </w:pPr>
      <w:r>
        <w:rPr>
          <w:rFonts w:hint="eastAsia"/>
          <w:b/>
          <w:bCs/>
        </w:rPr>
        <w:lastRenderedPageBreak/>
        <w:t xml:space="preserve">Proposal 7: For the Public network and non-public network sharing scenario, a new black cell </w:t>
      </w:r>
      <w:r w:rsidR="004B6D82">
        <w:rPr>
          <w:rFonts w:hint="eastAsia"/>
          <w:b/>
          <w:bCs/>
        </w:rPr>
        <w:t>list shall be added for the NPN</w:t>
      </w:r>
      <w:r>
        <w:rPr>
          <w:rFonts w:hint="eastAsia"/>
          <w:b/>
          <w:bCs/>
        </w:rPr>
        <w:t>, the normal UE and the NPN UE can refer to the different black cell list</w:t>
      </w:r>
      <w:r w:rsidR="004B6D82">
        <w:rPr>
          <w:b/>
          <w:bCs/>
        </w:rPr>
        <w:t>s</w:t>
      </w:r>
      <w:r>
        <w:rPr>
          <w:rFonts w:hint="eastAsia"/>
          <w:b/>
          <w:bCs/>
        </w:rPr>
        <w:t xml:space="preserve"> accordingly.</w:t>
      </w:r>
    </w:p>
    <w:p w:rsidR="0081234D" w:rsidRDefault="00A35739">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81234D" w:rsidRDefault="00A35739">
      <w:pPr>
        <w:pStyle w:val="Reference"/>
        <w:overflowPunct w:val="0"/>
        <w:autoSpaceDE w:val="0"/>
        <w:autoSpaceDN w:val="0"/>
        <w:adjustRightInd w:val="0"/>
        <w:spacing w:after="120"/>
        <w:textAlignment w:val="baseline"/>
        <w:rPr>
          <w:rStyle w:val="Hyperlink"/>
          <w:rFonts w:cstheme="minorHAnsi"/>
          <w:color w:val="auto"/>
          <w:u w:val="none"/>
        </w:rPr>
      </w:pPr>
      <w:r>
        <w:rPr>
          <w:rStyle w:val="Hyperlink"/>
          <w:rFonts w:cstheme="minorHAnsi"/>
          <w:color w:val="auto"/>
          <w:u w:val="none"/>
        </w:rPr>
        <w:t>3GPP TS 36.304: "Evolved Universal Terrestrial Radio Access (E-UTRA); User Equipment (UE) procedures in idle mode".</w:t>
      </w:r>
    </w:p>
    <w:p w:rsidR="0081234D" w:rsidRDefault="00A35739">
      <w:pPr>
        <w:pStyle w:val="Reference"/>
        <w:overflowPunct w:val="0"/>
        <w:autoSpaceDE w:val="0"/>
        <w:autoSpaceDN w:val="0"/>
        <w:adjustRightInd w:val="0"/>
        <w:spacing w:after="120"/>
        <w:textAlignment w:val="baseline"/>
        <w:rPr>
          <w:rStyle w:val="Hyperlink"/>
          <w:rFonts w:cstheme="minorHAnsi"/>
          <w:color w:val="auto"/>
          <w:u w:val="none"/>
        </w:rPr>
      </w:pPr>
      <w:r>
        <w:rPr>
          <w:rStyle w:val="Hyperlink"/>
          <w:rFonts w:cstheme="minorHAnsi"/>
          <w:color w:val="auto"/>
          <w:u w:val="none"/>
        </w:rPr>
        <w:t>R2-1916225</w:t>
      </w:r>
      <w:r>
        <w:rPr>
          <w:rStyle w:val="Hyperlink"/>
          <w:rFonts w:cstheme="minorHAnsi"/>
          <w:color w:val="auto"/>
          <w:u w:val="none"/>
        </w:rPr>
        <w:tab/>
        <w:t>Cell Reselection remaining issues</w:t>
      </w:r>
      <w:r>
        <w:rPr>
          <w:rStyle w:val="Hyperlink"/>
          <w:rFonts w:cstheme="minorHAnsi" w:hint="eastAsia"/>
          <w:color w:val="auto"/>
          <w:u w:val="none"/>
        </w:rPr>
        <w:t xml:space="preserve">  </w:t>
      </w:r>
      <w:r>
        <w:rPr>
          <w:rStyle w:val="Hyperlink"/>
          <w:rFonts w:cstheme="minorHAnsi"/>
          <w:color w:val="auto"/>
          <w:u w:val="none"/>
        </w:rPr>
        <w:t xml:space="preserve"> </w:t>
      </w:r>
      <w:r>
        <w:rPr>
          <w:rStyle w:val="Hyperlink"/>
          <w:rFonts w:cstheme="minorHAnsi"/>
          <w:color w:val="auto"/>
          <w:u w:val="none"/>
        </w:rPr>
        <w:tab/>
        <w:t>Samsung R&amp;D Institute India</w:t>
      </w:r>
      <w:r>
        <w:rPr>
          <w:rStyle w:val="Hyperlink"/>
          <w:rFonts w:cstheme="minorHAnsi"/>
          <w:color w:val="auto"/>
          <w:u w:val="none"/>
        </w:rPr>
        <w:tab/>
        <w:t>discussion</w:t>
      </w:r>
    </w:p>
    <w:p w:rsidR="0081234D" w:rsidRDefault="00A35739">
      <w:pPr>
        <w:pStyle w:val="Reference"/>
        <w:overflowPunct w:val="0"/>
        <w:autoSpaceDE w:val="0"/>
        <w:autoSpaceDN w:val="0"/>
        <w:adjustRightInd w:val="0"/>
        <w:spacing w:after="120"/>
        <w:textAlignment w:val="baseline"/>
        <w:rPr>
          <w:rStyle w:val="Hyperlink"/>
          <w:rFonts w:cstheme="minorHAnsi"/>
          <w:color w:val="auto"/>
          <w:u w:val="none"/>
        </w:rPr>
      </w:pPr>
      <w:r>
        <w:rPr>
          <w:rStyle w:val="Hyperlink"/>
          <w:rFonts w:cstheme="minorHAnsi"/>
          <w:color w:val="auto"/>
          <w:u w:val="none"/>
        </w:rPr>
        <w:t>R2-1914626</w:t>
      </w:r>
      <w:r>
        <w:rPr>
          <w:rStyle w:val="Hyperlink"/>
          <w:rFonts w:cstheme="minorHAnsi"/>
          <w:color w:val="auto"/>
          <w:u w:val="none"/>
        </w:rPr>
        <w:tab/>
        <w:t>Cell Selection and Reselection aspects of NPN</w:t>
      </w:r>
      <w:r>
        <w:rPr>
          <w:rStyle w:val="Hyperlink"/>
          <w:rFonts w:cstheme="minorHAnsi"/>
          <w:color w:val="auto"/>
          <w:u w:val="none"/>
        </w:rPr>
        <w:tab/>
        <w:t>Ericsson</w:t>
      </w:r>
      <w:r>
        <w:rPr>
          <w:rStyle w:val="Hyperlink"/>
          <w:rFonts w:cstheme="minorHAnsi"/>
          <w:color w:val="auto"/>
          <w:u w:val="none"/>
        </w:rPr>
        <w:tab/>
        <w:t>discussion</w:t>
      </w:r>
      <w:r>
        <w:rPr>
          <w:rStyle w:val="Hyperlink"/>
          <w:rFonts w:cstheme="minorHAnsi"/>
          <w:color w:val="auto"/>
          <w:u w:val="none"/>
        </w:rPr>
        <w:tab/>
        <w:t>Rel-16</w:t>
      </w:r>
      <w:r>
        <w:rPr>
          <w:rStyle w:val="Hyperlink"/>
          <w:rFonts w:cstheme="minorHAnsi"/>
          <w:color w:val="auto"/>
          <w:u w:val="none"/>
        </w:rPr>
        <w:tab/>
        <w:t>NG_RAN_PRN-Core</w:t>
      </w:r>
    </w:p>
    <w:p w:rsidR="0081234D" w:rsidRDefault="00A35739">
      <w:pPr>
        <w:pStyle w:val="Reference"/>
        <w:overflowPunct w:val="0"/>
        <w:autoSpaceDE w:val="0"/>
        <w:autoSpaceDN w:val="0"/>
        <w:adjustRightInd w:val="0"/>
        <w:spacing w:after="120"/>
        <w:textAlignment w:val="baseline"/>
        <w:rPr>
          <w:rStyle w:val="Hyperlink"/>
          <w:rFonts w:cstheme="minorHAnsi"/>
          <w:color w:val="auto"/>
          <w:u w:val="none"/>
        </w:rPr>
      </w:pPr>
      <w:r>
        <w:rPr>
          <w:rStyle w:val="Hyperlink"/>
          <w:rFonts w:cstheme="minorHAnsi"/>
          <w:color w:val="auto"/>
          <w:u w:val="none"/>
        </w:rPr>
        <w:t>3GPP TS 23.501: "System Architecture for the 5G System; Stage 2".</w:t>
      </w:r>
    </w:p>
    <w:p w:rsidR="0081234D" w:rsidRDefault="00A35739">
      <w:pPr>
        <w:pStyle w:val="Reference"/>
        <w:overflowPunct w:val="0"/>
        <w:autoSpaceDE w:val="0"/>
        <w:autoSpaceDN w:val="0"/>
        <w:adjustRightInd w:val="0"/>
        <w:spacing w:after="120"/>
        <w:textAlignment w:val="baseline"/>
        <w:rPr>
          <w:rStyle w:val="Hyperlink"/>
          <w:rFonts w:cstheme="minorHAnsi"/>
          <w:color w:val="auto"/>
          <w:u w:val="none"/>
        </w:rPr>
      </w:pPr>
      <w:r>
        <w:rPr>
          <w:rStyle w:val="Hyperlink"/>
          <w:rFonts w:cstheme="minorHAnsi"/>
          <w:color w:val="auto"/>
          <w:u w:val="none"/>
        </w:rPr>
        <w:t>R2-085381:</w:t>
      </w:r>
      <w:r>
        <w:rPr>
          <w:rStyle w:val="Hyperlink"/>
          <w:rFonts w:cstheme="minorHAnsi"/>
          <w:color w:val="auto"/>
          <w:u w:val="none"/>
        </w:rPr>
        <w:tab/>
      </w:r>
      <w:proofErr w:type="spellStart"/>
      <w:r>
        <w:rPr>
          <w:rStyle w:val="Hyperlink"/>
          <w:rFonts w:cstheme="minorHAnsi"/>
          <w:color w:val="auto"/>
          <w:u w:val="none"/>
        </w:rPr>
        <w:t>Qoffsets</w:t>
      </w:r>
      <w:proofErr w:type="spellEnd"/>
      <w:r>
        <w:rPr>
          <w:rStyle w:val="Hyperlink"/>
          <w:rFonts w:cstheme="minorHAnsi"/>
          <w:color w:val="auto"/>
          <w:u w:val="none"/>
        </w:rPr>
        <w:t xml:space="preserve"> for CSG Cells</w:t>
      </w:r>
      <w:r>
        <w:rPr>
          <w:rStyle w:val="Hyperlink"/>
          <w:rFonts w:cstheme="minorHAnsi"/>
          <w:color w:val="auto"/>
          <w:u w:val="none"/>
        </w:rPr>
        <w:tab/>
        <w:t>Qualcomm Europe</w:t>
      </w:r>
      <w:r>
        <w:rPr>
          <w:rStyle w:val="Hyperlink"/>
          <w:rFonts w:cstheme="minorHAnsi"/>
          <w:color w:val="auto"/>
          <w:u w:val="none"/>
        </w:rPr>
        <w:tab/>
        <w:t>Disc</w:t>
      </w:r>
    </w:p>
    <w:p w:rsidR="0081234D" w:rsidRDefault="00A35739">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 xml:space="preserve">Annex </w:t>
      </w:r>
    </w:p>
    <w:tbl>
      <w:tblPr>
        <w:tblStyle w:val="TableGrid"/>
        <w:tblW w:w="9570" w:type="dxa"/>
        <w:tblLayout w:type="fixed"/>
        <w:tblLook w:val="04A0" w:firstRow="1" w:lastRow="0" w:firstColumn="1" w:lastColumn="0" w:noHBand="0" w:noVBand="1"/>
      </w:tblPr>
      <w:tblGrid>
        <w:gridCol w:w="9570"/>
      </w:tblGrid>
      <w:tr w:rsidR="0081234D">
        <w:tc>
          <w:tcPr>
            <w:tcW w:w="9570" w:type="dxa"/>
          </w:tcPr>
          <w:p w:rsidR="0081234D" w:rsidRDefault="00A35739">
            <w:pPr>
              <w:keepNext/>
              <w:keepLines/>
              <w:overflowPunct w:val="0"/>
              <w:autoSpaceDE w:val="0"/>
              <w:autoSpaceDN w:val="0"/>
              <w:adjustRightInd w:val="0"/>
              <w:spacing w:before="60"/>
              <w:jc w:val="center"/>
              <w:rPr>
                <w:rFonts w:ascii="Arial" w:eastAsia="Times New Roman" w:hAnsi="Arial" w:cs="Arial"/>
                <w:b/>
                <w:bCs/>
                <w:i/>
                <w:iCs/>
              </w:rPr>
            </w:pPr>
            <w:r>
              <w:rPr>
                <w:rFonts w:ascii="Arial" w:eastAsia="Times New Roman" w:hAnsi="Arial" w:cs="Arial"/>
                <w:b/>
                <w:bCs/>
                <w:i/>
                <w:iCs/>
              </w:rPr>
              <w:t xml:space="preserve">SIB3 </w:t>
            </w:r>
            <w:r>
              <w:rPr>
                <w:rFonts w:ascii="Arial" w:eastAsia="Times New Roman" w:hAnsi="Arial" w:cs="Arial"/>
                <w:b/>
                <w:bCs/>
                <w:iCs/>
              </w:rPr>
              <w:t>information element</w:t>
            </w:r>
          </w:p>
          <w:p w:rsidR="0081234D" w:rsidRDefault="00A3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81234D" w:rsidRDefault="00A3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TAG-SIB3-START</w:t>
            </w:r>
          </w:p>
          <w:p w:rsidR="0081234D" w:rsidRDefault="008123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p>
          <w:p w:rsidR="0081234D" w:rsidRDefault="00A3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r>
              <w:rPr>
                <w:rFonts w:ascii="Courier New" w:eastAsia="Times New Roman" w:hAnsi="Courier New" w:cs="Courier New"/>
                <w:sz w:val="16"/>
                <w:lang w:eastAsia="en-GB"/>
              </w:rPr>
              <w:t xml:space="preserve">SIB3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81234D" w:rsidRDefault="00A3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intraFreqNeighCellList</w:t>
            </w:r>
            <w:proofErr w:type="spell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IntraFreqNeighCellList</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rsidR="0081234D" w:rsidRDefault="00A3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intraFreqBlackCellList</w:t>
            </w:r>
            <w:proofErr w:type="spell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IntraFreqBlackCellList</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rsidR="0081234D" w:rsidRDefault="00A3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lateNonCriticalExtension</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OCTET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81234D" w:rsidRDefault="00A3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81234D" w:rsidRDefault="00A35739">
            <w:pPr>
              <w:pStyle w:val="PL"/>
              <w:shd w:val="clear" w:color="auto" w:fill="E6E6E6"/>
              <w:spacing w:line="160" w:lineRule="exact"/>
            </w:pPr>
            <w:r>
              <w:t xml:space="preserve">    [[</w:t>
            </w:r>
          </w:p>
          <w:p w:rsidR="0081234D" w:rsidRDefault="00A35739">
            <w:pPr>
              <w:pStyle w:val="PL"/>
              <w:shd w:val="clear" w:color="auto" w:fill="E6E6E6"/>
              <w:spacing w:line="160" w:lineRule="exact"/>
              <w:rPr>
                <w:rFonts w:eastAsia="Times New Roman" w:cs="Courier New"/>
                <w:color w:val="808080"/>
                <w:highlight w:val="yellow"/>
                <w:lang w:eastAsia="en-GB"/>
              </w:rPr>
            </w:pPr>
            <w:r>
              <w:t xml:space="preserve">   </w:t>
            </w:r>
            <w:r>
              <w:rPr>
                <w:highlight w:val="yellow"/>
              </w:rPr>
              <w:t xml:space="preserve"> </w:t>
            </w:r>
            <w:r>
              <w:rPr>
                <w:rFonts w:eastAsia="Times New Roman" w:cs="Courier New"/>
                <w:highlight w:val="yellow"/>
                <w:lang w:eastAsia="en-GB"/>
              </w:rPr>
              <w:t xml:space="preserve">intraFreqWhiteCellList-r16          </w:t>
            </w:r>
            <w:proofErr w:type="spellStart"/>
            <w:r>
              <w:rPr>
                <w:rFonts w:eastAsia="Times New Roman" w:cs="Courier New"/>
                <w:highlight w:val="yellow"/>
                <w:lang w:eastAsia="en-GB"/>
              </w:rPr>
              <w:t>IntraFreqWhiteCellList-r16</w:t>
            </w:r>
            <w:proofErr w:type="spellEnd"/>
            <w:r>
              <w:rPr>
                <w:rFonts w:eastAsia="Times New Roman" w:cs="Courier New"/>
                <w:highlight w:val="yellow"/>
                <w:lang w:eastAsia="en-GB"/>
              </w:rPr>
              <w:t xml:space="preserve">      </w:t>
            </w:r>
            <w:r>
              <w:rPr>
                <w:rFonts w:eastAsia="Times New Roman" w:cs="Courier New"/>
                <w:color w:val="993366"/>
                <w:highlight w:val="yellow"/>
                <w:lang w:eastAsia="en-GB"/>
              </w:rPr>
              <w:t>OPTIONAL</w:t>
            </w:r>
            <w:r>
              <w:rPr>
                <w:rFonts w:eastAsia="Times New Roman" w:cs="Courier New"/>
                <w:highlight w:val="yellow"/>
                <w:lang w:eastAsia="en-GB"/>
              </w:rPr>
              <w:t xml:space="preserve">   </w:t>
            </w:r>
            <w:r>
              <w:rPr>
                <w:rFonts w:eastAsia="Times New Roman" w:cs="Courier New"/>
                <w:color w:val="808080"/>
                <w:highlight w:val="yellow"/>
                <w:lang w:eastAsia="en-GB"/>
              </w:rPr>
              <w:t>-- Need R</w:t>
            </w:r>
          </w:p>
          <w:p w:rsidR="0081234D" w:rsidRDefault="00A35739">
            <w:pPr>
              <w:pStyle w:val="PL"/>
              <w:shd w:val="clear" w:color="auto" w:fill="E6E6E6"/>
              <w:spacing w:line="160" w:lineRule="exact"/>
            </w:pPr>
            <w:r>
              <w:t xml:space="preserve">    ]]</w:t>
            </w:r>
          </w:p>
          <w:p w:rsidR="0081234D" w:rsidRDefault="008123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p>
          <w:p w:rsidR="0081234D" w:rsidRDefault="00A3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81234D" w:rsidRDefault="008123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p>
          <w:p w:rsidR="0081234D" w:rsidRDefault="00A3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proofErr w:type="spellStart"/>
            <w:r>
              <w:rPr>
                <w:rFonts w:ascii="Courier New" w:eastAsia="Times New Roman" w:hAnsi="Courier New" w:cs="Courier New"/>
                <w:sz w:val="16"/>
                <w:lang w:eastAsia="en-GB"/>
              </w:rPr>
              <w:t>IntraFreqNeighCellList</w:t>
            </w:r>
            <w:proofErr w:type="spellEnd"/>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(1..maxCellIntra))</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IntraFreqNeighCellInfo</w:t>
            </w:r>
            <w:proofErr w:type="spellEnd"/>
          </w:p>
          <w:p w:rsidR="0081234D" w:rsidRDefault="008123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p>
          <w:p w:rsidR="0081234D" w:rsidRDefault="00A3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proofErr w:type="spellStart"/>
            <w:r>
              <w:rPr>
                <w:rFonts w:ascii="Courier New" w:eastAsia="Times New Roman" w:hAnsi="Courier New" w:cs="Courier New"/>
                <w:sz w:val="16"/>
                <w:lang w:eastAsia="en-GB"/>
              </w:rPr>
              <w:t>IntraFreqNeighCellInfo</w:t>
            </w:r>
            <w:proofErr w:type="spellEnd"/>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81234D" w:rsidRDefault="00A3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physCellId</w:t>
            </w:r>
            <w:proofErr w:type="spell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PhysCellId</w:t>
            </w:r>
            <w:proofErr w:type="spellEnd"/>
            <w:r>
              <w:rPr>
                <w:rFonts w:ascii="Courier New" w:eastAsia="Times New Roman" w:hAnsi="Courier New" w:cs="Courier New"/>
                <w:sz w:val="16"/>
                <w:lang w:eastAsia="en-GB"/>
              </w:rPr>
              <w:t>,</w:t>
            </w:r>
          </w:p>
          <w:p w:rsidR="0081234D" w:rsidRDefault="00A3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r>
              <w:rPr>
                <w:rFonts w:ascii="Courier New" w:eastAsia="Times New Roman" w:hAnsi="Courier New" w:cs="Courier New"/>
                <w:sz w:val="16"/>
                <w:lang w:eastAsia="en-GB"/>
              </w:rPr>
              <w:t xml:space="preserve">    q-</w:t>
            </w:r>
            <w:proofErr w:type="spellStart"/>
            <w:r>
              <w:rPr>
                <w:rFonts w:ascii="Courier New" w:eastAsia="Times New Roman" w:hAnsi="Courier New" w:cs="Courier New"/>
                <w:sz w:val="16"/>
                <w:lang w:eastAsia="en-GB"/>
              </w:rPr>
              <w:t>OffsetCell</w:t>
            </w:r>
            <w:proofErr w:type="spellEnd"/>
            <w:r>
              <w:rPr>
                <w:rFonts w:ascii="Courier New" w:eastAsia="Times New Roman" w:hAnsi="Courier New" w:cs="Courier New"/>
                <w:sz w:val="16"/>
                <w:lang w:eastAsia="en-GB"/>
              </w:rPr>
              <w:t xml:space="preserve">                        Q-</w:t>
            </w:r>
            <w:proofErr w:type="spellStart"/>
            <w:r>
              <w:rPr>
                <w:rFonts w:ascii="Courier New" w:eastAsia="Times New Roman" w:hAnsi="Courier New" w:cs="Courier New"/>
                <w:sz w:val="16"/>
                <w:lang w:eastAsia="en-GB"/>
              </w:rPr>
              <w:t>OffsetRange</w:t>
            </w:r>
            <w:proofErr w:type="spellEnd"/>
            <w:r>
              <w:rPr>
                <w:rFonts w:ascii="Courier New" w:eastAsia="Times New Roman" w:hAnsi="Courier New" w:cs="Courier New"/>
                <w:sz w:val="16"/>
                <w:lang w:eastAsia="en-GB"/>
              </w:rPr>
              <w:t>,</w:t>
            </w:r>
          </w:p>
          <w:p w:rsidR="0081234D" w:rsidRDefault="00A3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q-</w:t>
            </w:r>
            <w:proofErr w:type="spellStart"/>
            <w:r>
              <w:rPr>
                <w:rFonts w:ascii="Courier New" w:eastAsia="Times New Roman" w:hAnsi="Courier New" w:cs="Courier New"/>
                <w:sz w:val="16"/>
                <w:lang w:eastAsia="en-GB"/>
              </w:rPr>
              <w:t>RxLevMinOffsetCell</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(1..8)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rsidR="0081234D" w:rsidRDefault="00A3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q-</w:t>
            </w:r>
            <w:proofErr w:type="spellStart"/>
            <w:r>
              <w:rPr>
                <w:rFonts w:ascii="Courier New" w:eastAsia="Times New Roman" w:hAnsi="Courier New" w:cs="Courier New"/>
                <w:sz w:val="16"/>
                <w:lang w:eastAsia="en-GB"/>
              </w:rPr>
              <w:t>RxLevMinOffsetCellSUL</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(1..8)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rsidR="0081234D" w:rsidRDefault="00A3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q-</w:t>
            </w:r>
            <w:proofErr w:type="spellStart"/>
            <w:r>
              <w:rPr>
                <w:rFonts w:ascii="Courier New" w:eastAsia="Times New Roman" w:hAnsi="Courier New" w:cs="Courier New"/>
                <w:sz w:val="16"/>
                <w:lang w:eastAsia="en-GB"/>
              </w:rPr>
              <w:t>QualMinOffsetCell</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(1..8)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rsidR="0081234D" w:rsidRDefault="00A3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81234D" w:rsidRDefault="00A3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81234D" w:rsidRDefault="008123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p>
          <w:p w:rsidR="0081234D" w:rsidRDefault="00A3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proofErr w:type="spellStart"/>
            <w:r>
              <w:rPr>
                <w:rFonts w:ascii="Courier New" w:eastAsia="Times New Roman" w:hAnsi="Courier New" w:cs="Courier New"/>
                <w:sz w:val="16"/>
                <w:lang w:eastAsia="en-GB"/>
              </w:rPr>
              <w:t>IntraFreqBlackCellList</w:t>
            </w:r>
            <w:proofErr w:type="spellEnd"/>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(1..maxCellBlack))</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PCI-Range</w:t>
            </w:r>
          </w:p>
          <w:p w:rsidR="0081234D" w:rsidRDefault="008123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p>
          <w:p w:rsidR="0081234D" w:rsidRDefault="00A3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highlight w:val="yellow"/>
                <w:lang w:eastAsia="en-GB"/>
              </w:rPr>
            </w:pPr>
            <w:r>
              <w:rPr>
                <w:rFonts w:ascii="Courier New" w:eastAsia="Times New Roman" w:hAnsi="Courier New" w:cs="Courier New"/>
                <w:sz w:val="16"/>
                <w:highlight w:val="yellow"/>
                <w:lang w:eastAsia="en-GB"/>
              </w:rPr>
              <w:t xml:space="preserve">IntraFreqWhiteCellList-r16 ::=      </w:t>
            </w:r>
            <w:r>
              <w:rPr>
                <w:rFonts w:ascii="Courier New" w:eastAsia="Times New Roman" w:hAnsi="Courier New" w:cs="Courier New"/>
                <w:color w:val="993366"/>
                <w:sz w:val="16"/>
                <w:highlight w:val="yellow"/>
                <w:lang w:eastAsia="en-GB"/>
              </w:rPr>
              <w:t>SEQUENCE</w:t>
            </w:r>
            <w:r>
              <w:rPr>
                <w:rFonts w:ascii="Courier New" w:eastAsia="Times New Roman" w:hAnsi="Courier New" w:cs="Courier New"/>
                <w:sz w:val="16"/>
                <w:highlight w:val="yellow"/>
                <w:lang w:eastAsia="en-GB"/>
              </w:rPr>
              <w:t xml:space="preserve"> (</w:t>
            </w:r>
            <w:r>
              <w:rPr>
                <w:rFonts w:ascii="Courier New" w:eastAsia="Times New Roman" w:hAnsi="Courier New" w:cs="Courier New"/>
                <w:color w:val="993366"/>
                <w:sz w:val="16"/>
                <w:highlight w:val="yellow"/>
                <w:lang w:eastAsia="en-GB"/>
              </w:rPr>
              <w:t>SIZE</w:t>
            </w:r>
            <w:r>
              <w:rPr>
                <w:rFonts w:ascii="Courier New" w:eastAsia="Times New Roman" w:hAnsi="Courier New" w:cs="Courier New"/>
                <w:sz w:val="16"/>
                <w:highlight w:val="yellow"/>
                <w:lang w:eastAsia="en-GB"/>
              </w:rPr>
              <w:t xml:space="preserve"> (1..maxCellWhite))</w:t>
            </w:r>
            <w:r>
              <w:rPr>
                <w:rFonts w:ascii="Courier New" w:eastAsia="Times New Roman" w:hAnsi="Courier New" w:cs="Courier New"/>
                <w:color w:val="993366"/>
                <w:sz w:val="16"/>
                <w:highlight w:val="yellow"/>
                <w:lang w:eastAsia="en-GB"/>
              </w:rPr>
              <w:t xml:space="preserve"> OF</w:t>
            </w:r>
            <w:r>
              <w:rPr>
                <w:rFonts w:ascii="Courier New" w:eastAsia="Times New Roman" w:hAnsi="Courier New" w:cs="Courier New"/>
                <w:sz w:val="16"/>
                <w:highlight w:val="yellow"/>
                <w:lang w:eastAsia="en-GB"/>
              </w:rPr>
              <w:t xml:space="preserve"> PCI-Range</w:t>
            </w:r>
          </w:p>
          <w:p w:rsidR="0081234D" w:rsidRDefault="008123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p>
          <w:p w:rsidR="0081234D" w:rsidRDefault="00A3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TAG-SIB3-STOP</w:t>
            </w:r>
          </w:p>
          <w:p w:rsidR="0081234D" w:rsidRDefault="00A3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81234D" w:rsidRDefault="0081234D">
            <w:pPr>
              <w:tabs>
                <w:tab w:val="center" w:pos="4677"/>
              </w:tabs>
              <w:rPr>
                <w:rFonts w:eastAsia="宋体"/>
              </w:rPr>
            </w:pPr>
          </w:p>
        </w:tc>
      </w:tr>
    </w:tbl>
    <w:p w:rsidR="0081234D" w:rsidRDefault="0081234D">
      <w:pPr>
        <w:spacing w:line="240" w:lineRule="auto"/>
      </w:pPr>
    </w:p>
    <w:p w:rsidR="0081234D" w:rsidRDefault="0081234D">
      <w:pPr>
        <w:spacing w:line="240" w:lineRule="auto"/>
      </w:pPr>
    </w:p>
    <w:sectPr w:rsidR="0081234D">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4ECD" w:rsidRDefault="002C4ECD">
      <w:pPr>
        <w:spacing w:after="0" w:line="240" w:lineRule="auto"/>
      </w:pPr>
      <w:r>
        <w:separator/>
      </w:r>
    </w:p>
  </w:endnote>
  <w:endnote w:type="continuationSeparator" w:id="0">
    <w:p w:rsidR="002C4ECD" w:rsidRDefault="002C4E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234D" w:rsidRDefault="00A3573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1234D" w:rsidRDefault="0081234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234D" w:rsidRDefault="0081234D">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4ECD" w:rsidRDefault="002C4ECD">
      <w:pPr>
        <w:spacing w:after="0" w:line="240" w:lineRule="auto"/>
      </w:pPr>
      <w:r>
        <w:separator/>
      </w:r>
    </w:p>
  </w:footnote>
  <w:footnote w:type="continuationSeparator" w:id="0">
    <w:p w:rsidR="002C4ECD" w:rsidRDefault="002C4E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234D" w:rsidRDefault="0081234D">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2EA82704"/>
    <w:multiLevelType w:val="multilevel"/>
    <w:tmpl w:val="2EA82704"/>
    <w:lvl w:ilvl="0">
      <w:start w:val="2"/>
      <w:numFmt w:val="bullet"/>
      <w:pStyle w:val="Doc-text"/>
      <w:lvlText w:val="-"/>
      <w:lvlJc w:val="left"/>
      <w:pPr>
        <w:tabs>
          <w:tab w:val="left" w:pos="-3740"/>
        </w:tabs>
        <w:ind w:left="-3740" w:hanging="360"/>
      </w:pPr>
      <w:rPr>
        <w:rFonts w:ascii="Arial" w:eastAsia="MS Mincho" w:hAnsi="Arial" w:cs="Arial" w:hint="default"/>
      </w:rPr>
    </w:lvl>
    <w:lvl w:ilvl="1">
      <w:start w:val="1"/>
      <w:numFmt w:val="bullet"/>
      <w:lvlText w:val="o"/>
      <w:lvlJc w:val="left"/>
      <w:pPr>
        <w:tabs>
          <w:tab w:val="left" w:pos="-3020"/>
        </w:tabs>
        <w:ind w:left="-3020" w:hanging="360"/>
      </w:pPr>
      <w:rPr>
        <w:rFonts w:ascii="Courier New" w:hAnsi="Courier New" w:cs="Courier New" w:hint="default"/>
      </w:rPr>
    </w:lvl>
    <w:lvl w:ilvl="2">
      <w:start w:val="1"/>
      <w:numFmt w:val="bullet"/>
      <w:lvlText w:val=""/>
      <w:lvlJc w:val="left"/>
      <w:pPr>
        <w:tabs>
          <w:tab w:val="left" w:pos="-2300"/>
        </w:tabs>
        <w:ind w:left="-2300" w:hanging="360"/>
      </w:pPr>
      <w:rPr>
        <w:rFonts w:ascii="Wingdings" w:hAnsi="Wingdings" w:hint="default"/>
      </w:rPr>
    </w:lvl>
    <w:lvl w:ilvl="3">
      <w:start w:val="1"/>
      <w:numFmt w:val="bullet"/>
      <w:lvlText w:val=""/>
      <w:lvlJc w:val="left"/>
      <w:pPr>
        <w:tabs>
          <w:tab w:val="left" w:pos="-1580"/>
        </w:tabs>
        <w:ind w:left="-1580" w:hanging="360"/>
      </w:pPr>
      <w:rPr>
        <w:rFonts w:ascii="Symbol" w:hAnsi="Symbol" w:hint="default"/>
      </w:rPr>
    </w:lvl>
    <w:lvl w:ilvl="4">
      <w:start w:val="1"/>
      <w:numFmt w:val="bullet"/>
      <w:lvlText w:val="o"/>
      <w:lvlJc w:val="left"/>
      <w:pPr>
        <w:tabs>
          <w:tab w:val="left" w:pos="-860"/>
        </w:tabs>
        <w:ind w:left="-860" w:hanging="360"/>
      </w:pPr>
      <w:rPr>
        <w:rFonts w:ascii="Courier New" w:hAnsi="Courier New" w:cs="Courier New" w:hint="default"/>
      </w:rPr>
    </w:lvl>
    <w:lvl w:ilvl="5">
      <w:start w:val="1"/>
      <w:numFmt w:val="bullet"/>
      <w:lvlText w:val=""/>
      <w:lvlJc w:val="left"/>
      <w:pPr>
        <w:tabs>
          <w:tab w:val="left" w:pos="-140"/>
        </w:tabs>
        <w:ind w:left="-140" w:hanging="360"/>
      </w:pPr>
      <w:rPr>
        <w:rFonts w:ascii="Wingdings" w:hAnsi="Wingdings" w:hint="default"/>
      </w:rPr>
    </w:lvl>
    <w:lvl w:ilvl="6">
      <w:start w:val="1"/>
      <w:numFmt w:val="bullet"/>
      <w:lvlText w:val=""/>
      <w:lvlJc w:val="left"/>
      <w:pPr>
        <w:tabs>
          <w:tab w:val="left" w:pos="580"/>
        </w:tabs>
        <w:ind w:left="580" w:hanging="360"/>
      </w:pPr>
      <w:rPr>
        <w:rFonts w:ascii="Symbol" w:hAnsi="Symbol" w:hint="default"/>
      </w:rPr>
    </w:lvl>
    <w:lvl w:ilvl="7">
      <w:start w:val="1"/>
      <w:numFmt w:val="bullet"/>
      <w:lvlText w:val="o"/>
      <w:lvlJc w:val="left"/>
      <w:pPr>
        <w:tabs>
          <w:tab w:val="left" w:pos="1300"/>
        </w:tabs>
        <w:ind w:left="1300" w:hanging="360"/>
      </w:pPr>
      <w:rPr>
        <w:rFonts w:ascii="Courier New" w:hAnsi="Courier New" w:cs="Courier New" w:hint="default"/>
      </w:rPr>
    </w:lvl>
    <w:lvl w:ilvl="8">
      <w:start w:val="1"/>
      <w:numFmt w:val="bullet"/>
      <w:lvlText w:val=""/>
      <w:lvlJc w:val="left"/>
      <w:pPr>
        <w:tabs>
          <w:tab w:val="left" w:pos="2020"/>
        </w:tabs>
        <w:ind w:left="2020" w:hanging="360"/>
      </w:pPr>
      <w:rPr>
        <w:rFonts w:ascii="Wingdings" w:hAnsi="Wingdings" w:hint="default"/>
      </w:rPr>
    </w:lvl>
  </w:abstractNum>
  <w:abstractNum w:abstractNumId="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5BD426E3"/>
    <w:multiLevelType w:val="singleLevel"/>
    <w:tmpl w:val="5BD426E3"/>
    <w:lvl w:ilvl="0">
      <w:start w:val="1"/>
      <w:numFmt w:val="decimal"/>
      <w:suff w:val="space"/>
      <w:lvlText w:val="(%1)"/>
      <w:lvlJc w:val="left"/>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1DE5"/>
    <w:rsid w:val="000C236D"/>
    <w:rsid w:val="000C2690"/>
    <w:rsid w:val="000C364E"/>
    <w:rsid w:val="000C5D4C"/>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C4ECD"/>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2C22"/>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3F24"/>
    <w:rsid w:val="003B448B"/>
    <w:rsid w:val="003B47C6"/>
    <w:rsid w:val="003B774C"/>
    <w:rsid w:val="003B79ED"/>
    <w:rsid w:val="003C3E62"/>
    <w:rsid w:val="003C7CA2"/>
    <w:rsid w:val="003D01E0"/>
    <w:rsid w:val="003D0EF8"/>
    <w:rsid w:val="003D1455"/>
    <w:rsid w:val="003D2B72"/>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6D82"/>
    <w:rsid w:val="004B71F4"/>
    <w:rsid w:val="004B76B6"/>
    <w:rsid w:val="004C0B5E"/>
    <w:rsid w:val="004C16C3"/>
    <w:rsid w:val="004C16F8"/>
    <w:rsid w:val="004C6366"/>
    <w:rsid w:val="004C63EE"/>
    <w:rsid w:val="004C69B2"/>
    <w:rsid w:val="004D1073"/>
    <w:rsid w:val="004D1EE6"/>
    <w:rsid w:val="004D238B"/>
    <w:rsid w:val="004D39A3"/>
    <w:rsid w:val="004D7034"/>
    <w:rsid w:val="004E06BE"/>
    <w:rsid w:val="004E19E7"/>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2CD6"/>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234D"/>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676F4"/>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4CEF"/>
    <w:rsid w:val="008C594A"/>
    <w:rsid w:val="008D1DAC"/>
    <w:rsid w:val="008D23AF"/>
    <w:rsid w:val="008D3A05"/>
    <w:rsid w:val="008D3E0C"/>
    <w:rsid w:val="008D681A"/>
    <w:rsid w:val="008D6B1A"/>
    <w:rsid w:val="008D6D38"/>
    <w:rsid w:val="008E0617"/>
    <w:rsid w:val="008E4F9E"/>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35739"/>
    <w:rsid w:val="00A379F5"/>
    <w:rsid w:val="00A44BE1"/>
    <w:rsid w:val="00A4500D"/>
    <w:rsid w:val="00A504A8"/>
    <w:rsid w:val="00A520E0"/>
    <w:rsid w:val="00A542B8"/>
    <w:rsid w:val="00A54719"/>
    <w:rsid w:val="00A5709E"/>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3EBC"/>
    <w:rsid w:val="00AE5146"/>
    <w:rsid w:val="00AE55C5"/>
    <w:rsid w:val="00AE5A4F"/>
    <w:rsid w:val="00AE7B16"/>
    <w:rsid w:val="00AF0B65"/>
    <w:rsid w:val="00AF7EEF"/>
    <w:rsid w:val="00B002E0"/>
    <w:rsid w:val="00B0053F"/>
    <w:rsid w:val="00B0132A"/>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D45"/>
    <w:rsid w:val="00CA501F"/>
    <w:rsid w:val="00CA59FA"/>
    <w:rsid w:val="00CA61CF"/>
    <w:rsid w:val="00CB1749"/>
    <w:rsid w:val="00CB3A9F"/>
    <w:rsid w:val="00CB5048"/>
    <w:rsid w:val="00CC0888"/>
    <w:rsid w:val="00CC10DA"/>
    <w:rsid w:val="00CC156D"/>
    <w:rsid w:val="00CC58C3"/>
    <w:rsid w:val="00CD229F"/>
    <w:rsid w:val="00CD6476"/>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32D7"/>
    <w:rsid w:val="00DD42F9"/>
    <w:rsid w:val="00DD5B6C"/>
    <w:rsid w:val="00DD751C"/>
    <w:rsid w:val="00DE1B4A"/>
    <w:rsid w:val="00DE2CFF"/>
    <w:rsid w:val="00DE3330"/>
    <w:rsid w:val="00DE3F95"/>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DA8"/>
    <w:rsid w:val="00F1322B"/>
    <w:rsid w:val="00F13699"/>
    <w:rsid w:val="00F16AB3"/>
    <w:rsid w:val="00F25BEF"/>
    <w:rsid w:val="00F270BA"/>
    <w:rsid w:val="00F308AF"/>
    <w:rsid w:val="00F30F7A"/>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63"/>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F0207"/>
    <w:rsid w:val="01B354EB"/>
    <w:rsid w:val="01B409B2"/>
    <w:rsid w:val="01C8528C"/>
    <w:rsid w:val="01E4753D"/>
    <w:rsid w:val="01F44989"/>
    <w:rsid w:val="01F6071A"/>
    <w:rsid w:val="02105BCC"/>
    <w:rsid w:val="0213188C"/>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CD3963"/>
    <w:rsid w:val="03D86161"/>
    <w:rsid w:val="04115871"/>
    <w:rsid w:val="04176266"/>
    <w:rsid w:val="04231D6E"/>
    <w:rsid w:val="043E3BD3"/>
    <w:rsid w:val="04451713"/>
    <w:rsid w:val="044649A9"/>
    <w:rsid w:val="044838E4"/>
    <w:rsid w:val="044F3FE8"/>
    <w:rsid w:val="046A58D4"/>
    <w:rsid w:val="04746FED"/>
    <w:rsid w:val="047E4A8F"/>
    <w:rsid w:val="04865192"/>
    <w:rsid w:val="048E11A9"/>
    <w:rsid w:val="0496225D"/>
    <w:rsid w:val="049F212F"/>
    <w:rsid w:val="04A25F99"/>
    <w:rsid w:val="04AC1919"/>
    <w:rsid w:val="04BA557B"/>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A296B"/>
    <w:rsid w:val="068F29C7"/>
    <w:rsid w:val="069713C1"/>
    <w:rsid w:val="06A12C88"/>
    <w:rsid w:val="06B07AFB"/>
    <w:rsid w:val="06B82D78"/>
    <w:rsid w:val="06D37910"/>
    <w:rsid w:val="06D5029F"/>
    <w:rsid w:val="06D73D91"/>
    <w:rsid w:val="06E36D26"/>
    <w:rsid w:val="06E53061"/>
    <w:rsid w:val="07043F22"/>
    <w:rsid w:val="07125F5D"/>
    <w:rsid w:val="07271B20"/>
    <w:rsid w:val="072C0558"/>
    <w:rsid w:val="073A2A17"/>
    <w:rsid w:val="0755365E"/>
    <w:rsid w:val="07630AC6"/>
    <w:rsid w:val="07847096"/>
    <w:rsid w:val="07940728"/>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91F1E33"/>
    <w:rsid w:val="0926712F"/>
    <w:rsid w:val="093F645D"/>
    <w:rsid w:val="094023AA"/>
    <w:rsid w:val="094E4F95"/>
    <w:rsid w:val="094F44E3"/>
    <w:rsid w:val="096275FE"/>
    <w:rsid w:val="096F3C95"/>
    <w:rsid w:val="09807390"/>
    <w:rsid w:val="098C23B7"/>
    <w:rsid w:val="09944C95"/>
    <w:rsid w:val="09A2202C"/>
    <w:rsid w:val="09C0148B"/>
    <w:rsid w:val="09C270D8"/>
    <w:rsid w:val="09E1487C"/>
    <w:rsid w:val="09E674F4"/>
    <w:rsid w:val="0A266AA0"/>
    <w:rsid w:val="0A41647C"/>
    <w:rsid w:val="0A436C11"/>
    <w:rsid w:val="0A456B06"/>
    <w:rsid w:val="0A4C3F6C"/>
    <w:rsid w:val="0A520548"/>
    <w:rsid w:val="0A651D55"/>
    <w:rsid w:val="0A6A7198"/>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8B13F4"/>
    <w:rsid w:val="0B94771A"/>
    <w:rsid w:val="0B9D71F4"/>
    <w:rsid w:val="0BB27267"/>
    <w:rsid w:val="0BE004CF"/>
    <w:rsid w:val="0BE120C4"/>
    <w:rsid w:val="0BE57B4E"/>
    <w:rsid w:val="0BF83F28"/>
    <w:rsid w:val="0C233C96"/>
    <w:rsid w:val="0C3255F2"/>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C43254"/>
    <w:rsid w:val="0DE612E3"/>
    <w:rsid w:val="0E17220C"/>
    <w:rsid w:val="0E1A4622"/>
    <w:rsid w:val="0E265F60"/>
    <w:rsid w:val="0E4A521D"/>
    <w:rsid w:val="0E4F3F26"/>
    <w:rsid w:val="0E707012"/>
    <w:rsid w:val="0E734461"/>
    <w:rsid w:val="0E7E6721"/>
    <w:rsid w:val="0E927861"/>
    <w:rsid w:val="0EA04D7B"/>
    <w:rsid w:val="0EA4482A"/>
    <w:rsid w:val="0EA926E0"/>
    <w:rsid w:val="0EC132D7"/>
    <w:rsid w:val="0ED42BAF"/>
    <w:rsid w:val="0EDC3297"/>
    <w:rsid w:val="0EE700B0"/>
    <w:rsid w:val="0EEE41C4"/>
    <w:rsid w:val="0F0E6CDB"/>
    <w:rsid w:val="0F4340EF"/>
    <w:rsid w:val="0F5F1287"/>
    <w:rsid w:val="0F685729"/>
    <w:rsid w:val="0F70152C"/>
    <w:rsid w:val="0FBB79D4"/>
    <w:rsid w:val="0FDB1049"/>
    <w:rsid w:val="0FE322F6"/>
    <w:rsid w:val="0FF8213F"/>
    <w:rsid w:val="10133D23"/>
    <w:rsid w:val="102F5257"/>
    <w:rsid w:val="103C1F37"/>
    <w:rsid w:val="103E22B2"/>
    <w:rsid w:val="106E070C"/>
    <w:rsid w:val="107B7D51"/>
    <w:rsid w:val="108E0412"/>
    <w:rsid w:val="10910A6C"/>
    <w:rsid w:val="10A678EB"/>
    <w:rsid w:val="10C73835"/>
    <w:rsid w:val="10E04525"/>
    <w:rsid w:val="10E131D4"/>
    <w:rsid w:val="10E75ECD"/>
    <w:rsid w:val="10FE02D8"/>
    <w:rsid w:val="110932A9"/>
    <w:rsid w:val="110F2DD6"/>
    <w:rsid w:val="11107D8C"/>
    <w:rsid w:val="111E737C"/>
    <w:rsid w:val="114C7F4B"/>
    <w:rsid w:val="11506F9E"/>
    <w:rsid w:val="11686778"/>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DD13AC"/>
    <w:rsid w:val="12F41B54"/>
    <w:rsid w:val="132D5EA4"/>
    <w:rsid w:val="13343190"/>
    <w:rsid w:val="13343A7F"/>
    <w:rsid w:val="1357550B"/>
    <w:rsid w:val="13773724"/>
    <w:rsid w:val="1384235E"/>
    <w:rsid w:val="13933000"/>
    <w:rsid w:val="139C112D"/>
    <w:rsid w:val="13AD4C79"/>
    <w:rsid w:val="13B951C8"/>
    <w:rsid w:val="13C949BF"/>
    <w:rsid w:val="13D43211"/>
    <w:rsid w:val="13D75C00"/>
    <w:rsid w:val="13E30B7D"/>
    <w:rsid w:val="13E754BB"/>
    <w:rsid w:val="13ED04A7"/>
    <w:rsid w:val="13FB5DAF"/>
    <w:rsid w:val="1402132F"/>
    <w:rsid w:val="140947EE"/>
    <w:rsid w:val="141C2462"/>
    <w:rsid w:val="14413E76"/>
    <w:rsid w:val="144A0D85"/>
    <w:rsid w:val="1450192B"/>
    <w:rsid w:val="145A1D5A"/>
    <w:rsid w:val="146C12BB"/>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C06260"/>
    <w:rsid w:val="15DD4A1C"/>
    <w:rsid w:val="15E63CE9"/>
    <w:rsid w:val="15FB0C10"/>
    <w:rsid w:val="16263368"/>
    <w:rsid w:val="168521B8"/>
    <w:rsid w:val="16A43C8F"/>
    <w:rsid w:val="16A5270A"/>
    <w:rsid w:val="16BE464B"/>
    <w:rsid w:val="16D61CD9"/>
    <w:rsid w:val="16E74CBD"/>
    <w:rsid w:val="1705748E"/>
    <w:rsid w:val="170A4371"/>
    <w:rsid w:val="17122A26"/>
    <w:rsid w:val="174B31A0"/>
    <w:rsid w:val="175B1D16"/>
    <w:rsid w:val="17793E43"/>
    <w:rsid w:val="1793303A"/>
    <w:rsid w:val="179C79A4"/>
    <w:rsid w:val="17CB7C49"/>
    <w:rsid w:val="17D52F7B"/>
    <w:rsid w:val="17EB75B0"/>
    <w:rsid w:val="17F5084F"/>
    <w:rsid w:val="1829310B"/>
    <w:rsid w:val="1834222F"/>
    <w:rsid w:val="184115C6"/>
    <w:rsid w:val="18440068"/>
    <w:rsid w:val="1847296F"/>
    <w:rsid w:val="18502972"/>
    <w:rsid w:val="18937665"/>
    <w:rsid w:val="18A5771F"/>
    <w:rsid w:val="18AF74E1"/>
    <w:rsid w:val="18D45411"/>
    <w:rsid w:val="18DA6EB6"/>
    <w:rsid w:val="18FF0AF3"/>
    <w:rsid w:val="190E7C32"/>
    <w:rsid w:val="191B17E9"/>
    <w:rsid w:val="191F38B0"/>
    <w:rsid w:val="1951139B"/>
    <w:rsid w:val="195600F1"/>
    <w:rsid w:val="19595274"/>
    <w:rsid w:val="197141ED"/>
    <w:rsid w:val="197242F0"/>
    <w:rsid w:val="1975293B"/>
    <w:rsid w:val="19934AEB"/>
    <w:rsid w:val="199D37F0"/>
    <w:rsid w:val="19AD7663"/>
    <w:rsid w:val="19BC030D"/>
    <w:rsid w:val="19DE008F"/>
    <w:rsid w:val="19E0148D"/>
    <w:rsid w:val="19E675DB"/>
    <w:rsid w:val="1A523105"/>
    <w:rsid w:val="1A5562D2"/>
    <w:rsid w:val="1A61483A"/>
    <w:rsid w:val="1A7857C1"/>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200F4543"/>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5E6D09"/>
    <w:rsid w:val="21737460"/>
    <w:rsid w:val="2176492F"/>
    <w:rsid w:val="217860C5"/>
    <w:rsid w:val="21857E28"/>
    <w:rsid w:val="21B97C69"/>
    <w:rsid w:val="21E26D67"/>
    <w:rsid w:val="21EA0286"/>
    <w:rsid w:val="21EC5465"/>
    <w:rsid w:val="21F26FDC"/>
    <w:rsid w:val="21FC4A83"/>
    <w:rsid w:val="220348F7"/>
    <w:rsid w:val="22035AF9"/>
    <w:rsid w:val="22156802"/>
    <w:rsid w:val="222728F6"/>
    <w:rsid w:val="22364573"/>
    <w:rsid w:val="22375393"/>
    <w:rsid w:val="22417F46"/>
    <w:rsid w:val="224B424C"/>
    <w:rsid w:val="226709A2"/>
    <w:rsid w:val="228976EC"/>
    <w:rsid w:val="228B310C"/>
    <w:rsid w:val="22C45D17"/>
    <w:rsid w:val="232421E8"/>
    <w:rsid w:val="233272DB"/>
    <w:rsid w:val="233D26C0"/>
    <w:rsid w:val="234E59AA"/>
    <w:rsid w:val="2376738D"/>
    <w:rsid w:val="238F48B8"/>
    <w:rsid w:val="23925C55"/>
    <w:rsid w:val="23BB37E6"/>
    <w:rsid w:val="23C553C2"/>
    <w:rsid w:val="23E311E5"/>
    <w:rsid w:val="23E733FC"/>
    <w:rsid w:val="23E863E8"/>
    <w:rsid w:val="241D53E4"/>
    <w:rsid w:val="242C6363"/>
    <w:rsid w:val="24560AE2"/>
    <w:rsid w:val="24753D7B"/>
    <w:rsid w:val="24794836"/>
    <w:rsid w:val="248C391F"/>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E540FF"/>
    <w:rsid w:val="25FE3FFD"/>
    <w:rsid w:val="26106F39"/>
    <w:rsid w:val="2611201A"/>
    <w:rsid w:val="26295320"/>
    <w:rsid w:val="262C2F09"/>
    <w:rsid w:val="26533224"/>
    <w:rsid w:val="26541061"/>
    <w:rsid w:val="26553200"/>
    <w:rsid w:val="26895BB9"/>
    <w:rsid w:val="26C54B9B"/>
    <w:rsid w:val="26C6512F"/>
    <w:rsid w:val="26FF3DC8"/>
    <w:rsid w:val="27341C3F"/>
    <w:rsid w:val="274A262D"/>
    <w:rsid w:val="277C6089"/>
    <w:rsid w:val="27832A74"/>
    <w:rsid w:val="27A449A7"/>
    <w:rsid w:val="27B04B6F"/>
    <w:rsid w:val="27BC433E"/>
    <w:rsid w:val="27CE139A"/>
    <w:rsid w:val="27D36D51"/>
    <w:rsid w:val="27E63AB6"/>
    <w:rsid w:val="27F231DD"/>
    <w:rsid w:val="28182E87"/>
    <w:rsid w:val="28227F9C"/>
    <w:rsid w:val="282B4784"/>
    <w:rsid w:val="283213CA"/>
    <w:rsid w:val="285C6B52"/>
    <w:rsid w:val="285E7169"/>
    <w:rsid w:val="286058ED"/>
    <w:rsid w:val="286A2F3B"/>
    <w:rsid w:val="2880022D"/>
    <w:rsid w:val="2887164E"/>
    <w:rsid w:val="288B2E18"/>
    <w:rsid w:val="288C17F1"/>
    <w:rsid w:val="28A843B1"/>
    <w:rsid w:val="28EB1022"/>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5657FE"/>
    <w:rsid w:val="2A606A48"/>
    <w:rsid w:val="2A7245E7"/>
    <w:rsid w:val="2A872DBF"/>
    <w:rsid w:val="2A9B6F1B"/>
    <w:rsid w:val="2A9E60D9"/>
    <w:rsid w:val="2AA07DD6"/>
    <w:rsid w:val="2AA665FD"/>
    <w:rsid w:val="2AAA79B8"/>
    <w:rsid w:val="2ABD2F95"/>
    <w:rsid w:val="2AC43F9F"/>
    <w:rsid w:val="2AEA6E89"/>
    <w:rsid w:val="2AEF61FA"/>
    <w:rsid w:val="2B0738F0"/>
    <w:rsid w:val="2B0E0F65"/>
    <w:rsid w:val="2B2B3C41"/>
    <w:rsid w:val="2B374C7F"/>
    <w:rsid w:val="2B3F420A"/>
    <w:rsid w:val="2B510311"/>
    <w:rsid w:val="2B593E95"/>
    <w:rsid w:val="2B73625C"/>
    <w:rsid w:val="2B7D13CC"/>
    <w:rsid w:val="2B886CA9"/>
    <w:rsid w:val="2BA13AB1"/>
    <w:rsid w:val="2BD94617"/>
    <w:rsid w:val="2BDD4799"/>
    <w:rsid w:val="2BE661F4"/>
    <w:rsid w:val="2C00402D"/>
    <w:rsid w:val="2C182591"/>
    <w:rsid w:val="2C281BF6"/>
    <w:rsid w:val="2C3F1B10"/>
    <w:rsid w:val="2C41711C"/>
    <w:rsid w:val="2C494CC5"/>
    <w:rsid w:val="2C4C4186"/>
    <w:rsid w:val="2C4C5BF6"/>
    <w:rsid w:val="2C73323A"/>
    <w:rsid w:val="2C9143E1"/>
    <w:rsid w:val="2CA305D6"/>
    <w:rsid w:val="2CBE1CB5"/>
    <w:rsid w:val="2CD4046F"/>
    <w:rsid w:val="2CD41FB2"/>
    <w:rsid w:val="2CE04532"/>
    <w:rsid w:val="2CFF72A5"/>
    <w:rsid w:val="2D061D52"/>
    <w:rsid w:val="2D0A7297"/>
    <w:rsid w:val="2D127501"/>
    <w:rsid w:val="2D367ADE"/>
    <w:rsid w:val="2D3E5D39"/>
    <w:rsid w:val="2DB274B3"/>
    <w:rsid w:val="2DC87D91"/>
    <w:rsid w:val="2DD30CAC"/>
    <w:rsid w:val="2DD73448"/>
    <w:rsid w:val="2DE51AAD"/>
    <w:rsid w:val="2DE70634"/>
    <w:rsid w:val="2E0401E7"/>
    <w:rsid w:val="2E05745B"/>
    <w:rsid w:val="2E1B2ADA"/>
    <w:rsid w:val="2E1B3A12"/>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F3A4D"/>
    <w:rsid w:val="2F2371DB"/>
    <w:rsid w:val="2F262727"/>
    <w:rsid w:val="2F4558F1"/>
    <w:rsid w:val="2F585C14"/>
    <w:rsid w:val="2F784790"/>
    <w:rsid w:val="2F7B36A8"/>
    <w:rsid w:val="2F8A30B2"/>
    <w:rsid w:val="2F9A3401"/>
    <w:rsid w:val="2F9B7AFC"/>
    <w:rsid w:val="2FAA4840"/>
    <w:rsid w:val="2FAA5E1A"/>
    <w:rsid w:val="2FAB4623"/>
    <w:rsid w:val="2FDF6214"/>
    <w:rsid w:val="300A43D0"/>
    <w:rsid w:val="30264A9E"/>
    <w:rsid w:val="302978F9"/>
    <w:rsid w:val="302E6167"/>
    <w:rsid w:val="303C3B19"/>
    <w:rsid w:val="303F6650"/>
    <w:rsid w:val="304F24A5"/>
    <w:rsid w:val="307C1A65"/>
    <w:rsid w:val="3095526B"/>
    <w:rsid w:val="30A20279"/>
    <w:rsid w:val="30A92458"/>
    <w:rsid w:val="30EC572A"/>
    <w:rsid w:val="30FD79BE"/>
    <w:rsid w:val="3100405D"/>
    <w:rsid w:val="3111395C"/>
    <w:rsid w:val="31174211"/>
    <w:rsid w:val="31216170"/>
    <w:rsid w:val="315622FC"/>
    <w:rsid w:val="315D1164"/>
    <w:rsid w:val="315F2BB6"/>
    <w:rsid w:val="3173104B"/>
    <w:rsid w:val="317D38B1"/>
    <w:rsid w:val="317D6B35"/>
    <w:rsid w:val="319A62AF"/>
    <w:rsid w:val="31A30319"/>
    <w:rsid w:val="31B50898"/>
    <w:rsid w:val="31B62FDB"/>
    <w:rsid w:val="31F40CC4"/>
    <w:rsid w:val="31F45A41"/>
    <w:rsid w:val="31FF4B7E"/>
    <w:rsid w:val="322E77DB"/>
    <w:rsid w:val="32983099"/>
    <w:rsid w:val="32AA5592"/>
    <w:rsid w:val="32AD61A5"/>
    <w:rsid w:val="32C750C6"/>
    <w:rsid w:val="32DD16EB"/>
    <w:rsid w:val="32E514D5"/>
    <w:rsid w:val="32E75DA8"/>
    <w:rsid w:val="32ED4E1B"/>
    <w:rsid w:val="32F653C3"/>
    <w:rsid w:val="33052E5A"/>
    <w:rsid w:val="3310693E"/>
    <w:rsid w:val="332610BF"/>
    <w:rsid w:val="332C6B8B"/>
    <w:rsid w:val="334108DC"/>
    <w:rsid w:val="334A79F3"/>
    <w:rsid w:val="33540CA5"/>
    <w:rsid w:val="33572664"/>
    <w:rsid w:val="337C27BA"/>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6618B"/>
    <w:rsid w:val="36487758"/>
    <w:rsid w:val="364936C7"/>
    <w:rsid w:val="3654745F"/>
    <w:rsid w:val="36582751"/>
    <w:rsid w:val="36645310"/>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48A1"/>
    <w:rsid w:val="376D7868"/>
    <w:rsid w:val="378C59A0"/>
    <w:rsid w:val="37A15AB9"/>
    <w:rsid w:val="37CA0B99"/>
    <w:rsid w:val="37D1690E"/>
    <w:rsid w:val="37E474EC"/>
    <w:rsid w:val="37E93735"/>
    <w:rsid w:val="380D144E"/>
    <w:rsid w:val="382637C8"/>
    <w:rsid w:val="382A53D5"/>
    <w:rsid w:val="383652ED"/>
    <w:rsid w:val="384A38BD"/>
    <w:rsid w:val="385701A2"/>
    <w:rsid w:val="38633F4E"/>
    <w:rsid w:val="386844B4"/>
    <w:rsid w:val="38AC792F"/>
    <w:rsid w:val="38BB1341"/>
    <w:rsid w:val="38D73A2D"/>
    <w:rsid w:val="38DA351E"/>
    <w:rsid w:val="38F7631F"/>
    <w:rsid w:val="3909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A0854"/>
    <w:rsid w:val="3A4A6214"/>
    <w:rsid w:val="3A4E4899"/>
    <w:rsid w:val="3A55790B"/>
    <w:rsid w:val="3A6A57DE"/>
    <w:rsid w:val="3A707D13"/>
    <w:rsid w:val="3AB91AEA"/>
    <w:rsid w:val="3ABC357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E85FC8"/>
    <w:rsid w:val="3BF0761E"/>
    <w:rsid w:val="3BFF77BC"/>
    <w:rsid w:val="3C0B7004"/>
    <w:rsid w:val="3C1A6E6A"/>
    <w:rsid w:val="3C1D1C7C"/>
    <w:rsid w:val="3C2016F2"/>
    <w:rsid w:val="3C224EAA"/>
    <w:rsid w:val="3C350589"/>
    <w:rsid w:val="3C37454C"/>
    <w:rsid w:val="3C456A68"/>
    <w:rsid w:val="3C4F16C1"/>
    <w:rsid w:val="3C5D7DF9"/>
    <w:rsid w:val="3C5F21BE"/>
    <w:rsid w:val="3C6C130F"/>
    <w:rsid w:val="3C6D6947"/>
    <w:rsid w:val="3C7A55D0"/>
    <w:rsid w:val="3C8D2BCF"/>
    <w:rsid w:val="3C9A2A62"/>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735B9C"/>
    <w:rsid w:val="3E7C330F"/>
    <w:rsid w:val="3E820130"/>
    <w:rsid w:val="3E9E1F7D"/>
    <w:rsid w:val="3EA24B53"/>
    <w:rsid w:val="3EDB49C2"/>
    <w:rsid w:val="3EDE48BA"/>
    <w:rsid w:val="3EDE49B2"/>
    <w:rsid w:val="3EE21E99"/>
    <w:rsid w:val="3EE34A5F"/>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D506EB"/>
    <w:rsid w:val="40D92496"/>
    <w:rsid w:val="40D96DD7"/>
    <w:rsid w:val="40E32E0B"/>
    <w:rsid w:val="40F5602D"/>
    <w:rsid w:val="40F6786B"/>
    <w:rsid w:val="414B4E9A"/>
    <w:rsid w:val="415347E5"/>
    <w:rsid w:val="4179452B"/>
    <w:rsid w:val="41802526"/>
    <w:rsid w:val="41907EC1"/>
    <w:rsid w:val="41AA5A16"/>
    <w:rsid w:val="41AA6FCA"/>
    <w:rsid w:val="41CF3ABC"/>
    <w:rsid w:val="41E31098"/>
    <w:rsid w:val="41EA60D8"/>
    <w:rsid w:val="421173AB"/>
    <w:rsid w:val="421604DA"/>
    <w:rsid w:val="422F7DEF"/>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041CC2"/>
    <w:rsid w:val="441E042F"/>
    <w:rsid w:val="443950F3"/>
    <w:rsid w:val="44517EB5"/>
    <w:rsid w:val="44535D73"/>
    <w:rsid w:val="445E0466"/>
    <w:rsid w:val="446D333E"/>
    <w:rsid w:val="447A4BFE"/>
    <w:rsid w:val="449D3CBD"/>
    <w:rsid w:val="44B67F44"/>
    <w:rsid w:val="44B92BFD"/>
    <w:rsid w:val="44C70D28"/>
    <w:rsid w:val="44CA6E76"/>
    <w:rsid w:val="44F6488D"/>
    <w:rsid w:val="4502051D"/>
    <w:rsid w:val="45044A12"/>
    <w:rsid w:val="450E6E77"/>
    <w:rsid w:val="451C7198"/>
    <w:rsid w:val="45282A9A"/>
    <w:rsid w:val="45285B35"/>
    <w:rsid w:val="45334A20"/>
    <w:rsid w:val="453C14B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E64059"/>
    <w:rsid w:val="46F4701B"/>
    <w:rsid w:val="470348BC"/>
    <w:rsid w:val="4711691D"/>
    <w:rsid w:val="47205FEA"/>
    <w:rsid w:val="472D388D"/>
    <w:rsid w:val="4733684A"/>
    <w:rsid w:val="47481121"/>
    <w:rsid w:val="475B2369"/>
    <w:rsid w:val="476843F5"/>
    <w:rsid w:val="477A3C84"/>
    <w:rsid w:val="477D700D"/>
    <w:rsid w:val="478A42F6"/>
    <w:rsid w:val="47984A0A"/>
    <w:rsid w:val="47A54513"/>
    <w:rsid w:val="47A738C8"/>
    <w:rsid w:val="47BA40D3"/>
    <w:rsid w:val="47C1550A"/>
    <w:rsid w:val="47E52D99"/>
    <w:rsid w:val="47F31436"/>
    <w:rsid w:val="48071572"/>
    <w:rsid w:val="48083C5D"/>
    <w:rsid w:val="48121407"/>
    <w:rsid w:val="48246406"/>
    <w:rsid w:val="482D1C7F"/>
    <w:rsid w:val="482F1D5A"/>
    <w:rsid w:val="48376C36"/>
    <w:rsid w:val="48444BA9"/>
    <w:rsid w:val="487E44EF"/>
    <w:rsid w:val="48934611"/>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247675"/>
    <w:rsid w:val="4A264531"/>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E25DB6"/>
    <w:rsid w:val="4CE809C5"/>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1120212"/>
    <w:rsid w:val="515446E1"/>
    <w:rsid w:val="516119DC"/>
    <w:rsid w:val="51641704"/>
    <w:rsid w:val="51655D6D"/>
    <w:rsid w:val="518B01EE"/>
    <w:rsid w:val="518F35F9"/>
    <w:rsid w:val="519227B6"/>
    <w:rsid w:val="51A47477"/>
    <w:rsid w:val="51A646BE"/>
    <w:rsid w:val="51A86CBD"/>
    <w:rsid w:val="51B37EEF"/>
    <w:rsid w:val="51C47D1F"/>
    <w:rsid w:val="51CA619A"/>
    <w:rsid w:val="51D10C5E"/>
    <w:rsid w:val="51D424E4"/>
    <w:rsid w:val="51DE6E19"/>
    <w:rsid w:val="51EC2CA5"/>
    <w:rsid w:val="51F704C3"/>
    <w:rsid w:val="52184844"/>
    <w:rsid w:val="52196CD6"/>
    <w:rsid w:val="52273196"/>
    <w:rsid w:val="52391CB6"/>
    <w:rsid w:val="523F42A6"/>
    <w:rsid w:val="52436DC1"/>
    <w:rsid w:val="524B2422"/>
    <w:rsid w:val="526F7059"/>
    <w:rsid w:val="527C6745"/>
    <w:rsid w:val="528D53DC"/>
    <w:rsid w:val="52A54636"/>
    <w:rsid w:val="52BD2046"/>
    <w:rsid w:val="52D20B31"/>
    <w:rsid w:val="52D403EF"/>
    <w:rsid w:val="52D80B2A"/>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786028"/>
    <w:rsid w:val="54814751"/>
    <w:rsid w:val="548F58A2"/>
    <w:rsid w:val="5490586C"/>
    <w:rsid w:val="54983250"/>
    <w:rsid w:val="549C3CF7"/>
    <w:rsid w:val="54A45DAC"/>
    <w:rsid w:val="54A6767D"/>
    <w:rsid w:val="54C1659F"/>
    <w:rsid w:val="54CC7DCA"/>
    <w:rsid w:val="54D55D85"/>
    <w:rsid w:val="54E125DB"/>
    <w:rsid w:val="54F6543C"/>
    <w:rsid w:val="550A4C45"/>
    <w:rsid w:val="55130658"/>
    <w:rsid w:val="554F2951"/>
    <w:rsid w:val="55563B6B"/>
    <w:rsid w:val="55651866"/>
    <w:rsid w:val="5567153C"/>
    <w:rsid w:val="556D0395"/>
    <w:rsid w:val="55754396"/>
    <w:rsid w:val="557645CB"/>
    <w:rsid w:val="55783BA2"/>
    <w:rsid w:val="55F064F6"/>
    <w:rsid w:val="55F82D46"/>
    <w:rsid w:val="56362315"/>
    <w:rsid w:val="56493897"/>
    <w:rsid w:val="5658660E"/>
    <w:rsid w:val="56830D82"/>
    <w:rsid w:val="568A7FA4"/>
    <w:rsid w:val="569158C1"/>
    <w:rsid w:val="56952F1F"/>
    <w:rsid w:val="56B741DC"/>
    <w:rsid w:val="56CC7516"/>
    <w:rsid w:val="56E13AAA"/>
    <w:rsid w:val="56E542E1"/>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6123EF"/>
    <w:rsid w:val="5A895545"/>
    <w:rsid w:val="5AAA5AA7"/>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6962A5"/>
    <w:rsid w:val="5C723D2D"/>
    <w:rsid w:val="5CB07905"/>
    <w:rsid w:val="5CB86304"/>
    <w:rsid w:val="5CD87253"/>
    <w:rsid w:val="5CDB1300"/>
    <w:rsid w:val="5CE97CF5"/>
    <w:rsid w:val="5CFF4BE8"/>
    <w:rsid w:val="5D016B3E"/>
    <w:rsid w:val="5D0C746D"/>
    <w:rsid w:val="5D1B3921"/>
    <w:rsid w:val="5D2E30EC"/>
    <w:rsid w:val="5D3D5B2F"/>
    <w:rsid w:val="5D4727AF"/>
    <w:rsid w:val="5D5501F2"/>
    <w:rsid w:val="5D56422B"/>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BD7FB0"/>
    <w:rsid w:val="61BE5E4F"/>
    <w:rsid w:val="61DE1F1F"/>
    <w:rsid w:val="620058CC"/>
    <w:rsid w:val="6206482C"/>
    <w:rsid w:val="62147C23"/>
    <w:rsid w:val="621A2AEC"/>
    <w:rsid w:val="623D278F"/>
    <w:rsid w:val="624D069F"/>
    <w:rsid w:val="625178BB"/>
    <w:rsid w:val="625A189F"/>
    <w:rsid w:val="62626296"/>
    <w:rsid w:val="62651205"/>
    <w:rsid w:val="62674356"/>
    <w:rsid w:val="62685560"/>
    <w:rsid w:val="6275091F"/>
    <w:rsid w:val="628E5653"/>
    <w:rsid w:val="629D61EC"/>
    <w:rsid w:val="62B6094A"/>
    <w:rsid w:val="62D00E03"/>
    <w:rsid w:val="62D31364"/>
    <w:rsid w:val="635555EB"/>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F00F5"/>
    <w:rsid w:val="65DA4B96"/>
    <w:rsid w:val="65DE5BAE"/>
    <w:rsid w:val="65E04577"/>
    <w:rsid w:val="65EF7DFF"/>
    <w:rsid w:val="66135046"/>
    <w:rsid w:val="66200813"/>
    <w:rsid w:val="66322707"/>
    <w:rsid w:val="667A0598"/>
    <w:rsid w:val="667C6F02"/>
    <w:rsid w:val="6682467B"/>
    <w:rsid w:val="669022B7"/>
    <w:rsid w:val="66940A39"/>
    <w:rsid w:val="66B4536C"/>
    <w:rsid w:val="66CA5E5F"/>
    <w:rsid w:val="66E710BA"/>
    <w:rsid w:val="66ED62BD"/>
    <w:rsid w:val="670A3373"/>
    <w:rsid w:val="67164009"/>
    <w:rsid w:val="671A520A"/>
    <w:rsid w:val="671B7213"/>
    <w:rsid w:val="67292A7D"/>
    <w:rsid w:val="673A2970"/>
    <w:rsid w:val="67490AAD"/>
    <w:rsid w:val="674B597F"/>
    <w:rsid w:val="67514E24"/>
    <w:rsid w:val="67620408"/>
    <w:rsid w:val="677878C6"/>
    <w:rsid w:val="677B67BE"/>
    <w:rsid w:val="677D444B"/>
    <w:rsid w:val="678F1C72"/>
    <w:rsid w:val="678F3A8F"/>
    <w:rsid w:val="6796048C"/>
    <w:rsid w:val="67A01BAC"/>
    <w:rsid w:val="67B32B67"/>
    <w:rsid w:val="67CE4F0A"/>
    <w:rsid w:val="67DC2FEE"/>
    <w:rsid w:val="67E277AE"/>
    <w:rsid w:val="67E7052E"/>
    <w:rsid w:val="67F65281"/>
    <w:rsid w:val="67F90E07"/>
    <w:rsid w:val="680509F9"/>
    <w:rsid w:val="680A2685"/>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8B7471"/>
    <w:rsid w:val="69AF6A95"/>
    <w:rsid w:val="69BE2948"/>
    <w:rsid w:val="69C24AC2"/>
    <w:rsid w:val="69CC37CF"/>
    <w:rsid w:val="69D05E78"/>
    <w:rsid w:val="69D1682B"/>
    <w:rsid w:val="69E1087F"/>
    <w:rsid w:val="6A0047F3"/>
    <w:rsid w:val="6A051933"/>
    <w:rsid w:val="6A112FF4"/>
    <w:rsid w:val="6A130B08"/>
    <w:rsid w:val="6A1D6053"/>
    <w:rsid w:val="6A2A49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A3495E"/>
    <w:rsid w:val="6BC247A6"/>
    <w:rsid w:val="6BD92C40"/>
    <w:rsid w:val="6C3016AA"/>
    <w:rsid w:val="6C3D541F"/>
    <w:rsid w:val="6C415AEC"/>
    <w:rsid w:val="6C477A25"/>
    <w:rsid w:val="6C713545"/>
    <w:rsid w:val="6C8B7731"/>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5D7F"/>
    <w:rsid w:val="6DED486A"/>
    <w:rsid w:val="6E041113"/>
    <w:rsid w:val="6E11324D"/>
    <w:rsid w:val="6E135518"/>
    <w:rsid w:val="6E2A56A1"/>
    <w:rsid w:val="6E361F05"/>
    <w:rsid w:val="6E363CDF"/>
    <w:rsid w:val="6E3E2E47"/>
    <w:rsid w:val="6E527A2D"/>
    <w:rsid w:val="6E6F33BC"/>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B2385E"/>
    <w:rsid w:val="6FC323D9"/>
    <w:rsid w:val="6FD638B1"/>
    <w:rsid w:val="6FF27EB0"/>
    <w:rsid w:val="70091AF4"/>
    <w:rsid w:val="70095EE9"/>
    <w:rsid w:val="704B7DAF"/>
    <w:rsid w:val="708520C4"/>
    <w:rsid w:val="70853BCC"/>
    <w:rsid w:val="70A23903"/>
    <w:rsid w:val="70B4157B"/>
    <w:rsid w:val="70C154FD"/>
    <w:rsid w:val="70C6036D"/>
    <w:rsid w:val="70D3493E"/>
    <w:rsid w:val="70D76741"/>
    <w:rsid w:val="710A3270"/>
    <w:rsid w:val="71306252"/>
    <w:rsid w:val="713B0B43"/>
    <w:rsid w:val="716621C1"/>
    <w:rsid w:val="71782C7D"/>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0950BB"/>
    <w:rsid w:val="73132481"/>
    <w:rsid w:val="7325591C"/>
    <w:rsid w:val="73347DD4"/>
    <w:rsid w:val="736D44EF"/>
    <w:rsid w:val="73776CA0"/>
    <w:rsid w:val="73B35A75"/>
    <w:rsid w:val="73C97E9E"/>
    <w:rsid w:val="73D40DA2"/>
    <w:rsid w:val="73DD1180"/>
    <w:rsid w:val="73E5185B"/>
    <w:rsid w:val="742C4642"/>
    <w:rsid w:val="74315D5C"/>
    <w:rsid w:val="743C59CD"/>
    <w:rsid w:val="74423128"/>
    <w:rsid w:val="74465350"/>
    <w:rsid w:val="746B647F"/>
    <w:rsid w:val="747542D9"/>
    <w:rsid w:val="747E3B0E"/>
    <w:rsid w:val="748F7F6F"/>
    <w:rsid w:val="749817D5"/>
    <w:rsid w:val="74B53285"/>
    <w:rsid w:val="74B746E8"/>
    <w:rsid w:val="74D67798"/>
    <w:rsid w:val="7518394C"/>
    <w:rsid w:val="751850DE"/>
    <w:rsid w:val="753022BE"/>
    <w:rsid w:val="753B0EFD"/>
    <w:rsid w:val="75530645"/>
    <w:rsid w:val="755F2C4C"/>
    <w:rsid w:val="7594489B"/>
    <w:rsid w:val="7595501B"/>
    <w:rsid w:val="759C0A8D"/>
    <w:rsid w:val="75D51CE0"/>
    <w:rsid w:val="75D81877"/>
    <w:rsid w:val="75DF5DB2"/>
    <w:rsid w:val="75FE033A"/>
    <w:rsid w:val="762A38F1"/>
    <w:rsid w:val="762E5891"/>
    <w:rsid w:val="76391D80"/>
    <w:rsid w:val="763E0596"/>
    <w:rsid w:val="76433615"/>
    <w:rsid w:val="76466B26"/>
    <w:rsid w:val="766A7D12"/>
    <w:rsid w:val="76A67DFC"/>
    <w:rsid w:val="76F03175"/>
    <w:rsid w:val="770113F0"/>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967D0"/>
    <w:rsid w:val="7A632889"/>
    <w:rsid w:val="7A686542"/>
    <w:rsid w:val="7A815634"/>
    <w:rsid w:val="7A8F0ED5"/>
    <w:rsid w:val="7A9642E8"/>
    <w:rsid w:val="7A996458"/>
    <w:rsid w:val="7AC42EFD"/>
    <w:rsid w:val="7ACC0EA4"/>
    <w:rsid w:val="7AD51A8A"/>
    <w:rsid w:val="7AF3075E"/>
    <w:rsid w:val="7B1903CB"/>
    <w:rsid w:val="7B250396"/>
    <w:rsid w:val="7B2C1EB5"/>
    <w:rsid w:val="7B302DA2"/>
    <w:rsid w:val="7B550266"/>
    <w:rsid w:val="7B887DF3"/>
    <w:rsid w:val="7BB30DF6"/>
    <w:rsid w:val="7BBE4350"/>
    <w:rsid w:val="7BC0506C"/>
    <w:rsid w:val="7BD5433F"/>
    <w:rsid w:val="7BE44AEA"/>
    <w:rsid w:val="7BF84150"/>
    <w:rsid w:val="7C111929"/>
    <w:rsid w:val="7C1643B1"/>
    <w:rsid w:val="7C183004"/>
    <w:rsid w:val="7C1954A8"/>
    <w:rsid w:val="7C201BE6"/>
    <w:rsid w:val="7C306F37"/>
    <w:rsid w:val="7C3B56AF"/>
    <w:rsid w:val="7C3F52F0"/>
    <w:rsid w:val="7C447A03"/>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87044"/>
    <w:rsid w:val="7D641E64"/>
    <w:rsid w:val="7D7047C9"/>
    <w:rsid w:val="7D7A0011"/>
    <w:rsid w:val="7D7A34CE"/>
    <w:rsid w:val="7D7E3F49"/>
    <w:rsid w:val="7D8C25A5"/>
    <w:rsid w:val="7D992132"/>
    <w:rsid w:val="7D9A1B76"/>
    <w:rsid w:val="7DA245E9"/>
    <w:rsid w:val="7DAA46C6"/>
    <w:rsid w:val="7DB54C08"/>
    <w:rsid w:val="7DC11517"/>
    <w:rsid w:val="7DDF5BB8"/>
    <w:rsid w:val="7E041621"/>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143B416-EA3C-4986-A104-8542DA9BA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Pr>
      <w:tabs>
        <w:tab w:val="clear" w:pos="432"/>
      </w:tabs>
      <w:spacing w:before="260" w:after="260" w:line="416" w:lineRule="auto"/>
      <w:ind w:left="833" w:hanging="408"/>
      <w:outlineLvl w:val="2"/>
    </w:pPr>
    <w:rPr>
      <w:b w:val="0"/>
      <w:sz w:val="28"/>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黑体"/>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MS Mincho" w:hAnsi="Arial"/>
      <w:bCs/>
      <w:kern w:val="2"/>
      <w:sz w:val="28"/>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eastAsiaTheme="minorEastAsia"/>
      <w:b/>
      <w:spacing w:val="20"/>
      <w:w w:val="135"/>
      <w:sz w:val="28"/>
    </w:rPr>
  </w:style>
  <w:style w:type="paragraph" w:customStyle="1" w:styleId="a5">
    <w:name w:val="示例"/>
    <w:next w:val="a6"/>
    <w:qFormat/>
    <w:pPr>
      <w:widowControl w:val="0"/>
      <w:spacing w:after="160" w:line="259" w:lineRule="auto"/>
      <w:ind w:left="360" w:hanging="360"/>
      <w:jc w:val="both"/>
    </w:pPr>
    <w:rPr>
      <w:rFonts w:ascii="宋体" w:eastAsiaTheme="minorEastAsia"/>
      <w:sz w:val="18"/>
      <w:szCs w:val="18"/>
    </w:rPr>
  </w:style>
  <w:style w:type="paragraph" w:customStyle="1" w:styleId="a6">
    <w:name w:val="示例内容"/>
    <w:qFormat/>
    <w:pPr>
      <w:spacing w:after="160" w:line="259" w:lineRule="auto"/>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1"/>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Normal"/>
    <w:qFormat/>
    <w:pPr>
      <w:numPr>
        <w:numId w:val="2"/>
      </w:numPr>
    </w:pPr>
  </w:style>
  <w:style w:type="paragraph" w:customStyle="1" w:styleId="Doc-text">
    <w:name w:val="Doc-text"/>
    <w:basedOn w:val="Normal"/>
    <w:qFormat/>
    <w:pPr>
      <w:numPr>
        <w:numId w:val="3"/>
      </w:numPr>
      <w:tabs>
        <w:tab w:val="left" w:pos="1622"/>
        <w:tab w:val="left" w:pos="2160"/>
        <w:tab w:val="left" w:pos="2700"/>
        <w:tab w:val="left" w:pos="3240"/>
      </w:tabs>
      <w:spacing w:after="0"/>
      <w:ind w:left="1616" w:hanging="357"/>
    </w:pPr>
    <w:rPr>
      <w:rFonts w:ascii="Arial" w:eastAsia="MS Mincho" w:hAnsi="Arial"/>
      <w:bCs/>
      <w:lang w:eastAsia="en-GB"/>
    </w:rPr>
  </w:style>
  <w:style w:type="paragraph" w:customStyle="1" w:styleId="CRCoverPage">
    <w:name w:val="CR Cover Page"/>
    <w:qFormat/>
    <w:pPr>
      <w:spacing w:after="120"/>
    </w:pPr>
    <w:rPr>
      <w:rFonts w:ascii="Arial" w:eastAsia="Times New Roman"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83F3FA-5079-482B-BD11-FA5357AD1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2799</Words>
  <Characters>15955</Characters>
  <Application>Microsoft Office Word</Application>
  <DocSecurity>0</DocSecurity>
  <Lines>132</Lines>
  <Paragraphs>37</Paragraphs>
  <ScaleCrop>false</ScaleCrop>
  <Company>www.zte.com.cn</Company>
  <LinksUpToDate>false</LinksUpToDate>
  <CharactersWithSpaces>18717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8</cp:revision>
  <cp:lastPrinted>2113-01-01T00:00:00Z</cp:lastPrinted>
  <dcterms:created xsi:type="dcterms:W3CDTF">2020-02-14T02:50:00Z</dcterms:created>
  <dcterms:modified xsi:type="dcterms:W3CDTF">2020-02-14T03:01:00Z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