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6ECC0448" w:rsidR="00895250" w:rsidRPr="009423AF"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9423AF">
        <w:rPr>
          <w:rFonts w:ascii="Arial" w:eastAsia="MS Mincho" w:hAnsi="Arial"/>
          <w:b/>
          <w:sz w:val="24"/>
          <w:szCs w:val="24"/>
          <w:lang w:val="en-GB" w:eastAsia="x-none"/>
        </w:rPr>
        <w:t>3GPP TSG</w:t>
      </w:r>
      <w:r w:rsidR="001D0C07">
        <w:rPr>
          <w:rFonts w:ascii="Arial" w:eastAsia="MS Mincho" w:hAnsi="Arial"/>
          <w:b/>
          <w:sz w:val="24"/>
          <w:szCs w:val="24"/>
          <w:lang w:val="en-GB" w:eastAsia="x-none"/>
        </w:rPr>
        <w:t>-RAN WG2 Meeting #108</w:t>
      </w:r>
      <w:r w:rsidR="001D0C07">
        <w:rPr>
          <w:rFonts w:ascii="Arial" w:eastAsia="MS Mincho" w:hAnsi="Arial"/>
          <w:b/>
          <w:sz w:val="24"/>
          <w:szCs w:val="24"/>
          <w:lang w:val="en-GB" w:eastAsia="x-none"/>
        </w:rPr>
        <w:tab/>
        <w:t>R2-1915798</w:t>
      </w:r>
    </w:p>
    <w:p w14:paraId="6877EE3A" w14:textId="3BD0B260" w:rsidR="00895250" w:rsidRPr="009423AF" w:rsidRDefault="00EF098E" w:rsidP="00895250">
      <w:pPr>
        <w:widowControl w:val="0"/>
        <w:tabs>
          <w:tab w:val="left" w:pos="1701"/>
          <w:tab w:val="right" w:pos="9923"/>
        </w:tabs>
        <w:spacing w:before="120"/>
        <w:rPr>
          <w:rFonts w:ascii="Arial" w:eastAsia="MS Mincho" w:hAnsi="Arial"/>
          <w:b/>
          <w:sz w:val="24"/>
          <w:szCs w:val="24"/>
          <w:lang w:val="en-GB" w:eastAsia="x-none"/>
        </w:rPr>
      </w:pPr>
      <w:r w:rsidRPr="009423AF">
        <w:rPr>
          <w:rFonts w:ascii="Arial" w:eastAsia="MS Mincho" w:hAnsi="Arial"/>
          <w:b/>
          <w:sz w:val="24"/>
          <w:szCs w:val="24"/>
          <w:lang w:val="en-GB" w:eastAsia="x-none"/>
        </w:rPr>
        <w:t>Reno, Nevada, USA</w:t>
      </w:r>
      <w:r w:rsidR="00B36597" w:rsidRPr="009423AF">
        <w:rPr>
          <w:rFonts w:ascii="Arial" w:eastAsia="MS Mincho" w:hAnsi="Arial"/>
          <w:b/>
          <w:sz w:val="24"/>
          <w:szCs w:val="24"/>
          <w:lang w:val="en-GB" w:eastAsia="x-none"/>
        </w:rPr>
        <w:t xml:space="preserve">, </w:t>
      </w:r>
      <w:r w:rsidR="006000A2" w:rsidRPr="009423AF">
        <w:rPr>
          <w:rFonts w:ascii="Arial" w:eastAsia="MS Mincho" w:hAnsi="Arial"/>
          <w:b/>
          <w:sz w:val="24"/>
          <w:szCs w:val="24"/>
          <w:lang w:val="en-GB" w:eastAsia="x-none"/>
        </w:rPr>
        <w:t>1</w:t>
      </w:r>
      <w:r w:rsidRPr="009423AF">
        <w:rPr>
          <w:rFonts w:ascii="Arial" w:eastAsia="MS Mincho" w:hAnsi="Arial"/>
          <w:b/>
          <w:sz w:val="24"/>
          <w:szCs w:val="24"/>
          <w:lang w:val="en-GB" w:eastAsia="x-none"/>
        </w:rPr>
        <w:t>8</w:t>
      </w:r>
      <w:r w:rsidR="006000A2" w:rsidRPr="009423AF">
        <w:rPr>
          <w:rFonts w:ascii="Arial" w:eastAsia="MS Mincho" w:hAnsi="Arial"/>
          <w:b/>
          <w:sz w:val="24"/>
          <w:szCs w:val="24"/>
          <w:lang w:val="en-GB" w:eastAsia="x-none"/>
        </w:rPr>
        <w:t>-</w:t>
      </w:r>
      <w:r w:rsidRPr="009423AF">
        <w:rPr>
          <w:rFonts w:ascii="Arial" w:eastAsia="MS Mincho" w:hAnsi="Arial"/>
          <w:b/>
          <w:sz w:val="24"/>
          <w:szCs w:val="24"/>
          <w:lang w:val="en-GB" w:eastAsia="x-none"/>
        </w:rPr>
        <w:t>22</w:t>
      </w:r>
      <w:r w:rsidR="006000A2" w:rsidRPr="009423AF">
        <w:rPr>
          <w:rFonts w:ascii="Arial" w:eastAsia="MS Mincho" w:hAnsi="Arial"/>
          <w:b/>
          <w:sz w:val="24"/>
          <w:szCs w:val="24"/>
          <w:lang w:val="en-GB" w:eastAsia="x-none"/>
        </w:rPr>
        <w:t xml:space="preserve"> </w:t>
      </w:r>
      <w:r w:rsidRPr="009423AF">
        <w:rPr>
          <w:rFonts w:ascii="Arial" w:eastAsia="MS Mincho" w:hAnsi="Arial"/>
          <w:b/>
          <w:sz w:val="24"/>
          <w:szCs w:val="24"/>
          <w:lang w:val="en-GB" w:eastAsia="x-none"/>
        </w:rPr>
        <w:t>Novem</w:t>
      </w:r>
      <w:r w:rsidR="006000A2" w:rsidRPr="009423AF">
        <w:rPr>
          <w:rFonts w:ascii="Arial" w:eastAsia="MS Mincho" w:hAnsi="Arial"/>
          <w:b/>
          <w:sz w:val="24"/>
          <w:szCs w:val="24"/>
          <w:lang w:val="en-GB" w:eastAsia="x-none"/>
        </w:rPr>
        <w:t>ber</w:t>
      </w:r>
      <w:r w:rsidR="00B35D43" w:rsidRPr="009423AF">
        <w:rPr>
          <w:rFonts w:ascii="Arial" w:eastAsia="MS Mincho" w:hAnsi="Arial"/>
          <w:b/>
          <w:sz w:val="24"/>
          <w:szCs w:val="24"/>
          <w:lang w:val="en-GB" w:eastAsia="x-none"/>
        </w:rPr>
        <w:t xml:space="preserve"> 2019</w:t>
      </w:r>
    </w:p>
    <w:p w14:paraId="41F9B491" w14:textId="49EFE19E" w:rsidR="0097167E" w:rsidRPr="009423AF"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9423AF" w:rsidRDefault="00A07E02" w:rsidP="00A07E02">
      <w:pPr>
        <w:pStyle w:val="3GPPHeader"/>
        <w:rPr>
          <w:rFonts w:ascii="Arial" w:hAnsi="Arial" w:cs="Arial"/>
          <w:color w:val="FF0000"/>
          <w:szCs w:val="24"/>
          <w:lang w:eastAsia="zh-TW"/>
        </w:rPr>
      </w:pPr>
    </w:p>
    <w:p w14:paraId="027912C8" w14:textId="7CD7D24D" w:rsidR="00A07E02" w:rsidRPr="009423AF" w:rsidRDefault="00A07E02" w:rsidP="00A07E02">
      <w:pPr>
        <w:pStyle w:val="3GPPHeader"/>
        <w:rPr>
          <w:rFonts w:ascii="Arial" w:hAnsi="Arial" w:cs="Arial"/>
          <w:szCs w:val="24"/>
        </w:rPr>
      </w:pPr>
      <w:r w:rsidRPr="009423AF">
        <w:rPr>
          <w:rFonts w:ascii="Arial" w:hAnsi="Arial" w:cs="Arial"/>
          <w:szCs w:val="24"/>
        </w:rPr>
        <w:t>Agenda Item:</w:t>
      </w:r>
      <w:r w:rsidRPr="009423AF">
        <w:rPr>
          <w:rFonts w:ascii="Arial" w:hAnsi="Arial" w:cs="Arial"/>
          <w:szCs w:val="24"/>
        </w:rPr>
        <w:tab/>
      </w:r>
      <w:r w:rsidR="00A7406C" w:rsidRPr="009423AF">
        <w:rPr>
          <w:rFonts w:ascii="Arial" w:hAnsi="Arial" w:cs="Arial"/>
          <w:szCs w:val="24"/>
        </w:rPr>
        <w:t>6</w:t>
      </w:r>
      <w:r w:rsidR="005C7F03" w:rsidRPr="009423AF">
        <w:rPr>
          <w:rFonts w:ascii="Arial" w:hAnsi="Arial" w:cs="Arial"/>
          <w:szCs w:val="24"/>
        </w:rPr>
        <w:t>.4.5</w:t>
      </w:r>
    </w:p>
    <w:p w14:paraId="79D236BA" w14:textId="77777777" w:rsidR="00A07E02" w:rsidRPr="009423AF" w:rsidRDefault="00A07E02" w:rsidP="00A07E02">
      <w:pPr>
        <w:pStyle w:val="3GPPHeader"/>
        <w:rPr>
          <w:rFonts w:ascii="Arial" w:hAnsi="Arial" w:cs="Arial"/>
          <w:szCs w:val="24"/>
        </w:rPr>
      </w:pPr>
      <w:r w:rsidRPr="009423AF">
        <w:rPr>
          <w:rFonts w:ascii="Arial" w:hAnsi="Arial" w:cs="Arial"/>
          <w:szCs w:val="24"/>
        </w:rPr>
        <w:t xml:space="preserve">Source: </w:t>
      </w:r>
      <w:r w:rsidRPr="009423AF">
        <w:rPr>
          <w:rFonts w:ascii="Arial" w:hAnsi="Arial" w:cs="Arial"/>
          <w:szCs w:val="24"/>
        </w:rPr>
        <w:tab/>
        <w:t>MediaTek Inc.</w:t>
      </w:r>
    </w:p>
    <w:p w14:paraId="108A86FF" w14:textId="54C54879" w:rsidR="00A07E02" w:rsidRPr="009423AF" w:rsidRDefault="00FF0668" w:rsidP="00A07E02">
      <w:pPr>
        <w:pStyle w:val="3GPPHeaderArial"/>
        <w:tabs>
          <w:tab w:val="left" w:pos="1701"/>
        </w:tabs>
        <w:rPr>
          <w:b/>
          <w:sz w:val="24"/>
          <w:lang w:val="en-GB" w:eastAsia="zh-TW"/>
        </w:rPr>
      </w:pPr>
      <w:r w:rsidRPr="009423AF">
        <w:rPr>
          <w:b/>
          <w:sz w:val="24"/>
          <w:lang w:val="en-GB"/>
        </w:rPr>
        <w:t xml:space="preserve">Title:  </w:t>
      </w:r>
      <w:r w:rsidRPr="009423AF">
        <w:rPr>
          <w:b/>
          <w:sz w:val="24"/>
          <w:lang w:val="en-GB"/>
        </w:rPr>
        <w:tab/>
      </w:r>
      <w:r w:rsidR="00EF098E" w:rsidRPr="009423AF">
        <w:rPr>
          <w:b/>
          <w:sz w:val="24"/>
          <w:lang w:val="en-GB"/>
        </w:rPr>
        <w:t>Asynchronous synchronisation reference sources</w:t>
      </w:r>
    </w:p>
    <w:p w14:paraId="2D698DC6" w14:textId="77777777" w:rsidR="00A07E02" w:rsidRPr="009423AF" w:rsidRDefault="00A07E02" w:rsidP="00A07E02">
      <w:pPr>
        <w:pStyle w:val="3GPPHeaderArial"/>
        <w:tabs>
          <w:tab w:val="left" w:pos="1701"/>
        </w:tabs>
        <w:rPr>
          <w:b/>
          <w:sz w:val="24"/>
          <w:lang w:val="en-GB" w:eastAsia="zh-TW"/>
        </w:rPr>
      </w:pPr>
    </w:p>
    <w:p w14:paraId="4570B40E" w14:textId="77777777" w:rsidR="00A07E02" w:rsidRPr="009423AF" w:rsidRDefault="00A07E02" w:rsidP="00A07E02">
      <w:pPr>
        <w:pStyle w:val="3GPPHeader"/>
        <w:rPr>
          <w:rFonts w:ascii="Arial" w:hAnsi="Arial" w:cs="Arial"/>
          <w:szCs w:val="24"/>
        </w:rPr>
      </w:pPr>
      <w:r w:rsidRPr="009423AF">
        <w:rPr>
          <w:rFonts w:ascii="Arial" w:hAnsi="Arial" w:cs="Arial"/>
          <w:szCs w:val="24"/>
        </w:rPr>
        <w:t>Document for:</w:t>
      </w:r>
      <w:r w:rsidRPr="009423AF">
        <w:rPr>
          <w:rFonts w:ascii="Arial" w:hAnsi="Arial" w:cs="Arial"/>
          <w:szCs w:val="24"/>
        </w:rPr>
        <w:tab/>
        <w:t>Discussion and decision</w:t>
      </w:r>
    </w:p>
    <w:p w14:paraId="0FB84FBC" w14:textId="77777777" w:rsidR="00A07E02" w:rsidRPr="009423AF" w:rsidRDefault="00A07E02" w:rsidP="00A07E02">
      <w:pPr>
        <w:pStyle w:val="Heading1"/>
        <w:overflowPunct w:val="0"/>
        <w:autoSpaceDE w:val="0"/>
        <w:autoSpaceDN w:val="0"/>
        <w:adjustRightInd w:val="0"/>
        <w:rPr>
          <w:rFonts w:eastAsia="PMingLiU" w:cs="Arial"/>
        </w:rPr>
      </w:pPr>
      <w:r w:rsidRPr="009423AF">
        <w:rPr>
          <w:rFonts w:eastAsia="PMingLiU" w:cs="Arial"/>
        </w:rPr>
        <w:t>Introduction</w:t>
      </w:r>
      <w:bookmarkStart w:id="3" w:name="OLE_LINK39"/>
      <w:bookmarkStart w:id="4" w:name="OLE_LINK38"/>
      <w:bookmarkStart w:id="5" w:name="OLE_LINK37"/>
    </w:p>
    <w:p w14:paraId="7513D791" w14:textId="44A59645" w:rsidR="00D74469" w:rsidRPr="009423AF" w:rsidRDefault="00EF098E" w:rsidP="00173435">
      <w:pPr>
        <w:spacing w:after="240"/>
        <w:rPr>
          <w:lang w:val="en-GB"/>
        </w:rPr>
      </w:pPr>
      <w:r w:rsidRPr="009423AF">
        <w:rPr>
          <w:lang w:val="en-GB"/>
        </w:rPr>
        <w:t xml:space="preserve">In RAN4#92bis, the group discussed the situation where two UEs need to communicate via </w:t>
      </w:r>
      <w:proofErr w:type="spellStart"/>
      <w:r w:rsidRPr="009423AF">
        <w:rPr>
          <w:lang w:val="en-GB"/>
        </w:rPr>
        <w:t>sidelink</w:t>
      </w:r>
      <w:proofErr w:type="spellEnd"/>
      <w:r w:rsidRPr="009423AF">
        <w:rPr>
          <w:lang w:val="en-GB"/>
        </w:rPr>
        <w:t xml:space="preserve"> while their synchronisation reference sources are not synchronised with one another, e.g. different </w:t>
      </w:r>
      <w:proofErr w:type="spellStart"/>
      <w:r w:rsidRPr="009423AF">
        <w:rPr>
          <w:lang w:val="en-GB"/>
        </w:rPr>
        <w:t>gNBs</w:t>
      </w:r>
      <w:proofErr w:type="spellEnd"/>
      <w:r w:rsidRPr="009423AF">
        <w:rPr>
          <w:lang w:val="en-GB"/>
        </w:rPr>
        <w:t>/</w:t>
      </w:r>
      <w:proofErr w:type="spellStart"/>
      <w:r w:rsidRPr="009423AF">
        <w:rPr>
          <w:lang w:val="en-GB"/>
        </w:rPr>
        <w:t>eNBs</w:t>
      </w:r>
      <w:proofErr w:type="spellEnd"/>
      <w:r w:rsidRPr="009423AF">
        <w:rPr>
          <w:lang w:val="en-GB"/>
        </w:rPr>
        <w:t xml:space="preserve"> ([1])</w:t>
      </w:r>
      <w:r w:rsidR="00173435" w:rsidRPr="009423AF">
        <w:rPr>
          <w:lang w:val="en-GB"/>
        </w:rPr>
        <w:t>.</w:t>
      </w:r>
      <w:r w:rsidRPr="009423AF">
        <w:rPr>
          <w:lang w:val="en-GB"/>
        </w:rPr>
        <w:t xml:space="preserve">  RAN4 sent a corresponding LS to RAN2 ([2]) requesting signalling to support timing adjustment in asynchronous scenarios.  This document discusses the situation from a RAN2 perspective and proposes a signalling approach to resolving it.</w:t>
      </w:r>
    </w:p>
    <w:p w14:paraId="2E0A3C55" w14:textId="48FA9AED" w:rsidR="00DF345D" w:rsidRPr="009423AF"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9423AF">
        <w:rPr>
          <w:rFonts w:eastAsia="PMingLiU" w:cs="Arial"/>
        </w:rPr>
        <w:t>Discussio</w:t>
      </w:r>
      <w:r w:rsidR="00376507" w:rsidRPr="009423AF">
        <w:rPr>
          <w:rFonts w:eastAsia="PMingLiU" w:cs="Arial"/>
        </w:rPr>
        <w:t>n</w:t>
      </w:r>
    </w:p>
    <w:p w14:paraId="348E9A87" w14:textId="1A2E76A5" w:rsidR="009349DA" w:rsidRPr="009423AF" w:rsidRDefault="00BF359C" w:rsidP="00DF345D">
      <w:pPr>
        <w:spacing w:after="240"/>
        <w:rPr>
          <w:lang w:val="en-GB"/>
        </w:rPr>
      </w:pPr>
      <w:r w:rsidRPr="009423AF">
        <w:rPr>
          <w:lang w:val="en-GB"/>
        </w:rPr>
        <w:t>LTE V2X introduced a Direct Frame Number (DFN) offset to prevent UEs that are synchronised to GNSS from making transmissions that interfere with the uplink.  The offset has a range of [0</w:t>
      </w:r>
      <w:proofErr w:type="gramStart"/>
      <w:r w:rsidRPr="009423AF">
        <w:rPr>
          <w:lang w:val="en-GB"/>
        </w:rPr>
        <w:t>,1</w:t>
      </w:r>
      <w:proofErr w:type="gramEnd"/>
      <w:r w:rsidRPr="009423AF">
        <w:rPr>
          <w:lang w:val="en-GB"/>
        </w:rPr>
        <w:t xml:space="preserve">] </w:t>
      </w:r>
      <w:proofErr w:type="spellStart"/>
      <w:r w:rsidRPr="009423AF">
        <w:rPr>
          <w:lang w:val="en-GB"/>
        </w:rPr>
        <w:t>ms</w:t>
      </w:r>
      <w:proofErr w:type="spellEnd"/>
      <w:r w:rsidRPr="009423AF">
        <w:rPr>
          <w:lang w:val="en-GB"/>
        </w:rPr>
        <w:t xml:space="preserve"> with microsecond resolution and applies when the UE is synchronised to GNSS.  As noted in [1] and shown in </w:t>
      </w:r>
      <w:r w:rsidRPr="009423AF">
        <w:rPr>
          <w:lang w:val="en-GB"/>
        </w:rPr>
        <w:fldChar w:fldCharType="begin"/>
      </w:r>
      <w:r w:rsidRPr="009423AF">
        <w:rPr>
          <w:lang w:val="en-GB"/>
        </w:rPr>
        <w:instrText xml:space="preserve"> REF _Ref22721707 \h </w:instrText>
      </w:r>
      <w:r w:rsidRPr="009423AF">
        <w:rPr>
          <w:lang w:val="en-GB"/>
        </w:rPr>
      </w:r>
      <w:r w:rsidRPr="009423AF">
        <w:rPr>
          <w:lang w:val="en-GB"/>
        </w:rPr>
        <w:fldChar w:fldCharType="separate"/>
      </w:r>
      <w:r w:rsidRPr="009423AF">
        <w:rPr>
          <w:lang w:val="en-GB"/>
        </w:rPr>
        <w:t xml:space="preserve">Figure </w:t>
      </w:r>
      <w:r w:rsidRPr="009423AF">
        <w:rPr>
          <w:noProof/>
          <w:lang w:val="en-GB"/>
        </w:rPr>
        <w:t>1</w:t>
      </w:r>
      <w:r w:rsidRPr="009423AF">
        <w:rPr>
          <w:lang w:val="en-GB"/>
        </w:rPr>
        <w:fldChar w:fldCharType="end"/>
      </w:r>
      <w:r w:rsidRPr="009423AF">
        <w:rPr>
          <w:lang w:val="en-GB"/>
        </w:rPr>
        <w:t xml:space="preserve">, this offset could be reused to align timing when one UE is synchronised to GNSS and another to a </w:t>
      </w:r>
      <w:proofErr w:type="spellStart"/>
      <w:r w:rsidRPr="009423AF">
        <w:rPr>
          <w:lang w:val="en-GB"/>
        </w:rPr>
        <w:t>gNB</w:t>
      </w:r>
      <w:proofErr w:type="spellEnd"/>
      <w:r w:rsidR="00A265B1">
        <w:rPr>
          <w:lang w:val="en-GB"/>
        </w:rPr>
        <w:t>—instead of shifting UE</w:t>
      </w:r>
      <w:r w:rsidR="00195214">
        <w:rPr>
          <w:lang w:val="en-GB"/>
        </w:rPr>
        <w:t xml:space="preserve"> 1</w:t>
      </w:r>
      <w:r w:rsidR="00A265B1">
        <w:rPr>
          <w:lang w:val="en-GB"/>
        </w:rPr>
        <w:t xml:space="preserve">’s timing from GNSS to the </w:t>
      </w:r>
      <w:proofErr w:type="spellStart"/>
      <w:r w:rsidR="00A265B1">
        <w:rPr>
          <w:lang w:val="en-GB"/>
        </w:rPr>
        <w:t>gNB</w:t>
      </w:r>
      <w:proofErr w:type="spellEnd"/>
      <w:r w:rsidR="00A265B1">
        <w:rPr>
          <w:lang w:val="en-GB"/>
        </w:rPr>
        <w:t xml:space="preserve">, the DFN offset is used to shift UE 2 from the </w:t>
      </w:r>
      <w:proofErr w:type="spellStart"/>
      <w:r w:rsidR="00A265B1">
        <w:rPr>
          <w:lang w:val="en-GB"/>
        </w:rPr>
        <w:t>gNB</w:t>
      </w:r>
      <w:proofErr w:type="spellEnd"/>
      <w:r w:rsidR="00A265B1">
        <w:rPr>
          <w:lang w:val="en-GB"/>
        </w:rPr>
        <w:t xml:space="preserve"> to GNSS, resulting in timing alignment with UE 1</w:t>
      </w:r>
      <w:r w:rsidRPr="009423AF">
        <w:rPr>
          <w:lang w:val="en-GB"/>
        </w:rPr>
        <w:t>.</w:t>
      </w:r>
    </w:p>
    <w:p w14:paraId="0207DA12" w14:textId="77777777" w:rsidR="00BF359C" w:rsidRPr="009423AF" w:rsidRDefault="00BF359C" w:rsidP="00BF359C">
      <w:pPr>
        <w:keepNext/>
        <w:spacing w:after="240"/>
        <w:jc w:val="center"/>
        <w:rPr>
          <w:lang w:val="en-GB"/>
        </w:rPr>
      </w:pPr>
      <w:r w:rsidRPr="009423AF">
        <w:rPr>
          <w:bCs/>
          <w:noProof/>
          <w:lang w:val="en-GB" w:eastAsia="en-GB"/>
        </w:rPr>
        <w:drawing>
          <wp:inline distT="0" distB="0" distL="0" distR="0" wp14:anchorId="2F50E653" wp14:editId="4DA0C3AF">
            <wp:extent cx="2991744" cy="1664898"/>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1312" cy="1681353"/>
                    </a:xfrm>
                    <a:prstGeom prst="rect">
                      <a:avLst/>
                    </a:prstGeom>
                    <a:noFill/>
                  </pic:spPr>
                </pic:pic>
              </a:graphicData>
            </a:graphic>
          </wp:inline>
        </w:drawing>
      </w:r>
    </w:p>
    <w:p w14:paraId="3109B0BE" w14:textId="382B19DE" w:rsidR="00BF359C" w:rsidRPr="009423AF" w:rsidRDefault="00BF359C" w:rsidP="00BF359C">
      <w:pPr>
        <w:pStyle w:val="Caption"/>
        <w:jc w:val="center"/>
      </w:pPr>
      <w:bookmarkStart w:id="10" w:name="_Ref22721707"/>
      <w:r w:rsidRPr="009423AF">
        <w:t xml:space="preserve">Figure </w:t>
      </w:r>
      <w:r w:rsidRPr="009423AF">
        <w:fldChar w:fldCharType="begin"/>
      </w:r>
      <w:r w:rsidRPr="009423AF">
        <w:instrText xml:space="preserve"> SEQ Figure \* ARABIC </w:instrText>
      </w:r>
      <w:r w:rsidRPr="009423AF">
        <w:fldChar w:fldCharType="separate"/>
      </w:r>
      <w:r w:rsidR="00DF24AE" w:rsidRPr="009423AF">
        <w:rPr>
          <w:noProof/>
        </w:rPr>
        <w:t>1</w:t>
      </w:r>
      <w:r w:rsidRPr="009423AF">
        <w:fldChar w:fldCharType="end"/>
      </w:r>
      <w:bookmarkEnd w:id="10"/>
      <w:r w:rsidRPr="009423AF">
        <w:t xml:space="preserve">: Use of DFN offset to align timing between UEs synchronised to GNSS and </w:t>
      </w:r>
      <w:proofErr w:type="spellStart"/>
      <w:r w:rsidRPr="009423AF">
        <w:t>gNB</w:t>
      </w:r>
      <w:proofErr w:type="spellEnd"/>
    </w:p>
    <w:p w14:paraId="36B44CBE" w14:textId="5A98D758" w:rsidR="00BF359C" w:rsidRPr="009423AF" w:rsidRDefault="00BF359C" w:rsidP="00BF359C">
      <w:pPr>
        <w:spacing w:after="240"/>
        <w:rPr>
          <w:lang w:val="en-GB" w:eastAsia="en-US"/>
        </w:rPr>
      </w:pPr>
      <w:r w:rsidRPr="009423AF">
        <w:rPr>
          <w:lang w:val="en-GB" w:eastAsia="en-US"/>
        </w:rPr>
        <w:t>If the network could always configure GNSS as the synchronisation source for one of the UEs, this would be sufficient to solve the problem</w:t>
      </w:r>
      <w:r w:rsidR="00BD78F7" w:rsidRPr="009423AF">
        <w:rPr>
          <w:lang w:val="en-GB" w:eastAsia="en-US"/>
        </w:rPr>
        <w:t xml:space="preserve">, enabling the two UEs to communicate with each other (with UE2 needing to prioritise between UL towards the </w:t>
      </w:r>
      <w:proofErr w:type="spellStart"/>
      <w:r w:rsidR="00BD78F7" w:rsidRPr="009423AF">
        <w:rPr>
          <w:lang w:val="en-GB" w:eastAsia="en-US"/>
        </w:rPr>
        <w:t>gNB</w:t>
      </w:r>
      <w:proofErr w:type="spellEnd"/>
      <w:r w:rsidR="00BD78F7" w:rsidRPr="009423AF">
        <w:rPr>
          <w:lang w:val="en-GB" w:eastAsia="en-US"/>
        </w:rPr>
        <w:t xml:space="preserve"> and SL towards UE1 when the transmissions collide)</w:t>
      </w:r>
      <w:r w:rsidRPr="009423AF">
        <w:rPr>
          <w:lang w:val="en-GB" w:eastAsia="en-US"/>
        </w:rPr>
        <w:t xml:space="preserve">; however, this clearly is not always possible (e.g. tunnel scenarios).  A solution is also needed when both UEs are synchronised to </w:t>
      </w:r>
      <w:proofErr w:type="spellStart"/>
      <w:r w:rsidRPr="009423AF">
        <w:rPr>
          <w:lang w:val="en-GB" w:eastAsia="en-US"/>
        </w:rPr>
        <w:t>gNBs</w:t>
      </w:r>
      <w:proofErr w:type="spellEnd"/>
      <w:r w:rsidRPr="009423AF">
        <w:rPr>
          <w:lang w:val="en-GB" w:eastAsia="en-US"/>
        </w:rPr>
        <w:t>/</w:t>
      </w:r>
      <w:proofErr w:type="spellStart"/>
      <w:r w:rsidRPr="009423AF">
        <w:rPr>
          <w:lang w:val="en-GB" w:eastAsia="en-US"/>
        </w:rPr>
        <w:t>eNBs</w:t>
      </w:r>
      <w:proofErr w:type="spellEnd"/>
      <w:r w:rsidRPr="009423AF">
        <w:rPr>
          <w:lang w:val="en-GB" w:eastAsia="en-US"/>
        </w:rPr>
        <w:t xml:space="preserve"> that may not be synchronised with one another.</w:t>
      </w:r>
    </w:p>
    <w:p w14:paraId="348A3B23" w14:textId="5FC56F4F" w:rsidR="00BD78F7" w:rsidRPr="009423AF" w:rsidRDefault="00BD78F7" w:rsidP="00BF359C">
      <w:pPr>
        <w:spacing w:after="240"/>
        <w:rPr>
          <w:lang w:val="en-GB" w:eastAsia="en-US"/>
        </w:rPr>
      </w:pPr>
      <w:r w:rsidRPr="009423AF">
        <w:rPr>
          <w:lang w:val="en-GB" w:eastAsia="en-US"/>
        </w:rPr>
        <w:t xml:space="preserve">As suggested in [1], by using the DFN offset, the </w:t>
      </w:r>
      <w:proofErr w:type="spellStart"/>
      <w:r w:rsidRPr="009423AF">
        <w:rPr>
          <w:lang w:val="en-GB" w:eastAsia="en-US"/>
        </w:rPr>
        <w:t>gNB</w:t>
      </w:r>
      <w:proofErr w:type="spellEnd"/>
      <w:r w:rsidRPr="009423AF">
        <w:rPr>
          <w:lang w:val="en-GB" w:eastAsia="en-US"/>
        </w:rPr>
        <w:t>(s)/</w:t>
      </w:r>
      <w:proofErr w:type="spellStart"/>
      <w:r w:rsidRPr="009423AF">
        <w:rPr>
          <w:lang w:val="en-GB" w:eastAsia="en-US"/>
        </w:rPr>
        <w:t>eNB</w:t>
      </w:r>
      <w:proofErr w:type="spellEnd"/>
      <w:r w:rsidRPr="009423AF">
        <w:rPr>
          <w:lang w:val="en-GB" w:eastAsia="en-US"/>
        </w:rPr>
        <w:t xml:space="preserve">(s) can cause both UEs to align </w:t>
      </w:r>
      <w:r w:rsidR="00947457" w:rsidRPr="009423AF">
        <w:rPr>
          <w:lang w:val="en-GB" w:eastAsia="en-US"/>
        </w:rPr>
        <w:t xml:space="preserve">their slot boundaries </w:t>
      </w:r>
      <w:r w:rsidRPr="009423AF">
        <w:rPr>
          <w:lang w:val="en-GB" w:eastAsia="en-US"/>
        </w:rPr>
        <w:t>with the GNSS timeline</w:t>
      </w:r>
      <w:r w:rsidR="00E16D09" w:rsidRPr="009423AF">
        <w:rPr>
          <w:lang w:val="en-GB" w:eastAsia="en-US"/>
        </w:rPr>
        <w:t xml:space="preserve"> as a kind of indirect synchronisation to GNSS</w:t>
      </w:r>
      <w:r w:rsidR="00133F71">
        <w:rPr>
          <w:lang w:val="en-GB" w:eastAsia="en-US"/>
        </w:rPr>
        <w:t xml:space="preserve">.  However, the DFN offset </w:t>
      </w:r>
      <w:r w:rsidR="00133F71">
        <w:rPr>
          <w:lang w:val="en-GB" w:eastAsia="en-US"/>
        </w:rPr>
        <w:lastRenderedPageBreak/>
        <w:t xml:space="preserve">with its current range can only align to the nearest </w:t>
      </w:r>
      <w:proofErr w:type="spellStart"/>
      <w:r w:rsidR="00133F71">
        <w:rPr>
          <w:lang w:val="en-GB" w:eastAsia="en-US"/>
        </w:rPr>
        <w:t>subframe</w:t>
      </w:r>
      <w:proofErr w:type="spellEnd"/>
      <w:r w:rsidR="00133F71">
        <w:rPr>
          <w:lang w:val="en-GB" w:eastAsia="en-US"/>
        </w:rPr>
        <w:t xml:space="preserve"> boundary</w:t>
      </w:r>
      <w:r w:rsidRPr="009423AF">
        <w:rPr>
          <w:lang w:val="en-GB" w:eastAsia="en-US"/>
        </w:rPr>
        <w:t xml:space="preserve">, </w:t>
      </w:r>
      <w:r w:rsidR="00133F71">
        <w:rPr>
          <w:lang w:val="en-GB" w:eastAsia="en-US"/>
        </w:rPr>
        <w:t>meaning that</w:t>
      </w:r>
      <w:r w:rsidRPr="009423AF">
        <w:rPr>
          <w:lang w:val="en-GB" w:eastAsia="en-US"/>
        </w:rPr>
        <w:t xml:space="preserve"> the resulting alignment may be off by an integer number of </w:t>
      </w:r>
      <w:r w:rsidR="00AA3856">
        <w:rPr>
          <w:lang w:val="en-GB" w:eastAsia="en-US"/>
        </w:rPr>
        <w:t>milliseconds</w:t>
      </w:r>
      <w:r w:rsidR="00947457" w:rsidRPr="009423AF">
        <w:rPr>
          <w:lang w:val="en-GB" w:eastAsia="en-US"/>
        </w:rPr>
        <w:t xml:space="preserve"> between the two UEs</w:t>
      </w:r>
      <w:r w:rsidRPr="009423AF">
        <w:rPr>
          <w:lang w:val="en-GB" w:eastAsia="en-US"/>
        </w:rPr>
        <w:t xml:space="preserve"> (</w:t>
      </w:r>
      <w:r w:rsidRPr="009423AF">
        <w:rPr>
          <w:lang w:val="en-GB" w:eastAsia="en-US"/>
        </w:rPr>
        <w:fldChar w:fldCharType="begin"/>
      </w:r>
      <w:r w:rsidRPr="009423AF">
        <w:rPr>
          <w:lang w:val="en-GB" w:eastAsia="en-US"/>
        </w:rPr>
        <w:instrText xml:space="preserve"> REF _Ref22815638 \h </w:instrText>
      </w:r>
      <w:r w:rsidRPr="009423AF">
        <w:rPr>
          <w:lang w:val="en-GB" w:eastAsia="en-US"/>
        </w:rPr>
      </w:r>
      <w:r w:rsidRPr="009423AF">
        <w:rPr>
          <w:lang w:val="en-GB" w:eastAsia="en-US"/>
        </w:rPr>
        <w:fldChar w:fldCharType="separate"/>
      </w:r>
      <w:r w:rsidRPr="009423AF">
        <w:rPr>
          <w:lang w:val="en-GB"/>
        </w:rPr>
        <w:t xml:space="preserve">Figure </w:t>
      </w:r>
      <w:r w:rsidRPr="009423AF">
        <w:rPr>
          <w:noProof/>
          <w:lang w:val="en-GB"/>
        </w:rPr>
        <w:t>2</w:t>
      </w:r>
      <w:r w:rsidRPr="009423AF">
        <w:rPr>
          <w:lang w:val="en-GB" w:eastAsia="en-US"/>
        </w:rPr>
        <w:fldChar w:fldCharType="end"/>
      </w:r>
      <w:r w:rsidRPr="009423AF">
        <w:rPr>
          <w:lang w:val="en-GB" w:eastAsia="en-US"/>
        </w:rPr>
        <w:t>).</w:t>
      </w:r>
    </w:p>
    <w:p w14:paraId="38039C29" w14:textId="77777777" w:rsidR="00BD78F7" w:rsidRPr="009423AF" w:rsidRDefault="00BD78F7" w:rsidP="00BD78F7">
      <w:pPr>
        <w:keepNext/>
        <w:spacing w:after="240"/>
        <w:jc w:val="center"/>
        <w:rPr>
          <w:lang w:val="en-GB"/>
        </w:rPr>
      </w:pPr>
      <w:r w:rsidRPr="009423AF">
        <w:rPr>
          <w:lang w:val="en-GB"/>
        </w:rPr>
        <w:object w:dxaOrig="15555" w:dyaOrig="6555" w14:anchorId="069EC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3.25pt" o:ole="">
            <v:imagedata r:id="rId9" o:title=""/>
          </v:shape>
          <o:OLEObject Type="Embed" ProgID="Visio.Drawing.11" ShapeID="_x0000_i1025" DrawAspect="Content" ObjectID="_1634664846" r:id="rId10"/>
        </w:object>
      </w:r>
    </w:p>
    <w:p w14:paraId="3A8658CE" w14:textId="665E1234" w:rsidR="00BD78F7" w:rsidRPr="009423AF" w:rsidRDefault="00BD78F7" w:rsidP="00BD78F7">
      <w:pPr>
        <w:pStyle w:val="Caption"/>
        <w:jc w:val="center"/>
      </w:pPr>
      <w:bookmarkStart w:id="11" w:name="_Ref22815638"/>
      <w:r w:rsidRPr="009423AF">
        <w:t xml:space="preserve">Figure </w:t>
      </w:r>
      <w:r w:rsidRPr="009423AF">
        <w:fldChar w:fldCharType="begin"/>
      </w:r>
      <w:r w:rsidRPr="009423AF">
        <w:instrText xml:space="preserve"> SEQ Figure \* ARABIC </w:instrText>
      </w:r>
      <w:r w:rsidRPr="009423AF">
        <w:fldChar w:fldCharType="separate"/>
      </w:r>
      <w:r w:rsidR="00DF24AE" w:rsidRPr="009423AF">
        <w:rPr>
          <w:noProof/>
        </w:rPr>
        <w:t>2</w:t>
      </w:r>
      <w:r w:rsidRPr="009423AF">
        <w:fldChar w:fldCharType="end"/>
      </w:r>
      <w:bookmarkEnd w:id="11"/>
      <w:r w:rsidRPr="009423AF">
        <w:t xml:space="preserve">: </w:t>
      </w:r>
      <w:proofErr w:type="spellStart"/>
      <w:r w:rsidRPr="009423AF">
        <w:t>offsetDFN</w:t>
      </w:r>
      <w:proofErr w:type="spellEnd"/>
      <w:r w:rsidRPr="009423AF">
        <w:t xml:space="preserve"> produces misalignment by an integer number of </w:t>
      </w:r>
      <w:proofErr w:type="spellStart"/>
      <w:r w:rsidR="00133F71">
        <w:t>subframes</w:t>
      </w:r>
      <w:proofErr w:type="spellEnd"/>
    </w:p>
    <w:p w14:paraId="68A3E3AB" w14:textId="7B5F784A" w:rsidR="00947457" w:rsidRPr="009423AF" w:rsidRDefault="00947457" w:rsidP="00BF359C">
      <w:pPr>
        <w:spacing w:after="240"/>
        <w:rPr>
          <w:lang w:val="en-GB" w:eastAsia="en-US"/>
        </w:rPr>
      </w:pPr>
      <w:r w:rsidRPr="009423AF">
        <w:rPr>
          <w:lang w:val="en-GB" w:eastAsia="en-US"/>
        </w:rPr>
        <w:t xml:space="preserve">To correct for this misalignment, it should be possible for the </w:t>
      </w:r>
      <w:proofErr w:type="spellStart"/>
      <w:r w:rsidRPr="009423AF">
        <w:rPr>
          <w:lang w:val="en-GB" w:eastAsia="en-US"/>
        </w:rPr>
        <w:t>eNB</w:t>
      </w:r>
      <w:proofErr w:type="spellEnd"/>
      <w:r w:rsidRPr="009423AF">
        <w:rPr>
          <w:lang w:val="en-GB" w:eastAsia="en-US"/>
        </w:rPr>
        <w:t>/</w:t>
      </w:r>
      <w:proofErr w:type="spellStart"/>
      <w:r w:rsidRPr="009423AF">
        <w:rPr>
          <w:lang w:val="en-GB" w:eastAsia="en-US"/>
        </w:rPr>
        <w:t>gNB</w:t>
      </w:r>
      <w:proofErr w:type="spellEnd"/>
      <w:r w:rsidRPr="009423AF">
        <w:rPr>
          <w:lang w:val="en-GB" w:eastAsia="en-US"/>
        </w:rPr>
        <w:t xml:space="preserve"> to configure the UE with an additional slot-level offset as well as the DFN offset</w:t>
      </w:r>
      <w:r w:rsidR="00DF24AE" w:rsidRPr="009423AF">
        <w:rPr>
          <w:lang w:val="en-GB" w:eastAsia="en-US"/>
        </w:rPr>
        <w:t>.  The result is that the network can align the UE to an arbitrary slot timing on the GNSS timeline, and in particular, two (or more) UEs that need to communicate can have their timing aligned.</w:t>
      </w:r>
    </w:p>
    <w:p w14:paraId="472541F0" w14:textId="65E4C677" w:rsidR="00DF24AE" w:rsidRPr="009423AF" w:rsidRDefault="00DF24AE" w:rsidP="00BF359C">
      <w:pPr>
        <w:spacing w:after="240"/>
        <w:rPr>
          <w:lang w:val="en-GB" w:eastAsia="en-US"/>
        </w:rPr>
      </w:pPr>
      <w:r w:rsidRPr="009423AF">
        <w:rPr>
          <w:b/>
          <w:lang w:val="en-GB" w:eastAsia="en-US"/>
        </w:rPr>
        <w:t>Proposal 1:</w:t>
      </w:r>
      <w:r w:rsidRPr="009423AF">
        <w:rPr>
          <w:lang w:val="en-GB" w:eastAsia="en-US"/>
        </w:rPr>
        <w:t xml:space="preserve"> The UE can be configured with a slot-level offset in addition to the DFN offset, to adjust the slot timing in relation to a sync source such as GNSS.</w:t>
      </w:r>
    </w:p>
    <w:p w14:paraId="149EA564" w14:textId="0ADFDD28" w:rsidR="00DF24AE" w:rsidRPr="009423AF" w:rsidRDefault="00DF24AE" w:rsidP="00BF359C">
      <w:pPr>
        <w:spacing w:after="240"/>
        <w:rPr>
          <w:lang w:val="en-GB" w:eastAsia="en-US"/>
        </w:rPr>
      </w:pPr>
      <w:r w:rsidRPr="009423AF">
        <w:rPr>
          <w:lang w:val="en-GB" w:eastAsia="en-US"/>
        </w:rPr>
        <w:t xml:space="preserve">The operation of the two offsets together is as shown in </w:t>
      </w:r>
      <w:r w:rsidRPr="009423AF">
        <w:rPr>
          <w:lang w:val="en-GB" w:eastAsia="en-US"/>
        </w:rPr>
        <w:fldChar w:fldCharType="begin"/>
      </w:r>
      <w:r w:rsidRPr="009423AF">
        <w:rPr>
          <w:lang w:val="en-GB" w:eastAsia="en-US"/>
        </w:rPr>
        <w:instrText xml:space="preserve"> REF _Ref22816940 \h </w:instrText>
      </w:r>
      <w:r w:rsidRPr="009423AF">
        <w:rPr>
          <w:lang w:val="en-GB" w:eastAsia="en-US"/>
        </w:rPr>
      </w:r>
      <w:r w:rsidRPr="009423AF">
        <w:rPr>
          <w:lang w:val="en-GB" w:eastAsia="en-US"/>
        </w:rPr>
        <w:fldChar w:fldCharType="separate"/>
      </w:r>
      <w:r w:rsidRPr="009423AF">
        <w:rPr>
          <w:lang w:val="en-GB"/>
        </w:rPr>
        <w:t xml:space="preserve">Figure </w:t>
      </w:r>
      <w:r w:rsidRPr="009423AF">
        <w:rPr>
          <w:noProof/>
          <w:lang w:val="en-GB"/>
        </w:rPr>
        <w:t>3</w:t>
      </w:r>
      <w:r w:rsidRPr="009423AF">
        <w:rPr>
          <w:lang w:val="en-GB" w:eastAsia="en-US"/>
        </w:rPr>
        <w:fldChar w:fldCharType="end"/>
      </w:r>
      <w:r w:rsidRPr="009423AF">
        <w:rPr>
          <w:lang w:val="en-GB" w:eastAsia="en-US"/>
        </w:rPr>
        <w:t>.</w:t>
      </w:r>
    </w:p>
    <w:p w14:paraId="02022A6E" w14:textId="2E256762" w:rsidR="00DF24AE" w:rsidRPr="009423AF" w:rsidRDefault="00DF24AE" w:rsidP="00DF24AE">
      <w:pPr>
        <w:keepNext/>
        <w:spacing w:after="240"/>
        <w:jc w:val="center"/>
        <w:rPr>
          <w:lang w:val="en-GB" w:eastAsia="en-US"/>
        </w:rPr>
      </w:pPr>
      <w:r w:rsidRPr="009423AF">
        <w:rPr>
          <w:lang w:val="en-GB"/>
        </w:rPr>
        <w:object w:dxaOrig="7456" w:dyaOrig="6555" w14:anchorId="2FE20F11">
          <v:shape id="_x0000_i1026" type="#_x0000_t75" style="width:307.5pt;height:270pt" o:ole="">
            <v:imagedata r:id="rId11" o:title=""/>
          </v:shape>
          <o:OLEObject Type="Embed" ProgID="Visio.Drawing.11" ShapeID="_x0000_i1026" DrawAspect="Content" ObjectID="_1634664847" r:id="rId12"/>
        </w:object>
      </w:r>
    </w:p>
    <w:p w14:paraId="3567E580" w14:textId="617C55E0" w:rsidR="00DF24AE" w:rsidRPr="009423AF" w:rsidRDefault="00DF24AE" w:rsidP="00DF24AE">
      <w:pPr>
        <w:pStyle w:val="Caption"/>
        <w:jc w:val="center"/>
      </w:pPr>
      <w:bookmarkStart w:id="12" w:name="_Ref22816940"/>
      <w:r w:rsidRPr="009423AF">
        <w:t xml:space="preserve">Figure </w:t>
      </w:r>
      <w:r w:rsidRPr="009423AF">
        <w:fldChar w:fldCharType="begin"/>
      </w:r>
      <w:r w:rsidRPr="009423AF">
        <w:instrText xml:space="preserve"> SEQ Figure \* ARABIC </w:instrText>
      </w:r>
      <w:r w:rsidRPr="009423AF">
        <w:fldChar w:fldCharType="separate"/>
      </w:r>
      <w:r w:rsidRPr="009423AF">
        <w:rPr>
          <w:noProof/>
        </w:rPr>
        <w:t>3</w:t>
      </w:r>
      <w:r w:rsidRPr="009423AF">
        <w:fldChar w:fldCharType="end"/>
      </w:r>
      <w:bookmarkEnd w:id="12"/>
      <w:r w:rsidRPr="009423AF">
        <w:t>: Operation of DFN offset and slot offset in combination</w:t>
      </w:r>
    </w:p>
    <w:p w14:paraId="6EF4B93F" w14:textId="1B35F34C" w:rsidR="00AA3856" w:rsidRDefault="00AA3856" w:rsidP="00BF359C">
      <w:pPr>
        <w:spacing w:after="240"/>
        <w:rPr>
          <w:lang w:val="en-GB" w:eastAsia="en-US"/>
        </w:rPr>
      </w:pPr>
      <w:r>
        <w:rPr>
          <w:lang w:val="en-GB" w:eastAsia="en-US"/>
        </w:rPr>
        <w:lastRenderedPageBreak/>
        <w:t>These offsets can be signalled in two different ways, depending on whether they are maintained as separate fields (microsecond offset to GNSS</w:t>
      </w:r>
      <w:r w:rsidR="007A76D5">
        <w:rPr>
          <w:lang w:val="en-GB" w:eastAsia="en-US"/>
        </w:rPr>
        <w:t xml:space="preserve">-aligned </w:t>
      </w:r>
      <w:proofErr w:type="spellStart"/>
      <w:r w:rsidR="007A76D5">
        <w:rPr>
          <w:lang w:val="en-GB" w:eastAsia="en-US"/>
        </w:rPr>
        <w:t>subframe</w:t>
      </w:r>
      <w:proofErr w:type="spellEnd"/>
      <w:r w:rsidR="007A76D5">
        <w:rPr>
          <w:lang w:val="en-GB" w:eastAsia="en-US"/>
        </w:rPr>
        <w:t xml:space="preserve"> timing</w:t>
      </w:r>
      <w:r>
        <w:rPr>
          <w:lang w:val="en-GB" w:eastAsia="en-US"/>
        </w:rPr>
        <w:t xml:space="preserve"> + millisecond offset to frame timing) or a single field (microsecond offset directly to the desired frame timing).</w:t>
      </w:r>
    </w:p>
    <w:p w14:paraId="5236BDAA" w14:textId="374BFA64" w:rsidR="00BF359C" w:rsidRDefault="00AA3856" w:rsidP="00BF359C">
      <w:pPr>
        <w:spacing w:after="240"/>
        <w:rPr>
          <w:lang w:val="en-GB" w:eastAsia="en-US"/>
        </w:rPr>
      </w:pPr>
      <w:r>
        <w:rPr>
          <w:lang w:val="en-GB" w:eastAsia="en-US"/>
        </w:rPr>
        <w:t>In the first approach</w:t>
      </w:r>
      <w:r w:rsidR="00DF24AE" w:rsidRPr="009423AF">
        <w:rPr>
          <w:lang w:val="en-GB" w:eastAsia="en-US"/>
        </w:rPr>
        <w:t xml:space="preserve">, the </w:t>
      </w:r>
      <w:proofErr w:type="spellStart"/>
      <w:r w:rsidR="00DF24AE" w:rsidRPr="009423AF">
        <w:rPr>
          <w:lang w:val="en-GB" w:eastAsia="en-US"/>
        </w:rPr>
        <w:t>gNB</w:t>
      </w:r>
      <w:proofErr w:type="spellEnd"/>
      <w:r w:rsidR="00DF24AE" w:rsidRPr="009423AF">
        <w:rPr>
          <w:lang w:val="en-GB" w:eastAsia="en-US"/>
        </w:rPr>
        <w:t xml:space="preserve"> needs to deliver two fields: the DFN offset with microsecond granularity and a range of [0</w:t>
      </w:r>
      <w:proofErr w:type="gramStart"/>
      <w:r w:rsidR="00DF24AE" w:rsidRPr="009423AF">
        <w:rPr>
          <w:lang w:val="en-GB" w:eastAsia="en-US"/>
        </w:rPr>
        <w:t>,1</w:t>
      </w:r>
      <w:proofErr w:type="gramEnd"/>
      <w:r w:rsidR="00831759">
        <w:rPr>
          <w:lang w:val="en-GB" w:eastAsia="en-US"/>
        </w:rPr>
        <w:t>)</w:t>
      </w:r>
      <w:r w:rsidR="00DF24AE" w:rsidRPr="009423AF">
        <w:rPr>
          <w:lang w:val="en-GB" w:eastAsia="en-US"/>
        </w:rPr>
        <w:t xml:space="preserve"> </w:t>
      </w:r>
      <w:proofErr w:type="spellStart"/>
      <w:r w:rsidR="00DF24AE" w:rsidRPr="009423AF">
        <w:rPr>
          <w:lang w:val="en-GB" w:eastAsia="en-US"/>
        </w:rPr>
        <w:t>ms</w:t>
      </w:r>
      <w:proofErr w:type="spellEnd"/>
      <w:r w:rsidR="00DF24AE" w:rsidRPr="009423AF">
        <w:rPr>
          <w:lang w:val="en-GB" w:eastAsia="en-US"/>
        </w:rPr>
        <w:t xml:space="preserve">, and the slot offset with </w:t>
      </w:r>
      <w:proofErr w:type="spellStart"/>
      <w:r w:rsidR="007A76D5">
        <w:rPr>
          <w:lang w:val="en-GB" w:eastAsia="en-US"/>
        </w:rPr>
        <w:t>subframe</w:t>
      </w:r>
      <w:proofErr w:type="spellEnd"/>
      <w:r w:rsidR="00DF24AE" w:rsidRPr="009423AF">
        <w:rPr>
          <w:lang w:val="en-GB" w:eastAsia="en-US"/>
        </w:rPr>
        <w:t xml:space="preserve"> g</w:t>
      </w:r>
      <w:r w:rsidR="00831759">
        <w:rPr>
          <w:lang w:val="en-GB" w:eastAsia="en-US"/>
        </w:rPr>
        <w:t xml:space="preserve">ranularity and a </w:t>
      </w:r>
      <w:r w:rsidR="00A265B1">
        <w:rPr>
          <w:lang w:val="en-GB" w:eastAsia="en-US"/>
        </w:rPr>
        <w:t>10-ms range (e.g.</w:t>
      </w:r>
      <w:r w:rsidR="00831759">
        <w:rPr>
          <w:lang w:val="en-GB" w:eastAsia="en-US"/>
        </w:rPr>
        <w:t xml:space="preserve"> [-5,5)</w:t>
      </w:r>
      <w:r w:rsidR="00DF24AE" w:rsidRPr="009423AF">
        <w:rPr>
          <w:lang w:val="en-GB" w:eastAsia="en-US"/>
        </w:rPr>
        <w:t xml:space="preserve"> </w:t>
      </w:r>
      <w:r w:rsidR="00A265B1">
        <w:rPr>
          <w:lang w:val="en-GB" w:eastAsia="en-US"/>
        </w:rPr>
        <w:t xml:space="preserve">or [0,10) </w:t>
      </w:r>
      <w:proofErr w:type="spellStart"/>
      <w:r w:rsidR="00DF24AE" w:rsidRPr="009423AF">
        <w:rPr>
          <w:lang w:val="en-GB" w:eastAsia="en-US"/>
        </w:rPr>
        <w:t>ms</w:t>
      </w:r>
      <w:proofErr w:type="spellEnd"/>
      <w:r w:rsidR="00A265B1">
        <w:rPr>
          <w:lang w:val="en-GB" w:eastAsia="en-US"/>
        </w:rPr>
        <w:t>)</w:t>
      </w:r>
      <w:r w:rsidR="00DF24AE" w:rsidRPr="009423AF">
        <w:rPr>
          <w:lang w:val="en-GB" w:eastAsia="en-US"/>
        </w:rPr>
        <w:t>.  Since the offset</w:t>
      </w:r>
      <w:r w:rsidR="00831759">
        <w:rPr>
          <w:lang w:val="en-GB" w:eastAsia="en-US"/>
        </w:rPr>
        <w:t>s</w:t>
      </w:r>
      <w:r w:rsidR="00DF24AE" w:rsidRPr="009423AF">
        <w:rPr>
          <w:lang w:val="en-GB" w:eastAsia="en-US"/>
        </w:rPr>
        <w:t xml:space="preserve"> </w:t>
      </w:r>
      <w:r w:rsidR="00831759">
        <w:rPr>
          <w:lang w:val="en-GB" w:eastAsia="en-US"/>
        </w:rPr>
        <w:t>are</w:t>
      </w:r>
      <w:r w:rsidR="00DF24AE" w:rsidRPr="009423AF">
        <w:rPr>
          <w:lang w:val="en-GB" w:eastAsia="en-US"/>
        </w:rPr>
        <w:t xml:space="preserve"> used to adjust from the </w:t>
      </w:r>
      <w:proofErr w:type="spellStart"/>
      <w:r w:rsidR="00DF24AE" w:rsidRPr="009423AF">
        <w:rPr>
          <w:lang w:val="en-GB" w:eastAsia="en-US"/>
        </w:rPr>
        <w:t>gNB</w:t>
      </w:r>
      <w:proofErr w:type="spellEnd"/>
      <w:r w:rsidR="00DF24AE" w:rsidRPr="009423AF">
        <w:rPr>
          <w:lang w:val="en-GB" w:eastAsia="en-US"/>
        </w:rPr>
        <w:t xml:space="preserve"> timing to GNSS timing, </w:t>
      </w:r>
      <w:r w:rsidR="00831759">
        <w:rPr>
          <w:lang w:val="en-GB" w:eastAsia="en-US"/>
        </w:rPr>
        <w:t xml:space="preserve">both can be </w:t>
      </w:r>
      <w:r w:rsidR="00DF24AE" w:rsidRPr="009423AF">
        <w:rPr>
          <w:lang w:val="en-GB" w:eastAsia="en-US"/>
        </w:rPr>
        <w:t>common parameter</w:t>
      </w:r>
      <w:r w:rsidR="00831759">
        <w:rPr>
          <w:lang w:val="en-GB" w:eastAsia="en-US"/>
        </w:rPr>
        <w:t>s</w:t>
      </w:r>
      <w:r w:rsidR="00DF24AE" w:rsidRPr="009423AF">
        <w:rPr>
          <w:lang w:val="en-GB" w:eastAsia="en-US"/>
        </w:rPr>
        <w:t xml:space="preserve"> at the per-carrier/per-cell lev</w:t>
      </w:r>
      <w:r w:rsidR="00A265B1">
        <w:rPr>
          <w:lang w:val="en-GB" w:eastAsia="en-US"/>
        </w:rPr>
        <w:t>el</w:t>
      </w:r>
      <w:r w:rsidR="00DF24AE" w:rsidRPr="009423AF">
        <w:rPr>
          <w:lang w:val="en-GB" w:eastAsia="en-US"/>
        </w:rPr>
        <w:t>.</w:t>
      </w:r>
    </w:p>
    <w:p w14:paraId="2545CB79" w14:textId="22C8F223" w:rsidR="00831759" w:rsidRDefault="00831759" w:rsidP="00BF359C">
      <w:pPr>
        <w:spacing w:after="240"/>
        <w:rPr>
          <w:lang w:val="en-GB" w:eastAsia="en-US"/>
        </w:rPr>
      </w:pPr>
      <w:r>
        <w:rPr>
          <w:lang w:val="en-GB" w:eastAsia="en-US"/>
        </w:rPr>
        <w:t xml:space="preserve">In the second approach, the two offsets are combined into a single field, which would need to have microsecond granularity and a total range of 10 </w:t>
      </w:r>
      <w:proofErr w:type="spellStart"/>
      <w:r>
        <w:rPr>
          <w:lang w:val="en-GB" w:eastAsia="en-US"/>
        </w:rPr>
        <w:t>ms</w:t>
      </w:r>
      <w:proofErr w:type="spellEnd"/>
      <w:r>
        <w:rPr>
          <w:lang w:val="en-GB" w:eastAsia="en-US"/>
        </w:rPr>
        <w:t>, e.g. a range of (0</w:t>
      </w:r>
      <w:proofErr w:type="gramStart"/>
      <w:r>
        <w:rPr>
          <w:lang w:val="en-GB" w:eastAsia="en-US"/>
        </w:rPr>
        <w:t>..9999</w:t>
      </w:r>
      <w:proofErr w:type="gramEnd"/>
      <w:r>
        <w:rPr>
          <w:lang w:val="en-GB" w:eastAsia="en-US"/>
        </w:rPr>
        <w:t>) or (-5000..4999).  The single offset could serve the combined functions of the DFN offset and slot level offset as described above, resulting in alignment to GNSS with the desired frame timing.</w:t>
      </w:r>
    </w:p>
    <w:p w14:paraId="2107FB41" w14:textId="66935857" w:rsidR="00831759" w:rsidRDefault="00831759" w:rsidP="00BF359C">
      <w:pPr>
        <w:spacing w:after="240"/>
        <w:rPr>
          <w:lang w:val="en-GB" w:eastAsia="en-US"/>
        </w:rPr>
      </w:pPr>
      <w:r>
        <w:rPr>
          <w:lang w:val="en-GB" w:eastAsia="en-US"/>
        </w:rPr>
        <w:t>Either signalling approach is valid; we have a slight preference for the combined offset as being clearer to interpret.</w:t>
      </w:r>
      <w:r w:rsidR="00B826D2">
        <w:rPr>
          <w:lang w:val="en-GB" w:eastAsia="en-US"/>
        </w:rPr>
        <w:t xml:space="preserve">  The offsets should be included in the per-carrier/per-cell configurations; they are not needed in </w:t>
      </w:r>
      <w:proofErr w:type="spellStart"/>
      <w:r w:rsidR="00B826D2">
        <w:rPr>
          <w:lang w:val="en-GB" w:eastAsia="en-US"/>
        </w:rPr>
        <w:t>preconfigurations</w:t>
      </w:r>
      <w:proofErr w:type="spellEnd"/>
      <w:r w:rsidR="00B826D2">
        <w:rPr>
          <w:lang w:val="en-GB" w:eastAsia="en-US"/>
        </w:rPr>
        <w:t xml:space="preserve"> (there may be situations where a UE is synced to a </w:t>
      </w:r>
      <w:proofErr w:type="spellStart"/>
      <w:r w:rsidR="00B826D2">
        <w:rPr>
          <w:lang w:val="en-GB" w:eastAsia="en-US"/>
        </w:rPr>
        <w:t>gNB</w:t>
      </w:r>
      <w:proofErr w:type="spellEnd"/>
      <w:r w:rsidR="00B826D2">
        <w:rPr>
          <w:lang w:val="en-GB" w:eastAsia="en-US"/>
        </w:rPr>
        <w:t xml:space="preserve"> but using a </w:t>
      </w:r>
      <w:proofErr w:type="spellStart"/>
      <w:r w:rsidR="00B826D2">
        <w:rPr>
          <w:lang w:val="en-GB" w:eastAsia="en-US"/>
        </w:rPr>
        <w:t>preconfiguration</w:t>
      </w:r>
      <w:proofErr w:type="spellEnd"/>
      <w:r w:rsidR="00B826D2">
        <w:rPr>
          <w:lang w:val="en-GB" w:eastAsia="en-US"/>
        </w:rPr>
        <w:t xml:space="preserve">, e.g. because the serving </w:t>
      </w:r>
      <w:proofErr w:type="spellStart"/>
      <w:r w:rsidR="00B826D2">
        <w:rPr>
          <w:lang w:val="en-GB" w:eastAsia="en-US"/>
        </w:rPr>
        <w:t>gNB</w:t>
      </w:r>
      <w:proofErr w:type="spellEnd"/>
      <w:r w:rsidR="00B826D2">
        <w:rPr>
          <w:lang w:val="en-GB" w:eastAsia="en-US"/>
        </w:rPr>
        <w:t xml:space="preserve"> does not offer any V2X configurations, but in such a case it is unclear how the </w:t>
      </w:r>
      <w:proofErr w:type="spellStart"/>
      <w:r w:rsidR="00B826D2">
        <w:rPr>
          <w:lang w:val="en-GB" w:eastAsia="en-US"/>
        </w:rPr>
        <w:t>preconfiguration</w:t>
      </w:r>
      <w:proofErr w:type="spellEnd"/>
      <w:r w:rsidR="00B826D2">
        <w:rPr>
          <w:lang w:val="en-GB" w:eastAsia="en-US"/>
        </w:rPr>
        <w:t xml:space="preserve"> could account for the alignment between the </w:t>
      </w:r>
      <w:proofErr w:type="spellStart"/>
      <w:r w:rsidR="00B826D2">
        <w:rPr>
          <w:lang w:val="en-GB" w:eastAsia="en-US"/>
        </w:rPr>
        <w:t>gNB</w:t>
      </w:r>
      <w:proofErr w:type="spellEnd"/>
      <w:r w:rsidR="00B826D2">
        <w:rPr>
          <w:lang w:val="en-GB" w:eastAsia="en-US"/>
        </w:rPr>
        <w:t xml:space="preserve"> and GNSS), and a UE-specific value is not needed since all UEs under the same </w:t>
      </w:r>
      <w:proofErr w:type="spellStart"/>
      <w:r w:rsidR="00B826D2">
        <w:rPr>
          <w:lang w:val="en-GB" w:eastAsia="en-US"/>
        </w:rPr>
        <w:t>gNB</w:t>
      </w:r>
      <w:proofErr w:type="spellEnd"/>
      <w:r w:rsidR="00B826D2">
        <w:rPr>
          <w:lang w:val="en-GB" w:eastAsia="en-US"/>
        </w:rPr>
        <w:t xml:space="preserve"> will have the same offset.</w:t>
      </w:r>
    </w:p>
    <w:p w14:paraId="78492A4A" w14:textId="3DB0F96B" w:rsidR="00831759" w:rsidRDefault="00831759" w:rsidP="00BF359C">
      <w:pPr>
        <w:spacing w:after="240"/>
        <w:rPr>
          <w:lang w:val="en-GB" w:eastAsia="en-US"/>
        </w:rPr>
      </w:pPr>
      <w:r>
        <w:rPr>
          <w:b/>
          <w:lang w:val="en-GB" w:eastAsia="en-US"/>
        </w:rPr>
        <w:t>Proposal 2:</w:t>
      </w:r>
      <w:r>
        <w:rPr>
          <w:lang w:val="en-GB" w:eastAsia="en-US"/>
        </w:rPr>
        <w:t xml:space="preserve"> In the NR per-carrier/per-cell V2X configurations, </w:t>
      </w:r>
      <w:proofErr w:type="spellStart"/>
      <w:r>
        <w:rPr>
          <w:i/>
          <w:lang w:val="en-GB" w:eastAsia="en-US"/>
        </w:rPr>
        <w:t>offsetDFN</w:t>
      </w:r>
      <w:proofErr w:type="spellEnd"/>
      <w:r>
        <w:rPr>
          <w:lang w:val="en-GB" w:eastAsia="en-US"/>
        </w:rPr>
        <w:t xml:space="preserve"> is introduced with units of microseconds and a range of (0</w:t>
      </w:r>
      <w:proofErr w:type="gramStart"/>
      <w:r>
        <w:rPr>
          <w:lang w:val="en-GB" w:eastAsia="en-US"/>
        </w:rPr>
        <w:t>..9999</w:t>
      </w:r>
      <w:proofErr w:type="gramEnd"/>
      <w:r>
        <w:rPr>
          <w:lang w:val="en-GB" w:eastAsia="en-US"/>
        </w:rPr>
        <w:t>)</w:t>
      </w:r>
      <w:r w:rsidR="00B826D2">
        <w:rPr>
          <w:lang w:val="en-GB" w:eastAsia="en-US"/>
        </w:rPr>
        <w:t>.</w:t>
      </w:r>
    </w:p>
    <w:p w14:paraId="05BA45FE" w14:textId="48DA8F0F" w:rsidR="007D0766" w:rsidRDefault="007D0766" w:rsidP="00BF359C">
      <w:pPr>
        <w:spacing w:after="240"/>
        <w:rPr>
          <w:lang w:val="en-GB" w:eastAsia="en-US"/>
        </w:rPr>
      </w:pPr>
      <w:r>
        <w:rPr>
          <w:lang w:val="en-GB" w:eastAsia="en-US"/>
        </w:rPr>
        <w:t xml:space="preserve">In the LTE signalling (for UEs controlled by an </w:t>
      </w:r>
      <w:proofErr w:type="spellStart"/>
      <w:r>
        <w:rPr>
          <w:lang w:val="en-GB" w:eastAsia="en-US"/>
        </w:rPr>
        <w:t>eNB</w:t>
      </w:r>
      <w:proofErr w:type="spellEnd"/>
      <w:r>
        <w:rPr>
          <w:lang w:val="en-GB" w:eastAsia="en-US"/>
        </w:rPr>
        <w:t xml:space="preserve">), an extended </w:t>
      </w:r>
      <w:proofErr w:type="spellStart"/>
      <w:r>
        <w:rPr>
          <w:i/>
          <w:lang w:val="en-GB" w:eastAsia="en-US"/>
        </w:rPr>
        <w:t>offsetDFN</w:t>
      </w:r>
      <w:proofErr w:type="spellEnd"/>
      <w:r>
        <w:rPr>
          <w:lang w:val="en-GB" w:eastAsia="en-US"/>
        </w:rPr>
        <w:t xml:space="preserve"> could be introduced as an extension in the same way as in NR, or a separate slot offset could be added in addition to the existing </w:t>
      </w:r>
      <w:proofErr w:type="spellStart"/>
      <w:r>
        <w:rPr>
          <w:i/>
          <w:lang w:val="en-GB" w:eastAsia="en-US"/>
        </w:rPr>
        <w:t>offsetDFN</w:t>
      </w:r>
      <w:proofErr w:type="spellEnd"/>
      <w:r>
        <w:rPr>
          <w:lang w:val="en-GB" w:eastAsia="en-US"/>
        </w:rPr>
        <w:t>.  Again the single offset may be slightly clearer to interpret (especially considering alignment with the NR signalling), but either approach is valid.</w:t>
      </w:r>
    </w:p>
    <w:p w14:paraId="60BD4A14" w14:textId="7716786B" w:rsidR="007D0766" w:rsidRPr="007A76D5" w:rsidRDefault="007D0766" w:rsidP="00BF359C">
      <w:pPr>
        <w:spacing w:after="240"/>
        <w:rPr>
          <w:lang w:val="en-GB" w:eastAsia="en-US"/>
        </w:rPr>
      </w:pPr>
      <w:r>
        <w:rPr>
          <w:b/>
          <w:lang w:val="en-GB" w:eastAsia="en-US"/>
        </w:rPr>
        <w:t>Proposal 3:</w:t>
      </w:r>
      <w:r>
        <w:rPr>
          <w:lang w:val="en-GB" w:eastAsia="en-US"/>
        </w:rPr>
        <w:t xml:space="preserve"> In the LTE per-carrier/per-cell V2X configurations, an extended version of </w:t>
      </w:r>
      <w:proofErr w:type="spellStart"/>
      <w:r>
        <w:rPr>
          <w:i/>
          <w:lang w:val="en-GB" w:eastAsia="en-US"/>
        </w:rPr>
        <w:t>offsetDFN</w:t>
      </w:r>
      <w:proofErr w:type="spellEnd"/>
      <w:r>
        <w:rPr>
          <w:lang w:val="en-GB" w:eastAsia="en-US"/>
        </w:rPr>
        <w:t xml:space="preserve"> is introduced with units of microseconds and a range of (0</w:t>
      </w:r>
      <w:proofErr w:type="gramStart"/>
      <w:r>
        <w:rPr>
          <w:lang w:val="en-GB" w:eastAsia="en-US"/>
        </w:rPr>
        <w:t>..9999</w:t>
      </w:r>
      <w:proofErr w:type="gramEnd"/>
      <w:r>
        <w:rPr>
          <w:lang w:val="en-GB" w:eastAsia="en-US"/>
        </w:rPr>
        <w:t>).</w:t>
      </w:r>
      <w:r w:rsidR="007A76D5">
        <w:rPr>
          <w:lang w:val="en-GB" w:eastAsia="en-US"/>
        </w:rPr>
        <w:t xml:space="preserve">  If the extended offset is signalled, the legacy </w:t>
      </w:r>
      <w:proofErr w:type="spellStart"/>
      <w:r w:rsidR="007A76D5">
        <w:rPr>
          <w:i/>
          <w:lang w:val="en-GB" w:eastAsia="en-US"/>
        </w:rPr>
        <w:t>offsetDFN</w:t>
      </w:r>
      <w:proofErr w:type="spellEnd"/>
      <w:r w:rsidR="007A76D5">
        <w:rPr>
          <w:lang w:val="en-GB" w:eastAsia="en-US"/>
        </w:rPr>
        <w:t xml:space="preserve"> field is disregarded.</w:t>
      </w:r>
    </w:p>
    <w:p w14:paraId="016302AC" w14:textId="5BC10B52" w:rsidR="00A17DB7" w:rsidRPr="009423AF" w:rsidRDefault="001A1FCC" w:rsidP="00A17DB7">
      <w:pPr>
        <w:pStyle w:val="Heading1"/>
        <w:overflowPunct w:val="0"/>
        <w:autoSpaceDE w:val="0"/>
        <w:autoSpaceDN w:val="0"/>
        <w:adjustRightInd w:val="0"/>
        <w:rPr>
          <w:rFonts w:eastAsia="PMingLiU" w:cs="Arial"/>
        </w:rPr>
      </w:pPr>
      <w:r w:rsidRPr="009423AF">
        <w:rPr>
          <w:rFonts w:eastAsia="PMingLiU" w:cs="Arial"/>
        </w:rPr>
        <w:t>Conc</w:t>
      </w:r>
      <w:r w:rsidR="00A17DB7" w:rsidRPr="009423AF">
        <w:rPr>
          <w:rFonts w:eastAsia="PMingLiU" w:cs="Arial"/>
        </w:rPr>
        <w:t>l</w:t>
      </w:r>
      <w:r w:rsidRPr="009423AF">
        <w:rPr>
          <w:rFonts w:eastAsia="PMingLiU" w:cs="Arial"/>
        </w:rPr>
        <w:t>usion</w:t>
      </w:r>
      <w:bookmarkEnd w:id="6"/>
      <w:bookmarkEnd w:id="7"/>
      <w:bookmarkEnd w:id="8"/>
      <w:bookmarkEnd w:id="9"/>
    </w:p>
    <w:bookmarkEnd w:id="0"/>
    <w:bookmarkEnd w:id="1"/>
    <w:p w14:paraId="748BD63E" w14:textId="5B107A36" w:rsidR="008E3599" w:rsidRPr="009423AF" w:rsidRDefault="001D0C07" w:rsidP="00703D29">
      <w:pPr>
        <w:spacing w:after="240"/>
        <w:rPr>
          <w:lang w:val="en-GB"/>
        </w:rPr>
      </w:pPr>
      <w:r>
        <w:rPr>
          <w:lang w:val="en-GB"/>
        </w:rPr>
        <w:t>This document promulgated the following proposals:</w:t>
      </w:r>
    </w:p>
    <w:p w14:paraId="45A5C9F4" w14:textId="77777777" w:rsidR="001D0C07" w:rsidRPr="009423AF" w:rsidRDefault="001D0C07" w:rsidP="001D0C07">
      <w:pPr>
        <w:spacing w:after="240"/>
        <w:rPr>
          <w:lang w:val="en-GB" w:eastAsia="en-US"/>
        </w:rPr>
      </w:pPr>
      <w:r w:rsidRPr="009423AF">
        <w:rPr>
          <w:b/>
          <w:lang w:val="en-GB" w:eastAsia="en-US"/>
        </w:rPr>
        <w:t>Proposal 1:</w:t>
      </w:r>
      <w:r w:rsidRPr="009423AF">
        <w:rPr>
          <w:lang w:val="en-GB" w:eastAsia="en-US"/>
        </w:rPr>
        <w:t xml:space="preserve"> The UE can be configured with a slot-level offset in addition to the DFN offset, to adjust the slot timing in relation to a sync source such as GNSS.</w:t>
      </w:r>
    </w:p>
    <w:p w14:paraId="04417C85" w14:textId="77777777" w:rsidR="001D0C07" w:rsidRDefault="001D0C07" w:rsidP="001D0C07">
      <w:pPr>
        <w:spacing w:after="240"/>
        <w:rPr>
          <w:lang w:val="en-GB" w:eastAsia="en-US"/>
        </w:rPr>
      </w:pPr>
      <w:r>
        <w:rPr>
          <w:b/>
          <w:lang w:val="en-GB" w:eastAsia="en-US"/>
        </w:rPr>
        <w:t>Proposal 2:</w:t>
      </w:r>
      <w:r>
        <w:rPr>
          <w:lang w:val="en-GB" w:eastAsia="en-US"/>
        </w:rPr>
        <w:t xml:space="preserve"> In the NR per-carrier/per-cell V2X configurations, </w:t>
      </w:r>
      <w:proofErr w:type="spellStart"/>
      <w:r>
        <w:rPr>
          <w:i/>
          <w:lang w:val="en-GB" w:eastAsia="en-US"/>
        </w:rPr>
        <w:t>offsetDFN</w:t>
      </w:r>
      <w:proofErr w:type="spellEnd"/>
      <w:r>
        <w:rPr>
          <w:lang w:val="en-GB" w:eastAsia="en-US"/>
        </w:rPr>
        <w:t xml:space="preserve"> is introduced with units of microseconds and a range of (0</w:t>
      </w:r>
      <w:proofErr w:type="gramStart"/>
      <w:r>
        <w:rPr>
          <w:lang w:val="en-GB" w:eastAsia="en-US"/>
        </w:rPr>
        <w:t>..9999</w:t>
      </w:r>
      <w:proofErr w:type="gramEnd"/>
      <w:r>
        <w:rPr>
          <w:lang w:val="en-GB" w:eastAsia="en-US"/>
        </w:rPr>
        <w:t>).</w:t>
      </w:r>
    </w:p>
    <w:p w14:paraId="5F52BCDA" w14:textId="77777777" w:rsidR="001D0C07" w:rsidRPr="007A76D5" w:rsidRDefault="001D0C07" w:rsidP="001D0C07">
      <w:pPr>
        <w:spacing w:after="240"/>
        <w:rPr>
          <w:lang w:val="en-GB" w:eastAsia="en-US"/>
        </w:rPr>
      </w:pPr>
      <w:r>
        <w:rPr>
          <w:b/>
          <w:lang w:val="en-GB" w:eastAsia="en-US"/>
        </w:rPr>
        <w:t>Proposal 3:</w:t>
      </w:r>
      <w:r>
        <w:rPr>
          <w:lang w:val="en-GB" w:eastAsia="en-US"/>
        </w:rPr>
        <w:t xml:space="preserve"> In the LTE per-carrier/per-cell V2X configurations, an extended version of </w:t>
      </w:r>
      <w:proofErr w:type="spellStart"/>
      <w:r>
        <w:rPr>
          <w:i/>
          <w:lang w:val="en-GB" w:eastAsia="en-US"/>
        </w:rPr>
        <w:t>offsetDFN</w:t>
      </w:r>
      <w:proofErr w:type="spellEnd"/>
      <w:r>
        <w:rPr>
          <w:lang w:val="en-GB" w:eastAsia="en-US"/>
        </w:rPr>
        <w:t xml:space="preserve"> is introduced with units of microseconds and a range of (0</w:t>
      </w:r>
      <w:proofErr w:type="gramStart"/>
      <w:r>
        <w:rPr>
          <w:lang w:val="en-GB" w:eastAsia="en-US"/>
        </w:rPr>
        <w:t>..9999</w:t>
      </w:r>
      <w:proofErr w:type="gramEnd"/>
      <w:r>
        <w:rPr>
          <w:lang w:val="en-GB" w:eastAsia="en-US"/>
        </w:rPr>
        <w:t xml:space="preserve">).  If the extended offset is signalled, the legacy </w:t>
      </w:r>
      <w:proofErr w:type="spellStart"/>
      <w:r>
        <w:rPr>
          <w:i/>
          <w:lang w:val="en-GB" w:eastAsia="en-US"/>
        </w:rPr>
        <w:t>offsetDFN</w:t>
      </w:r>
      <w:proofErr w:type="spellEnd"/>
      <w:r>
        <w:rPr>
          <w:lang w:val="en-GB" w:eastAsia="en-US"/>
        </w:rPr>
        <w:t xml:space="preserve"> field is disregarded.</w:t>
      </w:r>
    </w:p>
    <w:p w14:paraId="7F37F751" w14:textId="5735CD44" w:rsidR="00732182" w:rsidRPr="009423AF" w:rsidRDefault="00732182" w:rsidP="00732182">
      <w:pPr>
        <w:pStyle w:val="Heading1"/>
        <w:overflowPunct w:val="0"/>
        <w:autoSpaceDE w:val="0"/>
        <w:autoSpaceDN w:val="0"/>
        <w:adjustRightInd w:val="0"/>
        <w:rPr>
          <w:rFonts w:eastAsia="PMingLiU" w:cs="Arial"/>
        </w:rPr>
      </w:pPr>
      <w:r w:rsidRPr="009423AF">
        <w:rPr>
          <w:rFonts w:eastAsia="PMingLiU" w:cs="Arial"/>
        </w:rPr>
        <w:t>References</w:t>
      </w:r>
    </w:p>
    <w:p w14:paraId="2D48A6DA" w14:textId="01BE1780" w:rsidR="00732182" w:rsidRPr="009423AF" w:rsidRDefault="001C15D5" w:rsidP="00D74469">
      <w:pPr>
        <w:ind w:left="720" w:hanging="720"/>
        <w:rPr>
          <w:lang w:val="en-GB" w:eastAsia="en-US"/>
        </w:rPr>
      </w:pPr>
      <w:r w:rsidRPr="009423AF">
        <w:rPr>
          <w:lang w:val="en-GB" w:eastAsia="en-US"/>
        </w:rPr>
        <w:t>[1]</w:t>
      </w:r>
      <w:r w:rsidRPr="009423AF">
        <w:rPr>
          <w:lang w:val="en-GB" w:eastAsia="en-US"/>
        </w:rPr>
        <w:tab/>
      </w:r>
      <w:r w:rsidR="00EF098E" w:rsidRPr="009423AF">
        <w:rPr>
          <w:lang w:val="en-GB" w:eastAsia="en-US"/>
        </w:rPr>
        <w:t>R4-1910900, “Discussion on NR V2X communication in asynchronous network”, MediaTek Inc., RAN4#92bis</w:t>
      </w:r>
    </w:p>
    <w:p w14:paraId="0E6A9BE0" w14:textId="38D6C8E7" w:rsidR="00D74469" w:rsidRPr="009423AF" w:rsidRDefault="00A265B1" w:rsidP="00732182">
      <w:pPr>
        <w:rPr>
          <w:lang w:val="en-GB" w:eastAsia="en-US"/>
        </w:rPr>
      </w:pPr>
      <w:r>
        <w:rPr>
          <w:lang w:val="en-GB" w:eastAsia="en-US"/>
        </w:rPr>
        <w:t>[2]</w:t>
      </w:r>
      <w:r>
        <w:rPr>
          <w:lang w:val="en-GB" w:eastAsia="en-US"/>
        </w:rPr>
        <w:tab/>
        <w:t>R4-1912826</w:t>
      </w:r>
      <w:r w:rsidR="00BF359C" w:rsidRPr="009423AF">
        <w:rPr>
          <w:lang w:val="en-GB" w:eastAsia="en-US"/>
        </w:rPr>
        <w:t xml:space="preserve">/R2-19xxxxx, “LS on </w:t>
      </w:r>
      <w:proofErr w:type="spellStart"/>
      <w:r w:rsidR="00BF359C" w:rsidRPr="009423AF">
        <w:rPr>
          <w:lang w:val="en-GB" w:eastAsia="en-US"/>
        </w:rPr>
        <w:t>sidelink</w:t>
      </w:r>
      <w:proofErr w:type="spellEnd"/>
      <w:r w:rsidR="00BF359C" w:rsidRPr="009423AF">
        <w:rPr>
          <w:lang w:val="en-GB" w:eastAsia="en-US"/>
        </w:rPr>
        <w:t xml:space="preserve"> synchronization under multiple synchronization sources with different timing”, LS from RAN4 to RAN2, RAN4#92bis/RAN2#108</w:t>
      </w:r>
    </w:p>
    <w:p w14:paraId="0EFFC6D5" w14:textId="77777777" w:rsidR="00211DDB" w:rsidRPr="009423AF" w:rsidRDefault="00211DDB" w:rsidP="00BB7841">
      <w:pPr>
        <w:spacing w:after="240"/>
        <w:rPr>
          <w:lang w:val="en-GB"/>
        </w:rPr>
      </w:pPr>
    </w:p>
    <w:sectPr w:rsidR="00211DDB" w:rsidRPr="009423AF" w:rsidSect="00E70F1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46466" w14:textId="77777777" w:rsidR="00CE13A8" w:rsidRDefault="00CE13A8">
      <w:pPr>
        <w:pStyle w:val="TAL"/>
      </w:pPr>
      <w:r>
        <w:separator/>
      </w:r>
    </w:p>
  </w:endnote>
  <w:endnote w:type="continuationSeparator" w:id="0">
    <w:p w14:paraId="13463D0B" w14:textId="77777777" w:rsidR="00CE13A8" w:rsidRDefault="00CE13A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947457" w:rsidRDefault="00947457">
    <w:pPr>
      <w:pStyle w:val="Footer"/>
    </w:pPr>
    <w:r>
      <w:fldChar w:fldCharType="begin"/>
    </w:r>
    <w:r>
      <w:instrText xml:space="preserve"> PAGE   \* MERGEFORMAT </w:instrText>
    </w:r>
    <w:r>
      <w:fldChar w:fldCharType="separate"/>
    </w:r>
    <w:r w:rsidR="007A44C5">
      <w:t>1</w:t>
    </w:r>
    <w:r>
      <w:fldChar w:fldCharType="end"/>
    </w:r>
  </w:p>
  <w:p w14:paraId="0FBB99F7" w14:textId="77777777" w:rsidR="00947457" w:rsidRDefault="009474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4C886" w14:textId="77777777" w:rsidR="00CE13A8" w:rsidRDefault="00CE13A8">
      <w:pPr>
        <w:pStyle w:val="TAL"/>
      </w:pPr>
      <w:r>
        <w:separator/>
      </w:r>
    </w:p>
  </w:footnote>
  <w:footnote w:type="continuationSeparator" w:id="0">
    <w:p w14:paraId="07571DDD" w14:textId="77777777" w:rsidR="00CE13A8" w:rsidRDefault="00CE13A8">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2DF"/>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3F71"/>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14"/>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C07"/>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4BD1"/>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44C5"/>
    <w:rsid w:val="007A5039"/>
    <w:rsid w:val="007A53B0"/>
    <w:rsid w:val="007A5433"/>
    <w:rsid w:val="007A5832"/>
    <w:rsid w:val="007A5F48"/>
    <w:rsid w:val="007A6441"/>
    <w:rsid w:val="007A68E4"/>
    <w:rsid w:val="007A7389"/>
    <w:rsid w:val="007A76D5"/>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0766"/>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759"/>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8D"/>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3AF"/>
    <w:rsid w:val="00942661"/>
    <w:rsid w:val="00942E39"/>
    <w:rsid w:val="009434A5"/>
    <w:rsid w:val="009435BE"/>
    <w:rsid w:val="009439EA"/>
    <w:rsid w:val="00943A21"/>
    <w:rsid w:val="00943F64"/>
    <w:rsid w:val="00944035"/>
    <w:rsid w:val="0094443E"/>
    <w:rsid w:val="00944862"/>
    <w:rsid w:val="00944B0F"/>
    <w:rsid w:val="00944BB8"/>
    <w:rsid w:val="00945967"/>
    <w:rsid w:val="00945A22"/>
    <w:rsid w:val="009460C2"/>
    <w:rsid w:val="009468C6"/>
    <w:rsid w:val="00946943"/>
    <w:rsid w:val="00946CED"/>
    <w:rsid w:val="0094743C"/>
    <w:rsid w:val="00947457"/>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2B8"/>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B1"/>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856"/>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E7A8E"/>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6D2"/>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8F7"/>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59C"/>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C93"/>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3A8"/>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1E7C"/>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4AE"/>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09"/>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098E"/>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EBBBA4-0819-44A4-BA0A-3FCCD2FA3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2007-12-21T18:58:00Z</cp:lastPrinted>
  <dcterms:created xsi:type="dcterms:W3CDTF">2019-11-08T04:43:00Z</dcterms:created>
  <dcterms:modified xsi:type="dcterms:W3CDTF">2019-11-08T04:43:00Z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