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EBE6D0" w14:textId="7730BFC3" w:rsidR="00A91CA7" w:rsidRPr="00715910" w:rsidRDefault="00A91CA7" w:rsidP="00715910">
      <w:pPr>
        <w:tabs>
          <w:tab w:val="left" w:pos="1985"/>
        </w:tabs>
        <w:rPr>
          <w:rFonts w:ascii="Arial" w:hAnsi="Arial" w:cs="Arial"/>
          <w:b/>
          <w:sz w:val="24"/>
        </w:rPr>
      </w:pPr>
      <w:r>
        <w:rPr>
          <w:rFonts w:ascii="Arial" w:hAnsi="Arial" w:cs="Arial"/>
          <w:b/>
          <w:sz w:val="24"/>
        </w:rPr>
        <w:t>3GPP TSG RAN WG2 Meeting #10</w:t>
      </w:r>
      <w:r w:rsidR="00566A2D">
        <w:rPr>
          <w:rFonts w:ascii="Arial" w:hAnsi="Arial" w:cs="Arial"/>
          <w:b/>
          <w:sz w:val="24"/>
        </w:rPr>
        <w:t>8</w:t>
      </w:r>
      <w:r>
        <w:rPr>
          <w:rFonts w:ascii="Arial" w:hAnsi="Arial" w:cs="Arial"/>
          <w:b/>
          <w:sz w:val="24"/>
        </w:rPr>
        <w:t xml:space="preserve">        </w:t>
      </w:r>
      <w:r>
        <w:rPr>
          <w:rFonts w:ascii="Arial" w:hAnsi="Arial" w:cs="Arial"/>
          <w:b/>
          <w:sz w:val="24"/>
        </w:rPr>
        <w:tab/>
        <w:t xml:space="preserve">                                                      </w:t>
      </w:r>
      <w:r w:rsidR="008720FF">
        <w:rPr>
          <w:rFonts w:ascii="Arial" w:hAnsi="Arial" w:cs="Arial"/>
          <w:b/>
          <w:sz w:val="24"/>
        </w:rPr>
        <w:t xml:space="preserve"> </w:t>
      </w:r>
      <w:r w:rsidR="008425F3" w:rsidRPr="008425F3">
        <w:rPr>
          <w:rFonts w:ascii="Arial" w:hAnsi="Arial" w:cs="Arial"/>
          <w:b/>
          <w:sz w:val="24"/>
        </w:rPr>
        <w:t>R2-1915173</w:t>
      </w:r>
      <w:r w:rsidR="008720FF">
        <w:rPr>
          <w:rFonts w:ascii="Arial" w:hAnsi="Arial" w:cs="Arial"/>
          <w:b/>
          <w:sz w:val="24"/>
        </w:rPr>
        <w:t xml:space="preserve">                                                       </w:t>
      </w:r>
      <w:r>
        <w:rPr>
          <w:rFonts w:ascii="Arial" w:hAnsi="Arial" w:cs="Arial"/>
          <w:b/>
          <w:sz w:val="24"/>
        </w:rPr>
        <w:t xml:space="preserve"> </w:t>
      </w:r>
      <w:r w:rsidR="008720FF">
        <w:rPr>
          <w:rFonts w:ascii="Arial" w:hAnsi="Arial" w:cs="Arial"/>
          <w:b/>
          <w:sz w:val="24"/>
        </w:rPr>
        <w:t xml:space="preserve">    </w:t>
      </w:r>
      <w:r>
        <w:rPr>
          <w:rFonts w:ascii="Arial" w:hAnsi="Arial" w:cs="Arial"/>
          <w:b/>
          <w:sz w:val="24"/>
        </w:rPr>
        <w:br/>
      </w:r>
      <w:r w:rsidR="00566A2D">
        <w:rPr>
          <w:rFonts w:ascii="Arial" w:hAnsi="Arial" w:cs="Arial"/>
          <w:b/>
          <w:sz w:val="24"/>
        </w:rPr>
        <w:t>Reno</w:t>
      </w:r>
      <w:r w:rsidRPr="00AE00B7">
        <w:rPr>
          <w:rFonts w:ascii="Arial" w:hAnsi="Arial" w:cs="Arial"/>
          <w:b/>
          <w:sz w:val="24"/>
        </w:rPr>
        <w:t xml:space="preserve">, </w:t>
      </w:r>
      <w:r w:rsidR="00566A2D">
        <w:rPr>
          <w:rFonts w:ascii="Arial" w:hAnsi="Arial" w:cs="Arial"/>
          <w:b/>
          <w:sz w:val="24"/>
        </w:rPr>
        <w:t>USA</w:t>
      </w:r>
      <w:r w:rsidRPr="00AE00B7">
        <w:rPr>
          <w:rFonts w:ascii="Arial" w:hAnsi="Arial" w:cs="Arial"/>
          <w:b/>
          <w:sz w:val="24"/>
        </w:rPr>
        <w:t xml:space="preserve">, </w:t>
      </w:r>
      <w:r w:rsidR="00566A2D">
        <w:rPr>
          <w:rFonts w:ascii="Arial" w:hAnsi="Arial" w:cs="Arial"/>
          <w:b/>
          <w:sz w:val="24"/>
        </w:rPr>
        <w:t>18</w:t>
      </w:r>
      <w:r w:rsidR="00566A2D" w:rsidRPr="00566A2D">
        <w:rPr>
          <w:rFonts w:ascii="Arial" w:hAnsi="Arial" w:cs="Arial"/>
          <w:b/>
          <w:sz w:val="24"/>
          <w:vertAlign w:val="superscript"/>
        </w:rPr>
        <w:t>th</w:t>
      </w:r>
      <w:r w:rsidR="00566A2D">
        <w:rPr>
          <w:rFonts w:ascii="Arial" w:hAnsi="Arial" w:cs="Arial"/>
          <w:b/>
          <w:sz w:val="24"/>
        </w:rPr>
        <w:t xml:space="preserve"> </w:t>
      </w:r>
      <w:r>
        <w:rPr>
          <w:rFonts w:ascii="Arial" w:hAnsi="Arial" w:cs="Arial"/>
          <w:b/>
          <w:sz w:val="24"/>
        </w:rPr>
        <w:t>–</w:t>
      </w:r>
      <w:r w:rsidR="00566A2D">
        <w:rPr>
          <w:rFonts w:ascii="Arial" w:hAnsi="Arial" w:cs="Arial"/>
          <w:b/>
          <w:sz w:val="24"/>
        </w:rPr>
        <w:t>22</w:t>
      </w:r>
      <w:r w:rsidR="00566A2D" w:rsidRPr="00566A2D">
        <w:rPr>
          <w:rFonts w:ascii="Arial" w:hAnsi="Arial" w:cs="Arial"/>
          <w:b/>
          <w:sz w:val="24"/>
          <w:vertAlign w:val="superscript"/>
        </w:rPr>
        <w:t>nd</w:t>
      </w:r>
      <w:r w:rsidR="00566A2D">
        <w:rPr>
          <w:rFonts w:ascii="Arial" w:hAnsi="Arial" w:cs="Arial"/>
          <w:b/>
          <w:sz w:val="24"/>
        </w:rPr>
        <w:t xml:space="preserve"> November</w:t>
      </w:r>
      <w:r w:rsidRPr="00AE00B7">
        <w:rPr>
          <w:rFonts w:ascii="Arial" w:hAnsi="Arial" w:cs="Arial"/>
          <w:b/>
          <w:sz w:val="24"/>
        </w:rPr>
        <w:t xml:space="preserve"> 2019</w:t>
      </w:r>
      <w:r w:rsidR="00566A2D">
        <w:rPr>
          <w:rFonts w:ascii="Arial" w:hAnsi="Arial" w:cs="Arial"/>
          <w:b/>
          <w:sz w:val="24"/>
        </w:rPr>
        <w:tab/>
      </w:r>
      <w:r w:rsidR="00566A2D">
        <w:rPr>
          <w:rFonts w:ascii="Arial" w:hAnsi="Arial" w:cs="Arial"/>
          <w:b/>
          <w:sz w:val="24"/>
        </w:rPr>
        <w:tab/>
      </w:r>
      <w:r w:rsidR="00566A2D">
        <w:rPr>
          <w:rFonts w:ascii="Arial" w:hAnsi="Arial" w:cs="Arial"/>
          <w:b/>
          <w:sz w:val="24"/>
        </w:rPr>
        <w:tab/>
      </w:r>
      <w:r w:rsidR="00566A2D">
        <w:rPr>
          <w:rFonts w:ascii="Arial" w:hAnsi="Arial" w:cs="Arial"/>
          <w:b/>
          <w:sz w:val="24"/>
        </w:rPr>
        <w:tab/>
        <w:t xml:space="preserve">  </w:t>
      </w:r>
      <w:r w:rsidR="00AD4CFF">
        <w:rPr>
          <w:rFonts w:ascii="Arial" w:hAnsi="Arial" w:cs="Arial"/>
          <w:b/>
          <w:sz w:val="24"/>
        </w:rPr>
        <w:t xml:space="preserve">       </w:t>
      </w:r>
      <w:r w:rsidR="00566A2D" w:rsidRPr="00600BC1">
        <w:rPr>
          <w:rFonts w:ascii="Arial" w:hAnsi="Arial" w:cs="Arial"/>
          <w:i/>
        </w:rPr>
        <w:t>[</w:t>
      </w:r>
      <w:r w:rsidR="00AD4CFF" w:rsidRPr="00600BC1">
        <w:rPr>
          <w:rFonts w:ascii="Arial" w:hAnsi="Arial" w:cs="Arial"/>
          <w:i/>
        </w:rPr>
        <w:t>Re</w:t>
      </w:r>
      <w:r w:rsidR="00AD4CFF">
        <w:rPr>
          <w:rFonts w:ascii="Arial" w:hAnsi="Arial" w:cs="Arial"/>
          <w:i/>
        </w:rPr>
        <w:t xml:space="preserve">vision </w:t>
      </w:r>
      <w:r w:rsidR="00566A2D" w:rsidRPr="00600BC1">
        <w:rPr>
          <w:rFonts w:ascii="Arial" w:hAnsi="Arial" w:cs="Arial"/>
          <w:i/>
        </w:rPr>
        <w:t>of R2-19</w:t>
      </w:r>
      <w:r w:rsidR="00566A2D" w:rsidRPr="00566A2D">
        <w:rPr>
          <w:rFonts w:ascii="Arial" w:hAnsi="Arial" w:cs="Arial"/>
          <w:i/>
        </w:rPr>
        <w:t>13274</w:t>
      </w:r>
      <w:r w:rsidR="00566A2D" w:rsidRPr="00600BC1">
        <w:rPr>
          <w:rFonts w:ascii="Arial" w:hAnsi="Arial" w:cs="Arial"/>
          <w:i/>
        </w:rPr>
        <w:t>]</w:t>
      </w:r>
    </w:p>
    <w:p w14:paraId="42BF2053" w14:textId="77777777" w:rsidR="007E427D" w:rsidRDefault="007E427D" w:rsidP="00A91CA7">
      <w:pPr>
        <w:spacing w:after="0" w:line="276" w:lineRule="auto"/>
        <w:ind w:left="1988" w:hanging="1988"/>
        <w:rPr>
          <w:rFonts w:ascii="Arial" w:hAnsi="Arial" w:cs="Arial"/>
          <w:b/>
          <w:sz w:val="24"/>
          <w:lang w:val="en-US"/>
        </w:rPr>
      </w:pPr>
    </w:p>
    <w:p w14:paraId="0302B520" w14:textId="42A84D99" w:rsidR="00A91CA7"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001D2F">
        <w:rPr>
          <w:rFonts w:ascii="Arial" w:hAnsi="Arial" w:cs="Arial"/>
          <w:b/>
          <w:sz w:val="24"/>
          <w:lang w:val="en-US"/>
        </w:rPr>
        <w:t>6</w:t>
      </w:r>
      <w:r w:rsidRPr="00543352">
        <w:rPr>
          <w:rFonts w:ascii="Arial" w:hAnsi="Arial" w:cs="Arial"/>
          <w:b/>
          <w:sz w:val="24"/>
          <w:lang w:val="en-US"/>
        </w:rPr>
        <w:t>.</w:t>
      </w:r>
      <w:r w:rsidR="0058687D">
        <w:rPr>
          <w:rFonts w:ascii="Arial" w:hAnsi="Arial" w:cs="Arial"/>
          <w:b/>
          <w:sz w:val="24"/>
          <w:lang w:val="en-US"/>
        </w:rPr>
        <w:t>4</w:t>
      </w:r>
      <w:r>
        <w:rPr>
          <w:rFonts w:ascii="Arial" w:hAnsi="Arial" w:cs="Arial"/>
          <w:b/>
          <w:sz w:val="24"/>
          <w:lang w:val="en-US"/>
        </w:rPr>
        <w:t>.</w:t>
      </w:r>
      <w:r w:rsidR="00060851">
        <w:rPr>
          <w:rFonts w:ascii="Arial" w:hAnsi="Arial" w:cs="Arial"/>
          <w:b/>
          <w:sz w:val="24"/>
          <w:lang w:val="en-US"/>
        </w:rPr>
        <w:t>2</w:t>
      </w:r>
      <w:bookmarkStart w:id="0" w:name="_GoBack"/>
      <w:bookmarkEnd w:id="0"/>
    </w:p>
    <w:p w14:paraId="19EB2DE5" w14:textId="77777777"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r>
      <w:r w:rsidRPr="00AE00B7">
        <w:rPr>
          <w:rFonts w:ascii="Arial" w:hAnsi="Arial" w:cs="Arial"/>
          <w:b/>
          <w:sz w:val="24"/>
          <w:lang w:val="en-US"/>
        </w:rPr>
        <w:t>LG Electronics Inc.</w:t>
      </w:r>
    </w:p>
    <w:p w14:paraId="6E4C768B" w14:textId="11CD322E"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Title:</w:t>
      </w:r>
      <w:r w:rsidRPr="00CD1841">
        <w:rPr>
          <w:rFonts w:ascii="Arial" w:hAnsi="Arial" w:cs="Arial"/>
          <w:b/>
          <w:sz w:val="24"/>
          <w:lang w:val="en-US"/>
        </w:rPr>
        <w:tab/>
      </w:r>
      <w:r w:rsidR="001A17EC">
        <w:rPr>
          <w:rFonts w:ascii="Arial" w:hAnsi="Arial" w:cs="Arial"/>
          <w:b/>
          <w:sz w:val="24"/>
          <w:lang w:val="en-US"/>
        </w:rPr>
        <w:t>Resou</w:t>
      </w:r>
      <w:r w:rsidR="00185102">
        <w:rPr>
          <w:rFonts w:ascii="Arial" w:hAnsi="Arial" w:cs="Arial"/>
          <w:b/>
          <w:sz w:val="24"/>
          <w:lang w:val="en-US"/>
        </w:rPr>
        <w:t xml:space="preserve">rce </w:t>
      </w:r>
      <w:r w:rsidR="00AA0535">
        <w:rPr>
          <w:rFonts w:ascii="Arial" w:hAnsi="Arial" w:cs="Arial"/>
          <w:b/>
          <w:sz w:val="24"/>
          <w:lang w:val="en-US"/>
        </w:rPr>
        <w:t xml:space="preserve">Pool </w:t>
      </w:r>
      <w:r w:rsidR="00185102">
        <w:rPr>
          <w:rFonts w:ascii="Arial" w:hAnsi="Arial" w:cs="Arial"/>
          <w:b/>
          <w:sz w:val="24"/>
          <w:lang w:val="en-US"/>
        </w:rPr>
        <w:t>Configuration</w:t>
      </w:r>
      <w:r w:rsidR="001A1EB1">
        <w:rPr>
          <w:rFonts w:ascii="Arial" w:hAnsi="Arial" w:cs="Arial"/>
          <w:b/>
          <w:sz w:val="24"/>
          <w:lang w:val="en-US"/>
        </w:rPr>
        <w:t xml:space="preserve"> </w:t>
      </w:r>
    </w:p>
    <w:p w14:paraId="066CA6DD" w14:textId="7A63FD6A"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 xml:space="preserve">Discussion </w:t>
      </w:r>
      <w:r w:rsidR="006E3952">
        <w:rPr>
          <w:rFonts w:ascii="Arial" w:hAnsi="Arial" w:cs="Arial"/>
          <w:b/>
          <w:sz w:val="24"/>
          <w:lang w:val="en-US"/>
        </w:rPr>
        <w:t>and Decision</w:t>
      </w:r>
    </w:p>
    <w:p w14:paraId="114A2336" w14:textId="77777777" w:rsidR="00A91CA7" w:rsidRDefault="00A91CA7" w:rsidP="00A91CA7">
      <w:pPr>
        <w:pStyle w:val="3GPPH1"/>
        <w:tabs>
          <w:tab w:val="clear" w:pos="425"/>
          <w:tab w:val="num" w:pos="426"/>
        </w:tabs>
      </w:pPr>
      <w:r>
        <w:t>Introduction</w:t>
      </w:r>
    </w:p>
    <w:p w14:paraId="599379CB" w14:textId="59C85C3F" w:rsidR="00185102" w:rsidRDefault="007249B3" w:rsidP="000F17D5">
      <w:pPr>
        <w:pStyle w:val="3GPPText"/>
      </w:pPr>
      <w:r>
        <w:t>The following agreements were made</w:t>
      </w:r>
      <w:r w:rsidR="00161D59">
        <w:t xml:space="preserve"> during the RAN2#10</w:t>
      </w:r>
      <w:r w:rsidR="00074B80">
        <w:t>7</w:t>
      </w:r>
      <w:r w:rsidR="00161D59">
        <w:t xml:space="preserve"> meeting </w:t>
      </w:r>
      <w:r>
        <w:t>on the exceptional pool</w:t>
      </w:r>
      <w:r w:rsidR="0005724B">
        <w:t xml:space="preserve"> and configured grant type</w:t>
      </w:r>
      <w:r w:rsidR="00AF2482">
        <w:t xml:space="preserve"> [1]</w:t>
      </w:r>
      <w:r w:rsidR="00A91CA7">
        <w:t>:</w:t>
      </w:r>
    </w:p>
    <w:tbl>
      <w:tblPr>
        <w:tblStyle w:val="TableGrid"/>
        <w:tblW w:w="0" w:type="auto"/>
        <w:tblLook w:val="04A0" w:firstRow="1" w:lastRow="0" w:firstColumn="1" w:lastColumn="0" w:noHBand="0" w:noVBand="1"/>
      </w:tblPr>
      <w:tblGrid>
        <w:gridCol w:w="9962"/>
      </w:tblGrid>
      <w:tr w:rsidR="0025748C" w14:paraId="3E208C6F" w14:textId="77777777" w:rsidTr="0025748C">
        <w:tc>
          <w:tcPr>
            <w:tcW w:w="9962" w:type="dxa"/>
          </w:tcPr>
          <w:p w14:paraId="6EFE6E34" w14:textId="028F7CC5" w:rsidR="007249B3" w:rsidRPr="007249B3" w:rsidRDefault="00796E86" w:rsidP="007249B3">
            <w:pPr>
              <w:pStyle w:val="3GPPText"/>
              <w:spacing w:after="0"/>
              <w:rPr>
                <w:rFonts w:ascii="Arial" w:hAnsi="Arial" w:cs="Arial"/>
                <w:sz w:val="20"/>
                <w:lang w:val="en-GB"/>
              </w:rPr>
            </w:pPr>
            <w:r w:rsidRPr="00796E86">
              <w:rPr>
                <w:rFonts w:ascii="Arial" w:hAnsi="Arial" w:cs="Arial"/>
                <w:b/>
                <w:sz w:val="20"/>
                <w:lang w:val="en-GB"/>
              </w:rPr>
              <w:t xml:space="preserve">RAN2#107 </w:t>
            </w:r>
            <w:r w:rsidR="007249B3" w:rsidRPr="00796E86">
              <w:rPr>
                <w:rFonts w:ascii="Arial" w:hAnsi="Arial" w:cs="Arial"/>
                <w:b/>
                <w:sz w:val="20"/>
                <w:lang w:val="en-GB"/>
              </w:rPr>
              <w:t>Agreements on exceptional TX resource pool</w:t>
            </w:r>
            <w:r w:rsidR="0005724B" w:rsidRPr="00796E86">
              <w:rPr>
                <w:rFonts w:ascii="Arial" w:hAnsi="Arial" w:cs="Arial"/>
                <w:b/>
                <w:sz w:val="20"/>
                <w:lang w:val="en-GB"/>
              </w:rPr>
              <w:t xml:space="preserve"> and configured grant type</w:t>
            </w:r>
            <w:r w:rsidR="007249B3" w:rsidRPr="007249B3">
              <w:rPr>
                <w:rFonts w:ascii="Arial" w:hAnsi="Arial" w:cs="Arial"/>
                <w:sz w:val="20"/>
                <w:lang w:val="en-GB"/>
              </w:rPr>
              <w:t xml:space="preserve">: </w:t>
            </w:r>
          </w:p>
          <w:p w14:paraId="3F09E325" w14:textId="53F90EBE" w:rsidR="00F72CBB" w:rsidRDefault="00F72CBB" w:rsidP="00C12E34">
            <w:pPr>
              <w:pStyle w:val="3GPPText"/>
              <w:spacing w:after="0"/>
              <w:rPr>
                <w:rFonts w:ascii="Arial" w:hAnsi="Arial" w:cs="Arial"/>
                <w:sz w:val="20"/>
                <w:lang w:val="en-GB"/>
              </w:rPr>
            </w:pPr>
            <w:r>
              <w:rPr>
                <w:rFonts w:ascii="Arial" w:hAnsi="Arial" w:cs="Arial"/>
                <w:sz w:val="20"/>
                <w:lang w:val="en-GB"/>
              </w:rPr>
              <w:t>…</w:t>
            </w:r>
          </w:p>
          <w:p w14:paraId="4212E967" w14:textId="77777777" w:rsidR="00C12E34" w:rsidRPr="00C12E34" w:rsidRDefault="00C12E34" w:rsidP="00C12E34">
            <w:pPr>
              <w:pStyle w:val="3GPPText"/>
              <w:spacing w:after="0"/>
              <w:rPr>
                <w:rFonts w:ascii="Arial" w:hAnsi="Arial" w:cs="Arial"/>
                <w:sz w:val="20"/>
                <w:lang w:val="en-GB"/>
              </w:rPr>
            </w:pPr>
            <w:r w:rsidRPr="00C12E34">
              <w:rPr>
                <w:rFonts w:ascii="Arial" w:hAnsi="Arial" w:cs="Arial"/>
                <w:sz w:val="20"/>
                <w:lang w:val="en-GB"/>
              </w:rPr>
              <w:t>5:</w:t>
            </w:r>
            <w:r w:rsidRPr="00C12E34">
              <w:rPr>
                <w:rFonts w:ascii="Arial" w:hAnsi="Arial" w:cs="Arial"/>
                <w:sz w:val="20"/>
                <w:lang w:val="en-GB"/>
              </w:rPr>
              <w:tab/>
              <w:t>A mode-1 UE is allowed to continue using the configured SL grant type 1 when beam failure or physical layer problem in NR Uu occur. FFS how long the SL configured grant is considered valid.</w:t>
            </w:r>
          </w:p>
          <w:p w14:paraId="555522B0" w14:textId="6A90F164" w:rsidR="0025748C" w:rsidRPr="00AF2482" w:rsidRDefault="00C12E34" w:rsidP="00C12E34">
            <w:pPr>
              <w:pStyle w:val="3GPPText"/>
              <w:spacing w:before="0" w:after="0"/>
              <w:rPr>
                <w:lang w:val="en-GB"/>
              </w:rPr>
            </w:pPr>
            <w:r w:rsidRPr="00C12E34">
              <w:rPr>
                <w:rFonts w:ascii="Arial" w:hAnsi="Arial" w:cs="Arial"/>
                <w:sz w:val="20"/>
                <w:lang w:val="en-GB"/>
              </w:rPr>
              <w:t>6:</w:t>
            </w:r>
            <w:r w:rsidRPr="00C12E34">
              <w:rPr>
                <w:rFonts w:ascii="Arial" w:hAnsi="Arial" w:cs="Arial"/>
                <w:sz w:val="20"/>
                <w:lang w:val="en-GB"/>
              </w:rPr>
              <w:tab/>
              <w:t>RAN2 wait for RAN1 progress to determine whether to apply separate exceptional pools for unicast and non-unicast traffic.</w:t>
            </w:r>
          </w:p>
        </w:tc>
      </w:tr>
    </w:tbl>
    <w:p w14:paraId="14B763FF" w14:textId="77777777" w:rsidR="00F72CBB" w:rsidRDefault="00F72CBB" w:rsidP="00A91CA7">
      <w:pPr>
        <w:pStyle w:val="3GPPText"/>
        <w:spacing w:before="0" w:after="0"/>
      </w:pPr>
    </w:p>
    <w:p w14:paraId="10432881" w14:textId="7F85A62D" w:rsidR="00F72CBB" w:rsidRDefault="00F72CBB" w:rsidP="00A91CA7">
      <w:pPr>
        <w:pStyle w:val="3GPPText"/>
        <w:spacing w:before="0" w:after="0"/>
      </w:pPr>
      <w:r>
        <w:t xml:space="preserve">During </w:t>
      </w:r>
      <w:r w:rsidR="00A67A7B">
        <w:t xml:space="preserve">the </w:t>
      </w:r>
      <w:r>
        <w:t>RAN1#98</w:t>
      </w:r>
      <w:r w:rsidR="0005724B">
        <w:t xml:space="preserve"> [2]</w:t>
      </w:r>
      <w:r w:rsidR="00A67A7B">
        <w:t xml:space="preserve"> and RAN1#98bis meetings</w:t>
      </w:r>
      <w:r w:rsidR="007E65BA">
        <w:t xml:space="preserve"> [</w:t>
      </w:r>
      <w:r w:rsidR="00206A28">
        <w:t>3</w:t>
      </w:r>
      <w:r w:rsidR="007E65BA">
        <w:t>]</w:t>
      </w:r>
      <w:r>
        <w:t>, the following agreement</w:t>
      </w:r>
      <w:r w:rsidR="00A67A7B">
        <w:t>s</w:t>
      </w:r>
      <w:r>
        <w:t xml:space="preserve"> </w:t>
      </w:r>
      <w:r w:rsidR="00A67A7B">
        <w:t xml:space="preserve">were </w:t>
      </w:r>
      <w:r>
        <w:t xml:space="preserve">made with </w:t>
      </w:r>
      <w:r w:rsidR="006B2809">
        <w:t xml:space="preserve">respect </w:t>
      </w:r>
      <w:r>
        <w:t xml:space="preserve">to </w:t>
      </w:r>
      <w:r w:rsidR="0005724B">
        <w:t>the</w:t>
      </w:r>
      <w:r>
        <w:t xml:space="preserve"> design</w:t>
      </w:r>
      <w:r w:rsidR="0005724B">
        <w:t xml:space="preserve"> for </w:t>
      </w:r>
      <w:r w:rsidR="00C4222B">
        <w:t>(</w:t>
      </w:r>
      <w:r w:rsidR="0005724B">
        <w:t>pre-</w:t>
      </w:r>
      <w:r w:rsidR="00C4222B">
        <w:t>)</w:t>
      </w:r>
      <w:r w:rsidR="0005724B">
        <w:t>configured resource pools</w:t>
      </w:r>
      <w:r>
        <w:t>:</w:t>
      </w:r>
    </w:p>
    <w:p w14:paraId="3F9C4612" w14:textId="77777777" w:rsidR="008D2617" w:rsidRDefault="008D2617" w:rsidP="00A91CA7">
      <w:pPr>
        <w:pStyle w:val="3GPPText"/>
        <w:spacing w:before="0" w:after="0"/>
      </w:pPr>
    </w:p>
    <w:p w14:paraId="26BCD381" w14:textId="69390504" w:rsidR="0005724B" w:rsidRDefault="008D2617" w:rsidP="00A91CA7">
      <w:pPr>
        <w:pStyle w:val="3GPPText"/>
        <w:spacing w:before="0" w:after="0"/>
      </w:pPr>
      <w:r w:rsidRPr="006B2809">
        <w:rPr>
          <w:b/>
        </w:rPr>
        <w:t>RAN1#98</w:t>
      </w:r>
      <w:r>
        <w:t>:</w:t>
      </w:r>
    </w:p>
    <w:tbl>
      <w:tblPr>
        <w:tblStyle w:val="TableGrid"/>
        <w:tblW w:w="0" w:type="auto"/>
        <w:tblLook w:val="04A0" w:firstRow="1" w:lastRow="0" w:firstColumn="1" w:lastColumn="0" w:noHBand="0" w:noVBand="1"/>
      </w:tblPr>
      <w:tblGrid>
        <w:gridCol w:w="9962"/>
      </w:tblGrid>
      <w:tr w:rsidR="0005724B" w14:paraId="5035830C" w14:textId="77777777" w:rsidTr="0005724B">
        <w:tc>
          <w:tcPr>
            <w:tcW w:w="9962" w:type="dxa"/>
          </w:tcPr>
          <w:p w14:paraId="2FF14751" w14:textId="77777777" w:rsidR="0005724B" w:rsidRDefault="0005724B" w:rsidP="0005724B">
            <w:pPr>
              <w:pStyle w:val="ListParagraph"/>
              <w:widowControl w:val="0"/>
              <w:numPr>
                <w:ilvl w:val="0"/>
                <w:numId w:val="4"/>
              </w:numPr>
              <w:rPr>
                <w:rFonts w:eastAsiaTheme="minorEastAsia"/>
                <w:sz w:val="20"/>
                <w:szCs w:val="20"/>
                <w:lang w:val="en-GB" w:eastAsia="ko-KR"/>
              </w:rPr>
            </w:pPr>
            <w:r w:rsidRPr="00A16792">
              <w:rPr>
                <w:rFonts w:eastAsiaTheme="minorEastAsia"/>
                <w:sz w:val="20"/>
                <w:szCs w:val="20"/>
                <w:highlight w:val="green"/>
                <w:lang w:val="en-GB" w:eastAsia="ko-KR"/>
              </w:rPr>
              <w:t>Agreements on resource pool usages (physical layer structure)</w:t>
            </w:r>
          </w:p>
          <w:p w14:paraId="5649ADBD" w14:textId="77777777" w:rsidR="0005724B" w:rsidRPr="00A12A36" w:rsidRDefault="0005724B" w:rsidP="0005724B">
            <w:pPr>
              <w:pStyle w:val="ListParagraph"/>
              <w:widowControl w:val="0"/>
              <w:numPr>
                <w:ilvl w:val="1"/>
                <w:numId w:val="4"/>
              </w:numPr>
              <w:rPr>
                <w:rFonts w:eastAsiaTheme="minorEastAsia"/>
                <w:sz w:val="20"/>
                <w:szCs w:val="20"/>
                <w:lang w:val="en-GB" w:eastAsia="ko-KR"/>
              </w:rPr>
            </w:pPr>
            <w:r w:rsidRPr="00A12A36">
              <w:rPr>
                <w:rFonts w:eastAsiaTheme="minorEastAsia"/>
                <w:sz w:val="20"/>
                <w:szCs w:val="20"/>
                <w:lang w:val="en-GB" w:eastAsia="ko-KR"/>
              </w:rPr>
              <w:t xml:space="preserve">In physical layer perspective, a (pre-)configured resource pool can be used for all of unicast, groupcast, and broadcast for a given UE. </w:t>
            </w:r>
          </w:p>
          <w:p w14:paraId="639B1828" w14:textId="77777777" w:rsidR="0005724B" w:rsidRDefault="0005724B" w:rsidP="0005724B">
            <w:pPr>
              <w:pStyle w:val="ListParagraph"/>
              <w:widowControl w:val="0"/>
              <w:numPr>
                <w:ilvl w:val="2"/>
                <w:numId w:val="4"/>
              </w:numPr>
              <w:rPr>
                <w:rFonts w:eastAsiaTheme="minorEastAsia"/>
                <w:sz w:val="20"/>
                <w:szCs w:val="20"/>
                <w:lang w:val="en-GB" w:eastAsia="ko-KR"/>
              </w:rPr>
            </w:pPr>
            <w:r w:rsidRPr="00A12A36">
              <w:rPr>
                <w:rFonts w:eastAsiaTheme="minorEastAsia"/>
                <w:sz w:val="20"/>
                <w:szCs w:val="20"/>
                <w:lang w:val="en-GB" w:eastAsia="ko-KR"/>
              </w:rPr>
              <w:t>There is no (pre-)configuration to inform which cast types are used for the resource pool.</w:t>
            </w:r>
          </w:p>
          <w:p w14:paraId="648B547F" w14:textId="77777777" w:rsidR="0005724B" w:rsidRPr="0005724B" w:rsidRDefault="0005724B" w:rsidP="00A91CA7">
            <w:pPr>
              <w:pStyle w:val="3GPPText"/>
              <w:spacing w:before="0" w:after="0"/>
              <w:rPr>
                <w:lang w:val="en-GB"/>
              </w:rPr>
            </w:pPr>
          </w:p>
        </w:tc>
      </w:tr>
    </w:tbl>
    <w:p w14:paraId="5A83E05D" w14:textId="77777777" w:rsidR="00F72CBB" w:rsidRDefault="00F72CBB" w:rsidP="00A91CA7">
      <w:pPr>
        <w:pStyle w:val="3GPPText"/>
        <w:spacing w:before="0" w:after="0"/>
      </w:pPr>
    </w:p>
    <w:p w14:paraId="4B825A8C" w14:textId="262D644A" w:rsidR="008D2617" w:rsidRDefault="008D2617" w:rsidP="00A91CA7">
      <w:pPr>
        <w:pStyle w:val="3GPPText"/>
        <w:spacing w:before="0" w:after="0"/>
      </w:pPr>
      <w:r w:rsidRPr="006B2809">
        <w:rPr>
          <w:b/>
        </w:rPr>
        <w:t>RAN1#98bis</w:t>
      </w:r>
      <w:r>
        <w:t>:</w:t>
      </w:r>
    </w:p>
    <w:tbl>
      <w:tblPr>
        <w:tblStyle w:val="TableGrid"/>
        <w:tblW w:w="0" w:type="auto"/>
        <w:tblLook w:val="04A0" w:firstRow="1" w:lastRow="0" w:firstColumn="1" w:lastColumn="0" w:noHBand="0" w:noVBand="1"/>
      </w:tblPr>
      <w:tblGrid>
        <w:gridCol w:w="9962"/>
      </w:tblGrid>
      <w:tr w:rsidR="00C4222B" w14:paraId="2B4DA358" w14:textId="77777777" w:rsidTr="00C4222B">
        <w:tc>
          <w:tcPr>
            <w:tcW w:w="9962" w:type="dxa"/>
          </w:tcPr>
          <w:p w14:paraId="1F18D362" w14:textId="77777777" w:rsidR="00C4222B" w:rsidRPr="00C55AB2" w:rsidRDefault="00C4222B" w:rsidP="00C4222B">
            <w:pPr>
              <w:rPr>
                <w:highlight w:val="darkYellow"/>
                <w:lang w:val="en-US" w:eastAsia="x-none"/>
              </w:rPr>
            </w:pPr>
            <w:r w:rsidRPr="00C55AB2">
              <w:rPr>
                <w:highlight w:val="darkYellow"/>
                <w:lang w:val="en-US" w:eastAsia="x-none"/>
              </w:rPr>
              <w:t>Working assumption:</w:t>
            </w:r>
          </w:p>
          <w:p w14:paraId="2379723B" w14:textId="77777777" w:rsidR="00C4222B" w:rsidRDefault="00C4222B" w:rsidP="006B2809">
            <w:pPr>
              <w:pStyle w:val="LGTdoc"/>
              <w:numPr>
                <w:ilvl w:val="0"/>
                <w:numId w:val="5"/>
              </w:numPr>
              <w:spacing w:before="100" w:beforeAutospacing="1" w:afterLines="0" w:after="60"/>
              <w:rPr>
                <w:rFonts w:ascii="Calibri" w:hAnsi="Calibri" w:cs="Calibri"/>
                <w:sz w:val="20"/>
              </w:rPr>
            </w:pPr>
            <w:r w:rsidRPr="00C55AB2">
              <w:rPr>
                <w:rFonts w:ascii="Calibri" w:hAnsi="Calibri" w:cs="Calibri"/>
                <w:sz w:val="20"/>
                <w:szCs w:val="20"/>
                <w:lang w:val="en-US"/>
              </w:rPr>
              <w:t>For HARQ feedback in groupcast and unicast, when PSFCH resource is (pre-)configured in the resource pool,</w:t>
            </w:r>
          </w:p>
          <w:p w14:paraId="66A0363D" w14:textId="05200998" w:rsidR="00C4222B" w:rsidRPr="006B2809" w:rsidRDefault="00C4222B" w:rsidP="006B2809">
            <w:pPr>
              <w:pStyle w:val="LGTdoc"/>
              <w:numPr>
                <w:ilvl w:val="1"/>
                <w:numId w:val="5"/>
              </w:numPr>
              <w:spacing w:before="100" w:beforeAutospacing="1" w:afterLines="0" w:after="60"/>
              <w:rPr>
                <w:rFonts w:ascii="Calibri" w:hAnsi="Calibri" w:cs="Calibri"/>
                <w:sz w:val="20"/>
              </w:rPr>
            </w:pPr>
            <w:r w:rsidRPr="006B2809">
              <w:rPr>
                <w:rFonts w:ascii="Calibri" w:hAnsi="Calibri" w:cs="Calibri"/>
                <w:sz w:val="20"/>
                <w:szCs w:val="20"/>
                <w:lang w:val="en-US"/>
              </w:rPr>
              <w:t>SCI explicitly indicates whether HARQ feedback is used or not for the corresponding PSSCH transmission.</w:t>
            </w:r>
          </w:p>
        </w:tc>
      </w:tr>
    </w:tbl>
    <w:p w14:paraId="3077F5F2" w14:textId="0EA550B8" w:rsidR="00C4222B" w:rsidRDefault="008A2F38" w:rsidP="00A91CA7">
      <w:pPr>
        <w:pStyle w:val="3GPPText"/>
        <w:spacing w:before="0" w:after="0"/>
      </w:pPr>
      <w:r>
        <w:t>This</w:t>
      </w:r>
      <w:r w:rsidR="0083032F">
        <w:t xml:space="preserve"> discussion paper examines </w:t>
      </w:r>
      <w:r w:rsidR="00EC3AA4">
        <w:t xml:space="preserve">the </w:t>
      </w:r>
      <w:r w:rsidR="0083032F">
        <w:t>remaining issues related to the configured grant and exceptional pool configuration.</w:t>
      </w:r>
    </w:p>
    <w:p w14:paraId="50B81DBD" w14:textId="081BAF96" w:rsidR="00796E86" w:rsidRDefault="00796E86" w:rsidP="006B7567">
      <w:pPr>
        <w:pStyle w:val="Heading1"/>
      </w:pPr>
      <w:r>
        <w:t>Configured Grant</w:t>
      </w:r>
    </w:p>
    <w:p w14:paraId="3391532E" w14:textId="5658DC84" w:rsidR="00493355" w:rsidRPr="00493355" w:rsidRDefault="00493355" w:rsidP="00493355">
      <w:pPr>
        <w:pStyle w:val="3GPPText"/>
        <w:spacing w:after="0"/>
        <w:rPr>
          <w:lang w:val="en-GB"/>
        </w:rPr>
      </w:pPr>
      <w:r w:rsidRPr="00493355">
        <w:rPr>
          <w:rFonts w:hint="eastAsia"/>
          <w:lang w:val="en-GB"/>
        </w:rPr>
        <w:t xml:space="preserve">According to above agreement on exceptional TX resource pool and configured grant type, </w:t>
      </w:r>
      <w:r w:rsidR="00CC51AA">
        <w:rPr>
          <w:lang w:val="en-GB"/>
        </w:rPr>
        <w:t xml:space="preserve">a </w:t>
      </w:r>
      <w:r w:rsidRPr="00493355">
        <w:rPr>
          <w:rFonts w:hint="eastAsia"/>
          <w:lang w:val="en-GB"/>
        </w:rPr>
        <w:t xml:space="preserve">UE can use </w:t>
      </w:r>
      <w:r w:rsidR="00CC51AA">
        <w:rPr>
          <w:lang w:val="en-GB"/>
        </w:rPr>
        <w:t xml:space="preserve">a </w:t>
      </w:r>
      <w:r w:rsidRPr="00493355">
        <w:rPr>
          <w:rFonts w:hint="eastAsia"/>
          <w:lang w:val="en-GB"/>
        </w:rPr>
        <w:t xml:space="preserve">SL configured grant when the UE detects beam failure or physical layer problem in NR Uu. Moreover, there is a remaining issue that should define the duration in which the SL configured grant is considered valid. </w:t>
      </w:r>
    </w:p>
    <w:p w14:paraId="6930CA0D" w14:textId="2FCDE562" w:rsidR="00493355" w:rsidRPr="00493355" w:rsidRDefault="00493355" w:rsidP="00493355">
      <w:pPr>
        <w:pStyle w:val="3GPPText"/>
        <w:spacing w:after="0"/>
        <w:rPr>
          <w:lang w:val="en-GB"/>
        </w:rPr>
      </w:pPr>
      <w:r w:rsidRPr="00493355">
        <w:rPr>
          <w:rFonts w:hint="eastAsia"/>
          <w:lang w:val="en-GB"/>
        </w:rPr>
        <w:t>Until a</w:t>
      </w:r>
      <w:r w:rsidR="00CC51AA">
        <w:rPr>
          <w:lang w:val="en-GB"/>
        </w:rPr>
        <w:t>n</w:t>
      </w:r>
      <w:r w:rsidRPr="00493355">
        <w:rPr>
          <w:rFonts w:hint="eastAsia"/>
          <w:lang w:val="en-GB"/>
        </w:rPr>
        <w:t xml:space="preserve"> SL </w:t>
      </w:r>
      <w:r w:rsidR="00E62FE0">
        <w:rPr>
          <w:rFonts w:hint="eastAsia"/>
          <w:lang w:val="en-GB"/>
        </w:rPr>
        <w:t>configured grant</w:t>
      </w:r>
      <w:r w:rsidRPr="00493355">
        <w:rPr>
          <w:rFonts w:hint="eastAsia"/>
          <w:lang w:val="en-GB"/>
        </w:rPr>
        <w:t xml:space="preserve"> is reconfigured by </w:t>
      </w:r>
      <w:r w:rsidR="00CC51AA">
        <w:rPr>
          <w:lang w:val="en-GB"/>
        </w:rPr>
        <w:t xml:space="preserve">the </w:t>
      </w:r>
      <w:r w:rsidRPr="00493355">
        <w:rPr>
          <w:rFonts w:hint="eastAsia"/>
          <w:lang w:val="en-GB"/>
        </w:rPr>
        <w:t xml:space="preserve">gNB, </w:t>
      </w:r>
      <w:r w:rsidR="009B54EC">
        <w:rPr>
          <w:lang w:val="en-GB"/>
        </w:rPr>
        <w:t xml:space="preserve">a </w:t>
      </w:r>
      <w:r w:rsidRPr="00493355">
        <w:rPr>
          <w:rFonts w:hint="eastAsia"/>
          <w:lang w:val="en-GB"/>
        </w:rPr>
        <w:t xml:space="preserve">UE can use the SL </w:t>
      </w:r>
      <w:r w:rsidR="00E62FE0">
        <w:rPr>
          <w:rFonts w:hint="eastAsia"/>
          <w:lang w:val="en-GB"/>
        </w:rPr>
        <w:t>configured grant</w:t>
      </w:r>
      <w:r w:rsidRPr="00493355">
        <w:rPr>
          <w:rFonts w:hint="eastAsia"/>
          <w:lang w:val="en-GB"/>
        </w:rPr>
        <w:t xml:space="preserve"> in use, which is benefi</w:t>
      </w:r>
      <w:r w:rsidR="00CC51AA">
        <w:rPr>
          <w:lang w:val="en-GB"/>
        </w:rPr>
        <w:t>cial</w:t>
      </w:r>
      <w:r w:rsidRPr="00493355">
        <w:rPr>
          <w:rFonts w:hint="eastAsia"/>
          <w:lang w:val="en-GB"/>
        </w:rPr>
        <w:t xml:space="preserve"> </w:t>
      </w:r>
      <w:r w:rsidR="00CC51AA">
        <w:rPr>
          <w:lang w:val="en-GB"/>
        </w:rPr>
        <w:t>for the simplification of the UE operation</w:t>
      </w:r>
      <w:r w:rsidRPr="00493355">
        <w:rPr>
          <w:rFonts w:hint="eastAsia"/>
          <w:lang w:val="en-GB"/>
        </w:rPr>
        <w:t xml:space="preserve">. If the SL </w:t>
      </w:r>
      <w:r w:rsidR="00E62FE0">
        <w:rPr>
          <w:rFonts w:hint="eastAsia"/>
          <w:lang w:val="en-GB"/>
        </w:rPr>
        <w:t>configured grant</w:t>
      </w:r>
      <w:r w:rsidRPr="00493355">
        <w:rPr>
          <w:rFonts w:hint="eastAsia"/>
          <w:lang w:val="en-GB"/>
        </w:rPr>
        <w:t xml:space="preserve"> is reconfigured by the gNB based </w:t>
      </w:r>
      <w:r w:rsidRPr="00493355">
        <w:rPr>
          <w:rFonts w:hint="eastAsia"/>
          <w:lang w:val="en-GB"/>
        </w:rPr>
        <w:lastRenderedPageBreak/>
        <w:t>on the information</w:t>
      </w:r>
      <w:r w:rsidR="00FE74B8">
        <w:rPr>
          <w:lang w:val="en-GB"/>
        </w:rPr>
        <w:t xml:space="preserve"> (e.g., </w:t>
      </w:r>
      <w:r w:rsidR="00CC51AA">
        <w:rPr>
          <w:lang w:val="en-GB"/>
        </w:rPr>
        <w:t xml:space="preserve">using the </w:t>
      </w:r>
      <w:r w:rsidR="00FE74B8" w:rsidRPr="008B6DD3">
        <w:rPr>
          <w:i/>
          <w:lang w:val="en-GB"/>
        </w:rPr>
        <w:t>SidelinkUEInformation</w:t>
      </w:r>
      <w:r w:rsidR="00CC51AA">
        <w:rPr>
          <w:lang w:val="en-GB"/>
        </w:rPr>
        <w:t xml:space="preserve"> message</w:t>
      </w:r>
      <w:r w:rsidR="00FE74B8">
        <w:rPr>
          <w:lang w:val="en-GB"/>
        </w:rPr>
        <w:t>)</w:t>
      </w:r>
      <w:r w:rsidRPr="00493355">
        <w:rPr>
          <w:rFonts w:hint="eastAsia"/>
          <w:lang w:val="en-GB"/>
        </w:rPr>
        <w:t xml:space="preserve"> reported by the UE, it may be desirable to perform SL communication using the reconfigured SL </w:t>
      </w:r>
      <w:r w:rsidR="00E62FE0">
        <w:rPr>
          <w:rFonts w:hint="eastAsia"/>
          <w:lang w:val="en-GB"/>
        </w:rPr>
        <w:t>configured grant</w:t>
      </w:r>
      <w:r w:rsidRPr="00493355">
        <w:rPr>
          <w:rFonts w:hint="eastAsia"/>
          <w:lang w:val="en-GB"/>
        </w:rPr>
        <w:t>.</w:t>
      </w:r>
    </w:p>
    <w:p w14:paraId="3CD89987" w14:textId="28E418F3" w:rsidR="00796E86" w:rsidRPr="008B6DD3" w:rsidRDefault="00796E86" w:rsidP="009B54EC">
      <w:pPr>
        <w:spacing w:before="240"/>
        <w:rPr>
          <w:b/>
          <w:sz w:val="22"/>
          <w:szCs w:val="22"/>
        </w:rPr>
      </w:pPr>
      <w:r w:rsidRPr="008B6DD3">
        <w:rPr>
          <w:b/>
          <w:sz w:val="22"/>
          <w:szCs w:val="22"/>
        </w:rPr>
        <w:t xml:space="preserve">Observation 1: </w:t>
      </w:r>
      <w:r w:rsidR="00CC51AA" w:rsidRPr="008B6DD3">
        <w:rPr>
          <w:b/>
          <w:sz w:val="22"/>
          <w:szCs w:val="22"/>
        </w:rPr>
        <w:t>A remaining issue</w:t>
      </w:r>
      <w:r w:rsidR="00F918A8" w:rsidRPr="008B6DD3">
        <w:rPr>
          <w:b/>
          <w:sz w:val="22"/>
          <w:szCs w:val="22"/>
        </w:rPr>
        <w:t xml:space="preserve"> is</w:t>
      </w:r>
      <w:r w:rsidRPr="008B6DD3">
        <w:rPr>
          <w:b/>
          <w:sz w:val="22"/>
          <w:szCs w:val="22"/>
        </w:rPr>
        <w:t xml:space="preserve"> to define </w:t>
      </w:r>
      <w:r w:rsidR="00F918A8" w:rsidRPr="008B6DD3">
        <w:rPr>
          <w:b/>
          <w:sz w:val="22"/>
          <w:szCs w:val="22"/>
        </w:rPr>
        <w:t xml:space="preserve">the duration in which the </w:t>
      </w:r>
      <w:r w:rsidRPr="008B6DD3">
        <w:rPr>
          <w:b/>
          <w:sz w:val="22"/>
          <w:szCs w:val="22"/>
        </w:rPr>
        <w:t xml:space="preserve">SL configured grant is considered valid.   </w:t>
      </w:r>
    </w:p>
    <w:p w14:paraId="5C869307" w14:textId="73A0608B" w:rsidR="00796E86" w:rsidRPr="008B6DD3" w:rsidRDefault="00796E86" w:rsidP="00796E86">
      <w:pPr>
        <w:rPr>
          <w:b/>
          <w:sz w:val="22"/>
          <w:szCs w:val="22"/>
        </w:rPr>
      </w:pPr>
      <w:r w:rsidRPr="008B6DD3">
        <w:rPr>
          <w:b/>
          <w:sz w:val="22"/>
          <w:szCs w:val="22"/>
        </w:rPr>
        <w:t>Proposal 1</w:t>
      </w:r>
      <w:r w:rsidR="00BB6461" w:rsidRPr="008B6DD3">
        <w:rPr>
          <w:b/>
          <w:sz w:val="22"/>
          <w:szCs w:val="22"/>
        </w:rPr>
        <w:t xml:space="preserve">: </w:t>
      </w:r>
      <w:r w:rsidR="0041191A" w:rsidRPr="008B6DD3">
        <w:rPr>
          <w:b/>
          <w:sz w:val="22"/>
          <w:szCs w:val="22"/>
        </w:rPr>
        <w:t xml:space="preserve">SL </w:t>
      </w:r>
      <w:r w:rsidR="00E62FE0" w:rsidRPr="008B6DD3">
        <w:rPr>
          <w:b/>
          <w:sz w:val="22"/>
          <w:szCs w:val="22"/>
        </w:rPr>
        <w:t>c</w:t>
      </w:r>
      <w:r w:rsidRPr="008B6DD3">
        <w:rPr>
          <w:b/>
          <w:sz w:val="22"/>
          <w:szCs w:val="22"/>
        </w:rPr>
        <w:t xml:space="preserve">onfigured </w:t>
      </w:r>
      <w:r w:rsidR="00E62FE0" w:rsidRPr="008B6DD3">
        <w:rPr>
          <w:b/>
          <w:sz w:val="22"/>
          <w:szCs w:val="22"/>
        </w:rPr>
        <w:t>g</w:t>
      </w:r>
      <w:r w:rsidR="00F918A8" w:rsidRPr="008B6DD3">
        <w:rPr>
          <w:b/>
          <w:sz w:val="22"/>
          <w:szCs w:val="22"/>
        </w:rPr>
        <w:t>rant can</w:t>
      </w:r>
      <w:r w:rsidRPr="008B6DD3">
        <w:rPr>
          <w:b/>
          <w:sz w:val="22"/>
          <w:szCs w:val="22"/>
        </w:rPr>
        <w:t xml:space="preserve"> be valid until </w:t>
      </w:r>
      <w:r w:rsidR="00FC3CBE" w:rsidRPr="008B6DD3">
        <w:rPr>
          <w:b/>
          <w:sz w:val="22"/>
          <w:szCs w:val="22"/>
        </w:rPr>
        <w:t xml:space="preserve">a </w:t>
      </w:r>
      <w:r w:rsidRPr="008B6DD3">
        <w:rPr>
          <w:b/>
          <w:sz w:val="22"/>
          <w:szCs w:val="22"/>
        </w:rPr>
        <w:t xml:space="preserve">new </w:t>
      </w:r>
      <w:r w:rsidR="0041191A" w:rsidRPr="008B6DD3">
        <w:rPr>
          <w:b/>
          <w:sz w:val="22"/>
          <w:szCs w:val="22"/>
        </w:rPr>
        <w:t xml:space="preserve">SL </w:t>
      </w:r>
      <w:r w:rsidR="00E62FE0" w:rsidRPr="008B6DD3">
        <w:rPr>
          <w:b/>
          <w:sz w:val="22"/>
          <w:szCs w:val="22"/>
        </w:rPr>
        <w:t>c</w:t>
      </w:r>
      <w:r w:rsidRPr="008B6DD3">
        <w:rPr>
          <w:b/>
          <w:sz w:val="22"/>
          <w:szCs w:val="22"/>
        </w:rPr>
        <w:t xml:space="preserve">onfigured </w:t>
      </w:r>
      <w:r w:rsidR="00E62FE0" w:rsidRPr="008B6DD3">
        <w:rPr>
          <w:b/>
          <w:sz w:val="22"/>
          <w:szCs w:val="22"/>
        </w:rPr>
        <w:t>g</w:t>
      </w:r>
      <w:r w:rsidRPr="008B6DD3">
        <w:rPr>
          <w:b/>
          <w:sz w:val="22"/>
          <w:szCs w:val="22"/>
        </w:rPr>
        <w:t xml:space="preserve">rant is configured to </w:t>
      </w:r>
      <w:r w:rsidR="004E55E0" w:rsidRPr="008B6DD3">
        <w:rPr>
          <w:b/>
          <w:sz w:val="22"/>
          <w:szCs w:val="22"/>
        </w:rPr>
        <w:t xml:space="preserve">the </w:t>
      </w:r>
      <w:r w:rsidRPr="008B6DD3">
        <w:rPr>
          <w:b/>
          <w:sz w:val="22"/>
          <w:szCs w:val="22"/>
        </w:rPr>
        <w:t xml:space="preserve">UE from </w:t>
      </w:r>
      <w:r w:rsidR="004E55E0" w:rsidRPr="008B6DD3">
        <w:rPr>
          <w:b/>
          <w:sz w:val="22"/>
          <w:szCs w:val="22"/>
        </w:rPr>
        <w:t xml:space="preserve">the </w:t>
      </w:r>
      <w:r w:rsidRPr="008B6DD3">
        <w:rPr>
          <w:b/>
          <w:sz w:val="22"/>
          <w:szCs w:val="22"/>
        </w:rPr>
        <w:t>serving cell or target cell.</w:t>
      </w:r>
    </w:p>
    <w:p w14:paraId="4259BFB1" w14:textId="580B7F42" w:rsidR="00796E86" w:rsidRPr="00AB68B7" w:rsidRDefault="00796E86" w:rsidP="00796E86">
      <w:pPr>
        <w:rPr>
          <w:b/>
        </w:rPr>
      </w:pPr>
      <w:r w:rsidRPr="008B6DD3">
        <w:rPr>
          <w:b/>
          <w:sz w:val="22"/>
          <w:szCs w:val="22"/>
        </w:rPr>
        <w:t>Proposal 2</w:t>
      </w:r>
      <w:r w:rsidR="00BB6461" w:rsidRPr="008B6DD3">
        <w:rPr>
          <w:b/>
          <w:sz w:val="22"/>
          <w:szCs w:val="22"/>
        </w:rPr>
        <w:t xml:space="preserve">: </w:t>
      </w:r>
      <w:r w:rsidRPr="008B6DD3">
        <w:rPr>
          <w:b/>
          <w:sz w:val="22"/>
          <w:szCs w:val="22"/>
        </w:rPr>
        <w:t xml:space="preserve">During the recovery procedure or after completing the recovery procedure, if </w:t>
      </w:r>
      <w:r w:rsidR="00F918A8" w:rsidRPr="008B6DD3">
        <w:rPr>
          <w:b/>
          <w:sz w:val="22"/>
          <w:szCs w:val="22"/>
        </w:rPr>
        <w:t xml:space="preserve">a </w:t>
      </w:r>
      <w:r w:rsidRPr="008B6DD3">
        <w:rPr>
          <w:b/>
          <w:sz w:val="22"/>
          <w:szCs w:val="22"/>
        </w:rPr>
        <w:t xml:space="preserve">new </w:t>
      </w:r>
      <w:r w:rsidR="0041191A" w:rsidRPr="008B6DD3">
        <w:rPr>
          <w:b/>
          <w:sz w:val="22"/>
          <w:szCs w:val="22"/>
        </w:rPr>
        <w:t xml:space="preserve">SL </w:t>
      </w:r>
      <w:r w:rsidR="00E62FE0" w:rsidRPr="008B6DD3">
        <w:rPr>
          <w:b/>
          <w:sz w:val="22"/>
          <w:szCs w:val="22"/>
        </w:rPr>
        <w:t>c</w:t>
      </w:r>
      <w:r w:rsidRPr="008B6DD3">
        <w:rPr>
          <w:b/>
          <w:sz w:val="22"/>
          <w:szCs w:val="22"/>
        </w:rPr>
        <w:t xml:space="preserve">onfigured </w:t>
      </w:r>
      <w:r w:rsidR="00E62FE0" w:rsidRPr="008B6DD3">
        <w:rPr>
          <w:b/>
          <w:sz w:val="22"/>
          <w:szCs w:val="22"/>
        </w:rPr>
        <w:t>g</w:t>
      </w:r>
      <w:r w:rsidRPr="008B6DD3">
        <w:rPr>
          <w:b/>
          <w:sz w:val="22"/>
          <w:szCs w:val="22"/>
        </w:rPr>
        <w:t xml:space="preserve">rant is configured to the UE from </w:t>
      </w:r>
      <w:r w:rsidR="00FC3CBE" w:rsidRPr="008B6DD3">
        <w:rPr>
          <w:b/>
          <w:sz w:val="22"/>
          <w:szCs w:val="22"/>
        </w:rPr>
        <w:t xml:space="preserve">a </w:t>
      </w:r>
      <w:r w:rsidRPr="008B6DD3">
        <w:rPr>
          <w:b/>
          <w:sz w:val="22"/>
          <w:szCs w:val="22"/>
        </w:rPr>
        <w:t xml:space="preserve">serving cell or target cell, the UE should use </w:t>
      </w:r>
      <w:r w:rsidR="00F918A8" w:rsidRPr="008B6DD3">
        <w:rPr>
          <w:b/>
          <w:sz w:val="22"/>
          <w:szCs w:val="22"/>
        </w:rPr>
        <w:t xml:space="preserve">this </w:t>
      </w:r>
      <w:r w:rsidRPr="008B6DD3">
        <w:rPr>
          <w:b/>
          <w:sz w:val="22"/>
          <w:szCs w:val="22"/>
        </w:rPr>
        <w:t xml:space="preserve">new </w:t>
      </w:r>
      <w:r w:rsidR="0041191A" w:rsidRPr="008B6DD3">
        <w:rPr>
          <w:b/>
          <w:sz w:val="22"/>
          <w:szCs w:val="22"/>
        </w:rPr>
        <w:t xml:space="preserve">SL </w:t>
      </w:r>
      <w:r w:rsidR="00E62FE0" w:rsidRPr="008B6DD3">
        <w:rPr>
          <w:b/>
          <w:sz w:val="22"/>
          <w:szCs w:val="22"/>
        </w:rPr>
        <w:t>c</w:t>
      </w:r>
      <w:r w:rsidRPr="008B6DD3">
        <w:rPr>
          <w:b/>
          <w:sz w:val="22"/>
          <w:szCs w:val="22"/>
        </w:rPr>
        <w:t xml:space="preserve">onfigured </w:t>
      </w:r>
      <w:r w:rsidR="00E62FE0" w:rsidRPr="008B6DD3">
        <w:rPr>
          <w:b/>
          <w:sz w:val="22"/>
          <w:szCs w:val="22"/>
        </w:rPr>
        <w:t>g</w:t>
      </w:r>
      <w:r w:rsidRPr="008B6DD3">
        <w:rPr>
          <w:b/>
          <w:sz w:val="22"/>
          <w:szCs w:val="22"/>
        </w:rPr>
        <w:t>rant.</w:t>
      </w:r>
      <w:r w:rsidRPr="00AB68B7">
        <w:rPr>
          <w:b/>
        </w:rPr>
        <w:t xml:space="preserve">   </w:t>
      </w:r>
    </w:p>
    <w:p w14:paraId="0302DCA5" w14:textId="37647296" w:rsidR="00025ED3" w:rsidRDefault="009765F5" w:rsidP="006B7567">
      <w:pPr>
        <w:pStyle w:val="Heading1"/>
      </w:pPr>
      <w:r>
        <w:t xml:space="preserve">Exceptional Pool </w:t>
      </w:r>
      <w:r w:rsidR="006B7567">
        <w:t>Configuration</w:t>
      </w:r>
    </w:p>
    <w:p w14:paraId="51B21F82" w14:textId="242DB948" w:rsidR="004C666A" w:rsidRDefault="004C666A" w:rsidP="004C666A">
      <w:pPr>
        <w:pStyle w:val="3GPPText"/>
        <w:spacing w:after="0"/>
        <w:rPr>
          <w:lang w:val="en-GB"/>
        </w:rPr>
      </w:pPr>
      <w:r>
        <w:rPr>
          <w:lang w:val="en-GB"/>
        </w:rPr>
        <w:t xml:space="preserve">It has not been finalised on whether </w:t>
      </w:r>
      <w:r w:rsidR="00333A88">
        <w:rPr>
          <w:lang w:val="en-GB"/>
        </w:rPr>
        <w:t xml:space="preserve">a </w:t>
      </w:r>
      <w:r>
        <w:rPr>
          <w:lang w:val="en-GB"/>
        </w:rPr>
        <w:t xml:space="preserve">single shared resource pool or two different resource pools will be configured, in the case of Mode 1 and Mode 2 simultaneous configuration. However depending on the RAN1 agreements, </w:t>
      </w:r>
      <w:r w:rsidR="00843088">
        <w:rPr>
          <w:lang w:val="en-GB"/>
        </w:rPr>
        <w:t>it is possible</w:t>
      </w:r>
      <w:r w:rsidR="0033693D">
        <w:rPr>
          <w:lang w:val="en-GB"/>
        </w:rPr>
        <w:t xml:space="preserve"> that</w:t>
      </w:r>
      <w:r>
        <w:rPr>
          <w:lang w:val="en-GB"/>
        </w:rPr>
        <w:t xml:space="preserve"> one of the following </w:t>
      </w:r>
      <w:r w:rsidR="0033693D">
        <w:rPr>
          <w:lang w:val="en-GB"/>
        </w:rPr>
        <w:t>scenarios may occur,</w:t>
      </w:r>
      <w:r>
        <w:rPr>
          <w:lang w:val="en-GB"/>
        </w:rPr>
        <w:t xml:space="preserve"> in the event that both Mode </w:t>
      </w:r>
      <w:r w:rsidR="0033693D">
        <w:rPr>
          <w:lang w:val="en-GB"/>
        </w:rPr>
        <w:t>1 and Mode 2 require the use of the exceptional pool (</w:t>
      </w:r>
      <w:r>
        <w:rPr>
          <w:lang w:val="en-GB"/>
        </w:rPr>
        <w:t>largely based on existing LTE procedures for configuring the exceptional pool</w:t>
      </w:r>
      <w:r w:rsidR="0033693D">
        <w:rPr>
          <w:lang w:val="en-GB"/>
        </w:rPr>
        <w:t>)</w:t>
      </w:r>
      <w:r>
        <w:rPr>
          <w:lang w:val="en-GB"/>
        </w:rPr>
        <w:t>:</w:t>
      </w:r>
    </w:p>
    <w:p w14:paraId="396F8CFA" w14:textId="77777777" w:rsidR="004C666A" w:rsidRDefault="004C666A" w:rsidP="004C666A">
      <w:pPr>
        <w:pStyle w:val="3GPPText"/>
        <w:numPr>
          <w:ilvl w:val="0"/>
          <w:numId w:val="3"/>
        </w:numPr>
        <w:spacing w:after="0"/>
        <w:rPr>
          <w:lang w:val="en-GB"/>
        </w:rPr>
      </w:pPr>
      <w:r>
        <w:rPr>
          <w:lang w:val="en-GB"/>
        </w:rPr>
        <w:t>Mode 1 and Mode 2 both requiring the use of exceptional pool</w:t>
      </w:r>
    </w:p>
    <w:p w14:paraId="078028FE" w14:textId="075DF4C3" w:rsidR="004C666A" w:rsidRDefault="004C666A" w:rsidP="004C666A">
      <w:pPr>
        <w:pStyle w:val="3GPPText"/>
        <w:numPr>
          <w:ilvl w:val="1"/>
          <w:numId w:val="3"/>
        </w:numPr>
        <w:spacing w:after="0"/>
        <w:rPr>
          <w:lang w:val="en-GB"/>
        </w:rPr>
      </w:pPr>
      <w:r>
        <w:rPr>
          <w:lang w:val="en-GB"/>
        </w:rPr>
        <w:t>Case 1: For a single shared pool configuration, a single exceptional pool (as in LTE) may be configured</w:t>
      </w:r>
      <w:r w:rsidR="00333A88">
        <w:rPr>
          <w:lang w:val="en-GB"/>
        </w:rPr>
        <w:t>.</w:t>
      </w:r>
      <w:r>
        <w:rPr>
          <w:lang w:val="en-GB"/>
        </w:rPr>
        <w:t xml:space="preserve"> </w:t>
      </w:r>
      <w:r w:rsidR="00333A88">
        <w:rPr>
          <w:lang w:val="en-GB"/>
        </w:rPr>
        <w:t>It should be noted that</w:t>
      </w:r>
      <w:r>
        <w:rPr>
          <w:lang w:val="en-GB"/>
        </w:rPr>
        <w:t xml:space="preserve"> </w:t>
      </w:r>
      <w:r w:rsidR="00C938CF">
        <w:rPr>
          <w:lang w:val="en-GB"/>
        </w:rPr>
        <w:t xml:space="preserve">the </w:t>
      </w:r>
      <w:r>
        <w:rPr>
          <w:lang w:val="en-GB"/>
        </w:rPr>
        <w:t>desired QoS may not be met with the uncertainty of random selection within the same exceptional pool.</w:t>
      </w:r>
    </w:p>
    <w:p w14:paraId="5AB14767" w14:textId="1A2312CB" w:rsidR="004C666A" w:rsidRDefault="004C666A" w:rsidP="004C666A">
      <w:pPr>
        <w:pStyle w:val="3GPPText"/>
        <w:numPr>
          <w:ilvl w:val="1"/>
          <w:numId w:val="3"/>
        </w:numPr>
        <w:spacing w:after="0"/>
        <w:rPr>
          <w:lang w:val="en-GB"/>
        </w:rPr>
      </w:pPr>
      <w:r>
        <w:rPr>
          <w:lang w:val="en-GB"/>
        </w:rPr>
        <w:t xml:space="preserve">Case 2: </w:t>
      </w:r>
      <w:r w:rsidR="00C938CF">
        <w:rPr>
          <w:lang w:val="en-GB"/>
        </w:rPr>
        <w:t xml:space="preserve">For </w:t>
      </w:r>
      <w:r>
        <w:rPr>
          <w:lang w:val="en-GB"/>
        </w:rPr>
        <w:t>separate resource pool configuration</w:t>
      </w:r>
      <w:r w:rsidR="00C938CF">
        <w:rPr>
          <w:lang w:val="en-GB"/>
        </w:rPr>
        <w:t>s for Mode 1 and Mode 2</w:t>
      </w:r>
      <w:r>
        <w:rPr>
          <w:lang w:val="en-GB"/>
        </w:rPr>
        <w:t>, two separate exceptional pools are also configured to the UE</w:t>
      </w:r>
      <w:r w:rsidR="00C938CF">
        <w:rPr>
          <w:lang w:val="en-GB"/>
        </w:rPr>
        <w:t xml:space="preserve"> in a similar manner</w:t>
      </w:r>
      <w:r>
        <w:rPr>
          <w:lang w:val="en-GB"/>
        </w:rPr>
        <w:t>.</w:t>
      </w:r>
    </w:p>
    <w:p w14:paraId="5E0D1DEC" w14:textId="77777777" w:rsidR="004C666A" w:rsidRDefault="004C666A" w:rsidP="004C666A">
      <w:pPr>
        <w:pStyle w:val="3GPPText"/>
        <w:numPr>
          <w:ilvl w:val="0"/>
          <w:numId w:val="3"/>
        </w:numPr>
        <w:spacing w:after="0"/>
        <w:rPr>
          <w:lang w:val="en-GB"/>
        </w:rPr>
      </w:pPr>
      <w:r>
        <w:rPr>
          <w:lang w:val="en-GB"/>
        </w:rPr>
        <w:t>Either Mode 1 or Mode 2 require the use of the exceptional pool</w:t>
      </w:r>
    </w:p>
    <w:p w14:paraId="3F77312B" w14:textId="606864C3" w:rsidR="007E7A87" w:rsidRPr="00AB68B7" w:rsidRDefault="004C666A" w:rsidP="0058100D">
      <w:pPr>
        <w:pStyle w:val="3GPPText"/>
        <w:numPr>
          <w:ilvl w:val="1"/>
          <w:numId w:val="3"/>
        </w:numPr>
        <w:spacing w:after="0"/>
        <w:rPr>
          <w:lang w:val="en-GB"/>
        </w:rPr>
      </w:pPr>
      <w:r>
        <w:rPr>
          <w:lang w:val="en-GB"/>
        </w:rPr>
        <w:t>LTE mechanism may be reused, to allow operation of one of the modes.</w:t>
      </w:r>
    </w:p>
    <w:p w14:paraId="4F2ACD70" w14:textId="20A11F1A" w:rsidR="00581293" w:rsidRDefault="004C666A" w:rsidP="0058100D">
      <w:pPr>
        <w:pStyle w:val="3GPPText"/>
        <w:spacing w:after="0"/>
        <w:rPr>
          <w:lang w:val="en-GB"/>
        </w:rPr>
      </w:pPr>
      <w:r>
        <w:rPr>
          <w:lang w:val="en-GB"/>
        </w:rPr>
        <w:t>Another issue</w:t>
      </w:r>
      <w:r w:rsidR="00FE67CE">
        <w:rPr>
          <w:lang w:val="en-GB"/>
        </w:rPr>
        <w:t>,</w:t>
      </w:r>
      <w:r>
        <w:rPr>
          <w:lang w:val="en-GB"/>
        </w:rPr>
        <w:t xml:space="preserve"> </w:t>
      </w:r>
      <w:r w:rsidR="00FE67CE">
        <w:rPr>
          <w:lang w:val="en-GB"/>
        </w:rPr>
        <w:t>related</w:t>
      </w:r>
      <w:r>
        <w:rPr>
          <w:lang w:val="en-GB"/>
        </w:rPr>
        <w:t xml:space="preserve"> to the design of the exceptional pool, is the guarantee that </w:t>
      </w:r>
      <w:r w:rsidR="00FE67CE">
        <w:rPr>
          <w:lang w:val="en-GB"/>
        </w:rPr>
        <w:t>the</w:t>
      </w:r>
      <w:r>
        <w:rPr>
          <w:lang w:val="en-GB"/>
        </w:rPr>
        <w:t xml:space="preserve"> existing exceptional pool</w:t>
      </w:r>
      <w:r w:rsidR="00FE67CE">
        <w:rPr>
          <w:lang w:val="en-GB"/>
        </w:rPr>
        <w:t xml:space="preserve"> and associated resource selection method</w:t>
      </w:r>
      <w:r>
        <w:rPr>
          <w:lang w:val="en-GB"/>
        </w:rPr>
        <w:t xml:space="preserve"> </w:t>
      </w:r>
      <w:r w:rsidR="00843088">
        <w:rPr>
          <w:lang w:val="en-GB"/>
        </w:rPr>
        <w:t xml:space="preserve">(as in LTE) </w:t>
      </w:r>
      <w:r>
        <w:rPr>
          <w:lang w:val="en-GB"/>
        </w:rPr>
        <w:t>can continue to satisfy the QoS requirements when transitioning from normal Tx pool operations</w:t>
      </w:r>
      <w:r w:rsidR="00843088">
        <w:rPr>
          <w:lang w:val="en-GB"/>
        </w:rPr>
        <w:t xml:space="preserve"> in NR</w:t>
      </w:r>
      <w:r>
        <w:rPr>
          <w:lang w:val="en-GB"/>
        </w:rPr>
        <w:t>.</w:t>
      </w:r>
      <w:r w:rsidR="00843088">
        <w:rPr>
          <w:lang w:val="en-GB"/>
        </w:rPr>
        <w:t xml:space="preserve"> </w:t>
      </w:r>
      <w:r w:rsidR="00581293">
        <w:rPr>
          <w:lang w:val="en-GB"/>
        </w:rPr>
        <w:t xml:space="preserve">Furthermore, </w:t>
      </w:r>
      <w:r w:rsidR="003672C7">
        <w:rPr>
          <w:lang w:val="en-GB"/>
        </w:rPr>
        <w:t>the usage of the exceptional pool by a large number of UEs of different cast types may significantly degrade the performance.</w:t>
      </w:r>
    </w:p>
    <w:p w14:paraId="538147A3" w14:textId="77777777" w:rsidR="005038E0" w:rsidRDefault="005038E0" w:rsidP="005038E0">
      <w:pPr>
        <w:pStyle w:val="3GPPText"/>
        <w:spacing w:after="0"/>
        <w:rPr>
          <w:lang w:val="en-GB"/>
        </w:rPr>
      </w:pPr>
      <w:r>
        <w:rPr>
          <w:lang w:val="en-GB"/>
        </w:rPr>
        <w:t xml:space="preserve">Initial agreements on resource pool design have been made with the view that at least from RAN1’s perspective, pre-configured resource pools are to be used for all cast types. RAN2 should take this into account when designing the configurations, especially with regard to the exceptional pool even though there has been no explicit agreements on gNB configured resource pools. </w:t>
      </w:r>
    </w:p>
    <w:p w14:paraId="6F0CA776" w14:textId="7D6559DB" w:rsidR="005038E0" w:rsidRPr="005038E0" w:rsidRDefault="005038E0" w:rsidP="0058100D">
      <w:pPr>
        <w:pStyle w:val="3GPPText"/>
        <w:spacing w:after="0"/>
        <w:rPr>
          <w:b/>
          <w:lang w:val="en-GB"/>
        </w:rPr>
      </w:pPr>
      <w:r w:rsidRPr="00A16792">
        <w:rPr>
          <w:b/>
          <w:lang w:val="en-GB"/>
        </w:rPr>
        <w:t xml:space="preserve">Observation </w:t>
      </w:r>
      <w:r>
        <w:rPr>
          <w:b/>
          <w:lang w:val="en-GB"/>
        </w:rPr>
        <w:t>2</w:t>
      </w:r>
      <w:r w:rsidRPr="00A16792">
        <w:rPr>
          <w:b/>
          <w:lang w:val="en-GB"/>
        </w:rPr>
        <w:t>:  RAN1</w:t>
      </w:r>
      <w:r>
        <w:rPr>
          <w:b/>
          <w:lang w:val="en-GB"/>
        </w:rPr>
        <w:t xml:space="preserve"> has agreed that p</w:t>
      </w:r>
      <w:r w:rsidRPr="00A16792">
        <w:rPr>
          <w:b/>
          <w:lang w:val="en-GB"/>
        </w:rPr>
        <w:t>re-configured resource pools are cast type independen</w:t>
      </w:r>
      <w:r>
        <w:rPr>
          <w:b/>
          <w:lang w:val="en-GB"/>
        </w:rPr>
        <w:t>t.</w:t>
      </w:r>
    </w:p>
    <w:p w14:paraId="1FD757EC" w14:textId="60C41347" w:rsidR="00025ED3" w:rsidRDefault="00843088" w:rsidP="0058100D">
      <w:pPr>
        <w:pStyle w:val="3GPPText"/>
        <w:spacing w:after="0"/>
        <w:rPr>
          <w:lang w:val="en-GB"/>
        </w:rPr>
      </w:pPr>
      <w:r>
        <w:rPr>
          <w:lang w:val="en-GB"/>
        </w:rPr>
        <w:t>Cast type separation has also been discussed on the exceptional pool level, and the motivation is clear in terms of QoS satisfaction</w:t>
      </w:r>
      <w:r w:rsidR="005B20FA">
        <w:rPr>
          <w:lang w:val="en-GB"/>
        </w:rPr>
        <w:t xml:space="preserve"> [</w:t>
      </w:r>
      <w:r w:rsidR="00EE7B2A">
        <w:rPr>
          <w:lang w:val="en-GB"/>
        </w:rPr>
        <w:t>3</w:t>
      </w:r>
      <w:r w:rsidR="005B20FA">
        <w:rPr>
          <w:lang w:val="en-GB"/>
        </w:rPr>
        <w:t>]</w:t>
      </w:r>
      <w:r>
        <w:rPr>
          <w:lang w:val="en-GB"/>
        </w:rPr>
        <w:t xml:space="preserve">, </w:t>
      </w:r>
      <w:r w:rsidR="003672C7">
        <w:rPr>
          <w:lang w:val="en-GB"/>
        </w:rPr>
        <w:t xml:space="preserve">but </w:t>
      </w:r>
      <w:r>
        <w:rPr>
          <w:lang w:val="en-GB"/>
        </w:rPr>
        <w:t xml:space="preserve">this may lead to inefficient usage of resources in the exceptional pool. </w:t>
      </w:r>
      <w:r w:rsidR="00581293">
        <w:rPr>
          <w:lang w:val="en-GB"/>
        </w:rPr>
        <w:t>Considering that</w:t>
      </w:r>
      <w:r w:rsidRPr="00843088">
        <w:rPr>
          <w:lang w:val="en-GB"/>
        </w:rPr>
        <w:t xml:space="preserve"> the exceptional pool is not meant for sustained </w:t>
      </w:r>
      <w:r w:rsidR="00581293">
        <w:rPr>
          <w:lang w:val="en-GB"/>
        </w:rPr>
        <w:t xml:space="preserve">SL </w:t>
      </w:r>
      <w:r w:rsidRPr="00843088">
        <w:rPr>
          <w:lang w:val="en-GB"/>
        </w:rPr>
        <w:t xml:space="preserve">communications (only during exceptional </w:t>
      </w:r>
      <w:r>
        <w:rPr>
          <w:lang w:val="en-GB"/>
        </w:rPr>
        <w:t>radio link events</w:t>
      </w:r>
      <w:r w:rsidRPr="00843088">
        <w:rPr>
          <w:lang w:val="en-GB"/>
        </w:rPr>
        <w:t xml:space="preserve">), the design should also be kept </w:t>
      </w:r>
      <w:r w:rsidR="00581293">
        <w:rPr>
          <w:lang w:val="en-GB"/>
        </w:rPr>
        <w:t xml:space="preserve">as </w:t>
      </w:r>
      <w:r w:rsidRPr="00843088">
        <w:rPr>
          <w:lang w:val="en-GB"/>
        </w:rPr>
        <w:t>simple</w:t>
      </w:r>
      <w:r w:rsidR="00581293">
        <w:rPr>
          <w:lang w:val="en-GB"/>
        </w:rPr>
        <w:t xml:space="preserve"> as possible</w:t>
      </w:r>
      <w:r>
        <w:rPr>
          <w:lang w:val="en-GB"/>
        </w:rPr>
        <w:t xml:space="preserve">. </w:t>
      </w:r>
    </w:p>
    <w:p w14:paraId="69F4F8D4" w14:textId="5854CDA8" w:rsidR="007E7A87" w:rsidRDefault="007E7A87" w:rsidP="0058100D">
      <w:pPr>
        <w:pStyle w:val="3GPPText"/>
        <w:spacing w:after="0"/>
        <w:rPr>
          <w:lang w:val="en-GB"/>
        </w:rPr>
      </w:pPr>
      <w:r w:rsidRPr="0058100D">
        <w:rPr>
          <w:b/>
          <w:lang w:val="en-GB"/>
        </w:rPr>
        <w:t xml:space="preserve">Proposal </w:t>
      </w:r>
      <w:r w:rsidR="00AB68B7">
        <w:rPr>
          <w:b/>
          <w:lang w:val="en-GB"/>
        </w:rPr>
        <w:t>3</w:t>
      </w:r>
      <w:r w:rsidRPr="0058100D">
        <w:rPr>
          <w:b/>
          <w:lang w:val="en-GB"/>
        </w:rPr>
        <w:t xml:space="preserve">: Exceptional pool should </w:t>
      </w:r>
      <w:r>
        <w:rPr>
          <w:b/>
          <w:lang w:val="en-GB"/>
        </w:rPr>
        <w:t xml:space="preserve">aim to </w:t>
      </w:r>
      <w:r w:rsidRPr="0058100D">
        <w:rPr>
          <w:b/>
          <w:lang w:val="en-GB"/>
        </w:rPr>
        <w:t xml:space="preserve">be cast-type independent </w:t>
      </w:r>
      <w:r w:rsidR="00E52809">
        <w:rPr>
          <w:b/>
          <w:lang w:val="en-GB"/>
        </w:rPr>
        <w:t xml:space="preserve">in order </w:t>
      </w:r>
      <w:r w:rsidRPr="0058100D">
        <w:rPr>
          <w:b/>
          <w:lang w:val="en-GB"/>
        </w:rPr>
        <w:t>to maintain maximum resource efficiency.</w:t>
      </w:r>
    </w:p>
    <w:p w14:paraId="68070E2E" w14:textId="0BCFE636" w:rsidR="0058100D" w:rsidRDefault="003672C7" w:rsidP="0058100D">
      <w:pPr>
        <w:pStyle w:val="3GPPText"/>
        <w:spacing w:after="0"/>
        <w:rPr>
          <w:lang w:val="en-GB"/>
        </w:rPr>
      </w:pPr>
      <w:r>
        <w:rPr>
          <w:lang w:val="en-GB"/>
        </w:rPr>
        <w:t xml:space="preserve">Alternatively, it should be understood if one or more exceptional pools are sufficient to meet all the stringent QoS </w:t>
      </w:r>
      <w:r w:rsidR="007E7A87">
        <w:rPr>
          <w:lang w:val="en-GB"/>
        </w:rPr>
        <w:t xml:space="preserve">requirements </w:t>
      </w:r>
      <w:r>
        <w:rPr>
          <w:lang w:val="en-GB"/>
        </w:rPr>
        <w:t>in the fallback scenario.</w:t>
      </w:r>
      <w:r w:rsidR="00303FA6">
        <w:rPr>
          <w:lang w:val="en-GB"/>
        </w:rPr>
        <w:t xml:space="preserve"> In the case where UEs are configured to use feedback such as HARQ in a normal </w:t>
      </w:r>
      <w:r w:rsidR="006B2809">
        <w:rPr>
          <w:lang w:val="en-GB"/>
        </w:rPr>
        <w:t xml:space="preserve">resource </w:t>
      </w:r>
      <w:r w:rsidR="00303FA6">
        <w:rPr>
          <w:lang w:val="en-GB"/>
        </w:rPr>
        <w:t xml:space="preserve">pool, the same configuration should </w:t>
      </w:r>
      <w:r w:rsidR="007E7A87">
        <w:rPr>
          <w:lang w:val="en-GB"/>
        </w:rPr>
        <w:t>be maintained in an exceptional pool. A similar configuration should also be appli</w:t>
      </w:r>
      <w:r w:rsidR="007001AA">
        <w:rPr>
          <w:lang w:val="en-GB"/>
        </w:rPr>
        <w:t>cable</w:t>
      </w:r>
      <w:r w:rsidR="007E7A87">
        <w:rPr>
          <w:lang w:val="en-GB"/>
        </w:rPr>
        <w:t xml:space="preserve"> in a scenario where UEs are not configured to use feedback.</w:t>
      </w:r>
    </w:p>
    <w:p w14:paraId="17FCDFA5" w14:textId="6FC3DCC1" w:rsidR="00080641" w:rsidRPr="003672C7" w:rsidRDefault="00080641" w:rsidP="0058100D">
      <w:pPr>
        <w:pStyle w:val="3GPPText"/>
        <w:spacing w:after="0"/>
        <w:rPr>
          <w:lang w:val="en-GB"/>
        </w:rPr>
      </w:pPr>
      <w:r>
        <w:rPr>
          <w:lang w:val="en-GB"/>
        </w:rPr>
        <w:lastRenderedPageBreak/>
        <w:t xml:space="preserve">According to the working assumption made in RAN1#98bis, the SCI explicitly indicates whether HARQ feedback is used or not </w:t>
      </w:r>
      <w:r w:rsidR="007E4BAB">
        <w:rPr>
          <w:lang w:val="en-GB"/>
        </w:rPr>
        <w:t>provided that the</w:t>
      </w:r>
      <w:r>
        <w:rPr>
          <w:lang w:val="en-GB"/>
        </w:rPr>
        <w:t xml:space="preserve"> PSFCH has been (pre-)configured for a resource pool. </w:t>
      </w:r>
      <w:r w:rsidR="006B2809">
        <w:rPr>
          <w:lang w:val="en-GB"/>
        </w:rPr>
        <w:t>Therefore, i</w:t>
      </w:r>
      <w:r>
        <w:rPr>
          <w:lang w:val="en-GB"/>
        </w:rPr>
        <w:t xml:space="preserve">n order to unify the </w:t>
      </w:r>
      <w:r w:rsidR="007E4BAB">
        <w:rPr>
          <w:lang w:val="en-GB"/>
        </w:rPr>
        <w:t>configuration</w:t>
      </w:r>
      <w:r>
        <w:rPr>
          <w:lang w:val="en-GB"/>
        </w:rPr>
        <w:t xml:space="preserve"> across resource pools </w:t>
      </w:r>
      <w:r w:rsidR="007E4BAB">
        <w:rPr>
          <w:lang w:val="en-GB"/>
        </w:rPr>
        <w:t>while aiming to satisfy the</w:t>
      </w:r>
      <w:r w:rsidR="001A7F71">
        <w:rPr>
          <w:lang w:val="en-GB"/>
        </w:rPr>
        <w:t xml:space="preserve"> stringent</w:t>
      </w:r>
      <w:r>
        <w:rPr>
          <w:lang w:val="en-GB"/>
        </w:rPr>
        <w:t xml:space="preserve"> reliability requirement</w:t>
      </w:r>
      <w:r w:rsidR="007E4BAB">
        <w:rPr>
          <w:lang w:val="en-GB"/>
        </w:rPr>
        <w:t>s</w:t>
      </w:r>
      <w:r>
        <w:rPr>
          <w:lang w:val="en-GB"/>
        </w:rPr>
        <w:t xml:space="preserve"> in NR V2X, the same working principle may be extended to the exceptional pool</w:t>
      </w:r>
      <w:r w:rsidR="006B2809">
        <w:rPr>
          <w:lang w:val="en-GB"/>
        </w:rPr>
        <w:t>(s)</w:t>
      </w:r>
      <w:r>
        <w:rPr>
          <w:lang w:val="en-GB"/>
        </w:rPr>
        <w:t>.</w:t>
      </w:r>
      <w:r w:rsidR="00600491">
        <w:rPr>
          <w:lang w:val="en-GB"/>
        </w:rPr>
        <w:t xml:space="preserve"> </w:t>
      </w:r>
    </w:p>
    <w:p w14:paraId="0E59E79A" w14:textId="1A40EF83" w:rsidR="00A91CA7" w:rsidRDefault="00600491" w:rsidP="0058100D">
      <w:pPr>
        <w:pStyle w:val="3GPPText"/>
        <w:spacing w:after="0"/>
        <w:rPr>
          <w:b/>
          <w:lang w:val="en-GB"/>
        </w:rPr>
      </w:pPr>
      <w:r>
        <w:rPr>
          <w:b/>
          <w:lang w:val="en-GB"/>
        </w:rPr>
        <w:t>P</w:t>
      </w:r>
      <w:r w:rsidRPr="00600491">
        <w:rPr>
          <w:b/>
          <w:lang w:val="en-GB"/>
        </w:rPr>
        <w:t>roposal 4: Exceptional pool</w:t>
      </w:r>
      <w:r>
        <w:rPr>
          <w:b/>
          <w:lang w:val="en-GB"/>
        </w:rPr>
        <w:t>(s)</w:t>
      </w:r>
      <w:r w:rsidRPr="00600491">
        <w:rPr>
          <w:b/>
          <w:lang w:val="en-GB"/>
        </w:rPr>
        <w:t xml:space="preserve"> with/without PSFCH (feedback)</w:t>
      </w:r>
      <w:r>
        <w:rPr>
          <w:b/>
          <w:lang w:val="en-GB"/>
        </w:rPr>
        <w:t xml:space="preserve"> resources </w:t>
      </w:r>
      <w:r w:rsidRPr="00600491">
        <w:rPr>
          <w:b/>
          <w:lang w:val="en-GB"/>
        </w:rPr>
        <w:t>can also be configured</w:t>
      </w:r>
      <w:r w:rsidR="0058100D" w:rsidRPr="0058100D">
        <w:rPr>
          <w:b/>
          <w:lang w:val="en-GB"/>
        </w:rPr>
        <w:t xml:space="preserve"> to maintain high QoS for advanced use cases (e.g. provision of HARQ feedback) in events such as RLF, HO.</w:t>
      </w:r>
    </w:p>
    <w:p w14:paraId="099FE3F4" w14:textId="68B68E07" w:rsidR="00AB5733" w:rsidRDefault="00AB5733" w:rsidP="00AB5733">
      <w:pPr>
        <w:pStyle w:val="Heading1"/>
      </w:pPr>
      <w:r>
        <w:t>Conclusions</w:t>
      </w:r>
    </w:p>
    <w:p w14:paraId="55F8BBDD" w14:textId="48F68916" w:rsidR="00AB5733" w:rsidRDefault="007E7A87" w:rsidP="00A91CA7">
      <w:pPr>
        <w:pStyle w:val="3GPPText"/>
        <w:rPr>
          <w:lang w:val="en-GB"/>
        </w:rPr>
      </w:pPr>
      <w:r>
        <w:rPr>
          <w:lang w:val="en-GB"/>
        </w:rPr>
        <w:t>This discussion paper brought about the following observations</w:t>
      </w:r>
      <w:r w:rsidR="00AE4A3A">
        <w:rPr>
          <w:lang w:val="en-GB"/>
        </w:rPr>
        <w:t>:</w:t>
      </w:r>
    </w:p>
    <w:p w14:paraId="5A5D3B37" w14:textId="4C1DF7BE" w:rsidR="007E7A87" w:rsidRDefault="007E7A87" w:rsidP="00F72CBB">
      <w:pPr>
        <w:pStyle w:val="3GPPText"/>
        <w:rPr>
          <w:b/>
          <w:lang w:val="en-GB"/>
        </w:rPr>
      </w:pPr>
      <w:r w:rsidRPr="008D088F">
        <w:rPr>
          <w:b/>
          <w:lang w:val="en-GB"/>
        </w:rPr>
        <w:t xml:space="preserve">Observation 1: </w:t>
      </w:r>
      <w:r w:rsidR="00CC51AA">
        <w:rPr>
          <w:b/>
          <w:lang w:val="en-GB"/>
        </w:rPr>
        <w:t>A</w:t>
      </w:r>
      <w:r w:rsidR="00BB6461" w:rsidRPr="00BB6461">
        <w:rPr>
          <w:b/>
          <w:lang w:val="en-GB"/>
        </w:rPr>
        <w:t xml:space="preserve"> </w:t>
      </w:r>
      <w:r w:rsidR="00CC51AA">
        <w:rPr>
          <w:b/>
          <w:lang w:val="en-GB"/>
        </w:rPr>
        <w:t>remaining issue</w:t>
      </w:r>
      <w:r w:rsidR="00BB6461" w:rsidRPr="00BB6461">
        <w:rPr>
          <w:b/>
          <w:lang w:val="en-GB"/>
        </w:rPr>
        <w:t xml:space="preserve"> is to defin</w:t>
      </w:r>
      <w:r w:rsidR="00B31D7A">
        <w:rPr>
          <w:b/>
          <w:lang w:val="en-GB"/>
        </w:rPr>
        <w:t xml:space="preserve">e the duration in which the SL </w:t>
      </w:r>
      <w:r w:rsidR="00E62FE0">
        <w:rPr>
          <w:b/>
          <w:lang w:val="en-GB"/>
        </w:rPr>
        <w:t>configured grant</w:t>
      </w:r>
      <w:r w:rsidR="00BB6461" w:rsidRPr="00BB6461">
        <w:rPr>
          <w:b/>
          <w:lang w:val="en-GB"/>
        </w:rPr>
        <w:t xml:space="preserve"> is considered valid.</w:t>
      </w:r>
    </w:p>
    <w:p w14:paraId="49474F19" w14:textId="4FB24195" w:rsidR="00461767" w:rsidRDefault="00461767" w:rsidP="00F72CBB">
      <w:pPr>
        <w:pStyle w:val="3GPPText"/>
        <w:rPr>
          <w:lang w:val="en-GB"/>
        </w:rPr>
      </w:pPr>
      <w:r w:rsidRPr="00A16792">
        <w:rPr>
          <w:b/>
          <w:lang w:val="en-GB"/>
        </w:rPr>
        <w:t xml:space="preserve">Observation </w:t>
      </w:r>
      <w:r>
        <w:rPr>
          <w:b/>
          <w:lang w:val="en-GB"/>
        </w:rPr>
        <w:t>2</w:t>
      </w:r>
      <w:r w:rsidRPr="00A16792">
        <w:rPr>
          <w:b/>
          <w:lang w:val="en-GB"/>
        </w:rPr>
        <w:t>:  RAN1</w:t>
      </w:r>
      <w:r>
        <w:rPr>
          <w:b/>
          <w:lang w:val="en-GB"/>
        </w:rPr>
        <w:t xml:space="preserve"> has agreed that p</w:t>
      </w:r>
      <w:r w:rsidRPr="00A16792">
        <w:rPr>
          <w:b/>
          <w:lang w:val="en-GB"/>
        </w:rPr>
        <w:t>re-configured resource pools are cast type independen</w:t>
      </w:r>
      <w:r>
        <w:rPr>
          <w:b/>
          <w:lang w:val="en-GB"/>
        </w:rPr>
        <w:t>t.</w:t>
      </w:r>
    </w:p>
    <w:p w14:paraId="67C6FD89" w14:textId="726F58CA" w:rsidR="00AE4A3A" w:rsidRDefault="00AE4A3A" w:rsidP="00A91CA7">
      <w:pPr>
        <w:pStyle w:val="3GPPText"/>
        <w:rPr>
          <w:lang w:val="en-GB"/>
        </w:rPr>
      </w:pPr>
      <w:r>
        <w:rPr>
          <w:lang w:val="en-GB"/>
        </w:rPr>
        <w:t xml:space="preserve">The </w:t>
      </w:r>
      <w:r w:rsidR="009028A0">
        <w:rPr>
          <w:lang w:val="en-GB"/>
        </w:rPr>
        <w:t>proposals are summarised as follows</w:t>
      </w:r>
      <w:r>
        <w:rPr>
          <w:lang w:val="en-GB"/>
        </w:rPr>
        <w:t>:</w:t>
      </w:r>
    </w:p>
    <w:p w14:paraId="34EEB12B" w14:textId="768E63A3" w:rsidR="00BB6461" w:rsidRPr="00643705" w:rsidRDefault="007E7A87" w:rsidP="00BB6461">
      <w:pPr>
        <w:rPr>
          <w:b/>
          <w:sz w:val="22"/>
          <w:szCs w:val="22"/>
        </w:rPr>
      </w:pPr>
      <w:r w:rsidRPr="00643705">
        <w:rPr>
          <w:b/>
          <w:sz w:val="22"/>
          <w:szCs w:val="22"/>
        </w:rPr>
        <w:t xml:space="preserve">Proposal 1: </w:t>
      </w:r>
      <w:r w:rsidR="004E55E0" w:rsidRPr="008B6DD3">
        <w:rPr>
          <w:b/>
          <w:sz w:val="22"/>
          <w:szCs w:val="22"/>
        </w:rPr>
        <w:t xml:space="preserve">SL </w:t>
      </w:r>
      <w:r w:rsidR="00E62FE0" w:rsidRPr="00E62FE0">
        <w:rPr>
          <w:b/>
          <w:sz w:val="22"/>
          <w:szCs w:val="22"/>
        </w:rPr>
        <w:t>c</w:t>
      </w:r>
      <w:r w:rsidR="00E62FE0" w:rsidRPr="008B6DD3">
        <w:rPr>
          <w:b/>
          <w:sz w:val="22"/>
          <w:szCs w:val="22"/>
        </w:rPr>
        <w:t>onfigured grant</w:t>
      </w:r>
      <w:r w:rsidR="004E55E0" w:rsidRPr="008B6DD3">
        <w:rPr>
          <w:b/>
          <w:sz w:val="22"/>
          <w:szCs w:val="22"/>
        </w:rPr>
        <w:t xml:space="preserve"> can be valid until a new SL </w:t>
      </w:r>
      <w:r w:rsidR="00E62FE0" w:rsidRPr="00E62FE0">
        <w:rPr>
          <w:b/>
          <w:sz w:val="22"/>
          <w:szCs w:val="22"/>
        </w:rPr>
        <w:t>c</w:t>
      </w:r>
      <w:r w:rsidR="00E62FE0" w:rsidRPr="008B6DD3">
        <w:rPr>
          <w:b/>
          <w:sz w:val="22"/>
          <w:szCs w:val="22"/>
        </w:rPr>
        <w:t>onfigured grant</w:t>
      </w:r>
      <w:r w:rsidR="004E55E0" w:rsidRPr="008B6DD3">
        <w:rPr>
          <w:b/>
          <w:sz w:val="22"/>
          <w:szCs w:val="22"/>
        </w:rPr>
        <w:t xml:space="preserve"> is configured to the UE from the serving cell or target cell.</w:t>
      </w:r>
    </w:p>
    <w:p w14:paraId="2A16C3CE" w14:textId="63335731" w:rsidR="00A91CA7" w:rsidRPr="00BB6461" w:rsidRDefault="00BB6461" w:rsidP="00BB6461">
      <w:pPr>
        <w:pStyle w:val="3GPPText"/>
        <w:rPr>
          <w:b/>
          <w:szCs w:val="22"/>
          <w:lang w:val="en-GB"/>
        </w:rPr>
      </w:pPr>
      <w:r w:rsidRPr="00BB6461">
        <w:rPr>
          <w:b/>
          <w:szCs w:val="22"/>
        </w:rPr>
        <w:t xml:space="preserve">Proposal 2: </w:t>
      </w:r>
      <w:r w:rsidR="004E55E0" w:rsidRPr="00AB68B7">
        <w:rPr>
          <w:b/>
        </w:rPr>
        <w:t xml:space="preserve">During the recovery procedure or after completing the recovery procedure, if </w:t>
      </w:r>
      <w:r w:rsidR="004E55E0">
        <w:rPr>
          <w:b/>
        </w:rPr>
        <w:t xml:space="preserve">a </w:t>
      </w:r>
      <w:r w:rsidR="004E55E0" w:rsidRPr="00AB68B7">
        <w:rPr>
          <w:b/>
        </w:rPr>
        <w:t xml:space="preserve">new </w:t>
      </w:r>
      <w:r w:rsidR="004E55E0">
        <w:rPr>
          <w:b/>
        </w:rPr>
        <w:t xml:space="preserve">SL </w:t>
      </w:r>
      <w:r w:rsidR="00E62FE0">
        <w:rPr>
          <w:b/>
        </w:rPr>
        <w:t>configured grant</w:t>
      </w:r>
      <w:r w:rsidR="004E55E0" w:rsidRPr="00AB68B7">
        <w:rPr>
          <w:b/>
        </w:rPr>
        <w:t xml:space="preserve"> is configured to the UE from </w:t>
      </w:r>
      <w:r w:rsidR="004E55E0">
        <w:rPr>
          <w:b/>
        </w:rPr>
        <w:t xml:space="preserve">a </w:t>
      </w:r>
      <w:r w:rsidR="004E55E0" w:rsidRPr="00AB68B7">
        <w:rPr>
          <w:b/>
        </w:rPr>
        <w:t xml:space="preserve">serving cell or target cell, the UE should use </w:t>
      </w:r>
      <w:r w:rsidR="004E55E0">
        <w:rPr>
          <w:b/>
        </w:rPr>
        <w:t xml:space="preserve">this </w:t>
      </w:r>
      <w:r w:rsidR="004E55E0" w:rsidRPr="00AB68B7">
        <w:rPr>
          <w:b/>
        </w:rPr>
        <w:t xml:space="preserve">new </w:t>
      </w:r>
      <w:r w:rsidR="004E55E0">
        <w:rPr>
          <w:b/>
        </w:rPr>
        <w:t xml:space="preserve">SL </w:t>
      </w:r>
      <w:r w:rsidR="00E62FE0">
        <w:rPr>
          <w:b/>
        </w:rPr>
        <w:t>configured grant</w:t>
      </w:r>
      <w:r w:rsidR="004E55E0" w:rsidRPr="00AB68B7">
        <w:rPr>
          <w:b/>
        </w:rPr>
        <w:t>.</w:t>
      </w:r>
    </w:p>
    <w:p w14:paraId="1879DFF0" w14:textId="276AE633" w:rsidR="007E7A87" w:rsidRPr="00BB6461" w:rsidRDefault="007E7A87" w:rsidP="00A91CA7">
      <w:pPr>
        <w:pStyle w:val="3GPPText"/>
        <w:rPr>
          <w:b/>
          <w:szCs w:val="22"/>
          <w:lang w:val="en-GB"/>
        </w:rPr>
      </w:pPr>
      <w:r w:rsidRPr="009B54EC">
        <w:rPr>
          <w:b/>
          <w:szCs w:val="22"/>
          <w:lang w:val="en-GB"/>
        </w:rPr>
        <w:t xml:space="preserve">Proposal </w:t>
      </w:r>
      <w:r w:rsidR="00BB6461" w:rsidRPr="009B54EC">
        <w:rPr>
          <w:b/>
          <w:szCs w:val="22"/>
          <w:lang w:val="en-GB"/>
        </w:rPr>
        <w:t>3</w:t>
      </w:r>
      <w:r w:rsidRPr="009B54EC">
        <w:rPr>
          <w:b/>
          <w:szCs w:val="22"/>
          <w:lang w:val="en-GB"/>
        </w:rPr>
        <w:t xml:space="preserve">: </w:t>
      </w:r>
      <w:r w:rsidR="00BB6461" w:rsidRPr="00BB6461">
        <w:rPr>
          <w:b/>
          <w:szCs w:val="22"/>
          <w:lang w:val="en-GB"/>
        </w:rPr>
        <w:t>Exceptional pool should aim to be cast-type independent in order to maintain maximum resource efficiency.</w:t>
      </w:r>
    </w:p>
    <w:p w14:paraId="7E72A3AE" w14:textId="66E1D575" w:rsidR="00E16E00" w:rsidRDefault="001A7F71" w:rsidP="00A91CA7">
      <w:pPr>
        <w:pStyle w:val="3GPPText"/>
        <w:rPr>
          <w:lang w:val="en-GB"/>
        </w:rPr>
      </w:pPr>
      <w:r>
        <w:rPr>
          <w:b/>
          <w:lang w:val="en-GB"/>
        </w:rPr>
        <w:t>P</w:t>
      </w:r>
      <w:r w:rsidRPr="00600491">
        <w:rPr>
          <w:b/>
          <w:lang w:val="en-GB"/>
        </w:rPr>
        <w:t>roposal 4: Exceptional pool</w:t>
      </w:r>
      <w:r>
        <w:rPr>
          <w:b/>
          <w:lang w:val="en-GB"/>
        </w:rPr>
        <w:t>(s)</w:t>
      </w:r>
      <w:r w:rsidRPr="00600491">
        <w:rPr>
          <w:b/>
          <w:lang w:val="en-GB"/>
        </w:rPr>
        <w:t xml:space="preserve"> with/without PSFCH (feedback)</w:t>
      </w:r>
      <w:r>
        <w:rPr>
          <w:b/>
          <w:lang w:val="en-GB"/>
        </w:rPr>
        <w:t xml:space="preserve"> resources </w:t>
      </w:r>
      <w:r w:rsidRPr="00600491">
        <w:rPr>
          <w:b/>
          <w:lang w:val="en-GB"/>
        </w:rPr>
        <w:t>can also be configured</w:t>
      </w:r>
      <w:r w:rsidRPr="0058100D">
        <w:rPr>
          <w:b/>
          <w:lang w:val="en-GB"/>
        </w:rPr>
        <w:t xml:space="preserve"> to maintain high QoS for advanced use cases (e.g. provision of HARQ feedback) in events such as RLF, HO.</w:t>
      </w:r>
    </w:p>
    <w:p w14:paraId="19852180" w14:textId="4997C849" w:rsidR="00502C68" w:rsidRPr="00110AAA" w:rsidRDefault="00A91CA7" w:rsidP="00110AAA">
      <w:pPr>
        <w:pStyle w:val="3GPPH1"/>
        <w:rPr>
          <w:lang w:val="en-US"/>
        </w:rPr>
      </w:pPr>
      <w:r w:rsidRPr="00AB2DA9">
        <w:rPr>
          <w:lang w:val="en-US"/>
        </w:rPr>
        <w:t>References</w:t>
      </w:r>
      <w:bookmarkStart w:id="2" w:name="_Ref4422853"/>
      <w:bookmarkStart w:id="3" w:name="_Ref524868549"/>
      <w:bookmarkStart w:id="4" w:name="_Ref505694604"/>
      <w:bookmarkStart w:id="5" w:name="_Ref471775016"/>
      <w:r w:rsidR="00502C68" w:rsidRPr="00110AAA">
        <w:rPr>
          <w:rFonts w:ascii="Times New Roman" w:hAnsi="Times New Roman"/>
          <w:sz w:val="20"/>
        </w:rPr>
        <w:t xml:space="preserve"> </w:t>
      </w:r>
      <w:bookmarkEnd w:id="2"/>
    </w:p>
    <w:bookmarkEnd w:id="3"/>
    <w:bookmarkEnd w:id="4"/>
    <w:bookmarkEnd w:id="5"/>
    <w:p w14:paraId="261F26E5" w14:textId="15823FD0" w:rsidR="00074B80" w:rsidRPr="00136852" w:rsidRDefault="00613245" w:rsidP="00613245">
      <w:pPr>
        <w:pStyle w:val="ListParagraph"/>
        <w:widowControl w:val="0"/>
        <w:numPr>
          <w:ilvl w:val="0"/>
          <w:numId w:val="1"/>
        </w:numPr>
        <w:tabs>
          <w:tab w:val="num" w:pos="708"/>
        </w:tabs>
        <w:autoSpaceDN w:val="0"/>
        <w:spacing w:after="60"/>
        <w:jc w:val="both"/>
        <w:rPr>
          <w:rFonts w:eastAsia="SimSun"/>
        </w:rPr>
      </w:pPr>
      <w:r w:rsidRPr="00136852">
        <w:rPr>
          <w:rFonts w:eastAsia="SimSun"/>
        </w:rPr>
        <w:t>R2-1911517, “Report from session on LTE V2X and NR V2X”, Intel Corporation, 3GPP RAN2#107, Aug., 2019</w:t>
      </w:r>
      <w:r w:rsidR="00492361" w:rsidRPr="00136852">
        <w:rPr>
          <w:rFonts w:eastAsia="SimSun"/>
        </w:rPr>
        <w:t>.</w:t>
      </w:r>
    </w:p>
    <w:p w14:paraId="02E49058" w14:textId="2B498ED5" w:rsidR="00492361" w:rsidRPr="00136852" w:rsidRDefault="00492361" w:rsidP="00613245">
      <w:pPr>
        <w:pStyle w:val="ListParagraph"/>
        <w:widowControl w:val="0"/>
        <w:numPr>
          <w:ilvl w:val="0"/>
          <w:numId w:val="1"/>
        </w:numPr>
        <w:tabs>
          <w:tab w:val="num" w:pos="708"/>
        </w:tabs>
        <w:autoSpaceDN w:val="0"/>
        <w:spacing w:after="60"/>
        <w:jc w:val="both"/>
        <w:rPr>
          <w:rFonts w:eastAsia="SimSun"/>
        </w:rPr>
      </w:pPr>
      <w:r w:rsidRPr="00136852">
        <w:rPr>
          <w:rFonts w:eastAsia="SimSun"/>
        </w:rPr>
        <w:t>RP-191722, “Status Report to TSG”, 3GPP RAN#85, September 2019.</w:t>
      </w:r>
    </w:p>
    <w:p w14:paraId="212837E2" w14:textId="38CB470A" w:rsidR="00206A28" w:rsidRPr="00136852" w:rsidRDefault="00206A28" w:rsidP="00206A28">
      <w:pPr>
        <w:pStyle w:val="ListParagraph"/>
        <w:widowControl w:val="0"/>
        <w:numPr>
          <w:ilvl w:val="0"/>
          <w:numId w:val="1"/>
        </w:numPr>
        <w:tabs>
          <w:tab w:val="num" w:pos="708"/>
        </w:tabs>
        <w:autoSpaceDN w:val="0"/>
        <w:spacing w:after="60"/>
        <w:jc w:val="both"/>
        <w:rPr>
          <w:rFonts w:eastAsia="SimSun"/>
        </w:rPr>
      </w:pPr>
      <w:r w:rsidRPr="00136852">
        <w:rPr>
          <w:rFonts w:eastAsia="SimSun"/>
        </w:rPr>
        <w:t>R1-1911801, “Report of RAN1#98bis”, MCC, October 2019.</w:t>
      </w:r>
    </w:p>
    <w:p w14:paraId="32D0077A" w14:textId="67FAB55B" w:rsidR="00893222" w:rsidRPr="00136852" w:rsidRDefault="00893222" w:rsidP="007E65BA">
      <w:pPr>
        <w:pStyle w:val="ListParagraph"/>
        <w:widowControl w:val="0"/>
        <w:numPr>
          <w:ilvl w:val="0"/>
          <w:numId w:val="1"/>
        </w:numPr>
        <w:tabs>
          <w:tab w:val="num" w:pos="708"/>
        </w:tabs>
        <w:autoSpaceDN w:val="0"/>
        <w:spacing w:after="60"/>
        <w:jc w:val="both"/>
        <w:rPr>
          <w:rFonts w:eastAsia="SimSun"/>
        </w:rPr>
      </w:pPr>
      <w:r w:rsidRPr="00136852">
        <w:rPr>
          <w:rFonts w:eastAsia="SimSun"/>
        </w:rPr>
        <w:t>R2-19</w:t>
      </w:r>
      <w:r w:rsidR="007E65BA" w:rsidRPr="00136852">
        <w:rPr>
          <w:rFonts w:eastAsia="SimSun"/>
        </w:rPr>
        <w:t>11126</w:t>
      </w:r>
      <w:r w:rsidRPr="00136852">
        <w:rPr>
          <w:rFonts w:eastAsia="SimSun"/>
        </w:rPr>
        <w:t>, “Report of [106#79] [NR/V2X] TX resource pool”, Mediatek, August 2019.</w:t>
      </w:r>
    </w:p>
    <w:p w14:paraId="4D7B1549" w14:textId="77777777" w:rsidR="00A91CA7" w:rsidRPr="002A488B" w:rsidRDefault="00A91CA7" w:rsidP="00A91CA7">
      <w:pPr>
        <w:rPr>
          <w:lang w:val="en-US"/>
        </w:rPr>
      </w:pPr>
    </w:p>
    <w:p w14:paraId="05EC6704" w14:textId="77777777" w:rsidR="00646EE2" w:rsidRPr="00A91CA7" w:rsidRDefault="00646EE2">
      <w:pPr>
        <w:rPr>
          <w:lang w:val="en-US"/>
        </w:rPr>
      </w:pPr>
    </w:p>
    <w:sectPr w:rsidR="00646EE2" w:rsidRPr="00A91CA7" w:rsidSect="002A488B">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FD1AA9" w14:textId="77777777" w:rsidR="000205C4" w:rsidRDefault="000205C4">
      <w:pPr>
        <w:spacing w:after="0"/>
      </w:pPr>
      <w:r>
        <w:separator/>
      </w:r>
    </w:p>
  </w:endnote>
  <w:endnote w:type="continuationSeparator" w:id="0">
    <w:p w14:paraId="79BBE76B" w14:textId="77777777" w:rsidR="000205C4" w:rsidRDefault="000205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6FED55" w14:textId="77777777" w:rsidR="004F6EB7" w:rsidRDefault="005E25A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1F0BA0F" w14:textId="77777777" w:rsidR="004F6EB7" w:rsidRDefault="000205C4"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67140" w14:textId="6199E6AD" w:rsidR="004F6EB7" w:rsidRPr="00270202" w:rsidRDefault="00B407DF" w:rsidP="00450D3B">
    <w:pPr>
      <w:pStyle w:val="table"/>
      <w:ind w:right="360"/>
      <w:rPr>
        <w:b/>
        <w:i/>
        <w:sz w:val="10"/>
      </w:rPr>
    </w:pPr>
    <w:r>
      <w:rPr>
        <w:rStyle w:val="CharChar2"/>
        <w:b/>
        <w:i/>
        <w:sz w:val="18"/>
      </w:rPr>
      <w:t xml:space="preserve">Page </w:t>
    </w:r>
    <w:r w:rsidR="005E25A8" w:rsidRPr="00270202">
      <w:rPr>
        <w:rStyle w:val="CharChar2"/>
        <w:b/>
        <w:i/>
        <w:sz w:val="18"/>
      </w:rPr>
      <w:fldChar w:fldCharType="begin"/>
    </w:r>
    <w:r w:rsidR="005E25A8" w:rsidRPr="00270202">
      <w:rPr>
        <w:rStyle w:val="CharChar2"/>
        <w:b/>
        <w:i/>
        <w:sz w:val="18"/>
      </w:rPr>
      <w:instrText xml:space="preserve"> PAGE </w:instrText>
    </w:r>
    <w:r w:rsidR="005E25A8" w:rsidRPr="00270202">
      <w:rPr>
        <w:rStyle w:val="CharChar2"/>
        <w:b/>
        <w:i/>
        <w:sz w:val="18"/>
      </w:rPr>
      <w:fldChar w:fldCharType="separate"/>
    </w:r>
    <w:r w:rsidR="008425F3">
      <w:rPr>
        <w:rStyle w:val="CharChar2"/>
        <w:b/>
        <w:i/>
        <w:noProof/>
        <w:sz w:val="18"/>
      </w:rPr>
      <w:t>2</w:t>
    </w:r>
    <w:r w:rsidR="005E25A8" w:rsidRPr="00270202">
      <w:rPr>
        <w:rStyle w:val="CharChar2"/>
        <w:b/>
        <w:i/>
        <w:sz w:val="18"/>
      </w:rPr>
      <w:fldChar w:fldCharType="end"/>
    </w:r>
    <w:r w:rsidR="005E25A8" w:rsidRPr="00270202">
      <w:rPr>
        <w:rStyle w:val="CharChar2"/>
        <w:b/>
        <w:i/>
        <w:sz w:val="18"/>
      </w:rPr>
      <w:t>/</w:t>
    </w:r>
    <w:r w:rsidR="005E25A8" w:rsidRPr="00270202">
      <w:rPr>
        <w:rStyle w:val="CharChar2"/>
        <w:b/>
        <w:i/>
        <w:sz w:val="18"/>
      </w:rPr>
      <w:fldChar w:fldCharType="begin"/>
    </w:r>
    <w:r w:rsidR="005E25A8" w:rsidRPr="00270202">
      <w:rPr>
        <w:rStyle w:val="CharChar2"/>
        <w:b/>
        <w:i/>
        <w:sz w:val="18"/>
      </w:rPr>
      <w:instrText xml:space="preserve"> NUMPAGES </w:instrText>
    </w:r>
    <w:r w:rsidR="005E25A8" w:rsidRPr="00270202">
      <w:rPr>
        <w:rStyle w:val="CharChar2"/>
        <w:b/>
        <w:i/>
        <w:sz w:val="18"/>
      </w:rPr>
      <w:fldChar w:fldCharType="separate"/>
    </w:r>
    <w:r w:rsidR="008425F3">
      <w:rPr>
        <w:rStyle w:val="CharChar2"/>
        <w:b/>
        <w:i/>
        <w:noProof/>
        <w:sz w:val="18"/>
      </w:rPr>
      <w:t>3</w:t>
    </w:r>
    <w:r w:rsidR="005E25A8"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45863B" w14:textId="77777777" w:rsidR="000205C4" w:rsidRDefault="000205C4">
      <w:pPr>
        <w:spacing w:after="0"/>
      </w:pPr>
      <w:r>
        <w:separator/>
      </w:r>
    </w:p>
  </w:footnote>
  <w:footnote w:type="continuationSeparator" w:id="0">
    <w:p w14:paraId="139171C6" w14:textId="77777777" w:rsidR="000205C4" w:rsidRDefault="000205C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F5BA0" w14:textId="77777777" w:rsidR="004F6EB7" w:rsidRDefault="005E25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56B763FC"/>
    <w:multiLevelType w:val="hybridMultilevel"/>
    <w:tmpl w:val="211EFCD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708"/>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1694"/>
    <w:rsid w:val="00001D2F"/>
    <w:rsid w:val="000117D1"/>
    <w:rsid w:val="00013905"/>
    <w:rsid w:val="00014BE0"/>
    <w:rsid w:val="000205C4"/>
    <w:rsid w:val="00022E84"/>
    <w:rsid w:val="00025833"/>
    <w:rsid w:val="00025ED3"/>
    <w:rsid w:val="00032DB0"/>
    <w:rsid w:val="00044469"/>
    <w:rsid w:val="0005057F"/>
    <w:rsid w:val="0005724B"/>
    <w:rsid w:val="00060851"/>
    <w:rsid w:val="000650E7"/>
    <w:rsid w:val="00074B80"/>
    <w:rsid w:val="00080641"/>
    <w:rsid w:val="00087561"/>
    <w:rsid w:val="0009741F"/>
    <w:rsid w:val="000A7EB6"/>
    <w:rsid w:val="000B1097"/>
    <w:rsid w:val="000B52EE"/>
    <w:rsid w:val="000B6623"/>
    <w:rsid w:val="000B769C"/>
    <w:rsid w:val="000C7BF7"/>
    <w:rsid w:val="000D0377"/>
    <w:rsid w:val="000D15BE"/>
    <w:rsid w:val="000F17D5"/>
    <w:rsid w:val="0010294A"/>
    <w:rsid w:val="001031A9"/>
    <w:rsid w:val="00103465"/>
    <w:rsid w:val="00110AAA"/>
    <w:rsid w:val="00136852"/>
    <w:rsid w:val="00146FA2"/>
    <w:rsid w:val="001529B6"/>
    <w:rsid w:val="001532EC"/>
    <w:rsid w:val="00153BD7"/>
    <w:rsid w:val="00161D59"/>
    <w:rsid w:val="00180915"/>
    <w:rsid w:val="00185102"/>
    <w:rsid w:val="001A17EC"/>
    <w:rsid w:val="001A1EB1"/>
    <w:rsid w:val="001A7F71"/>
    <w:rsid w:val="001C29A7"/>
    <w:rsid w:val="001D1A1A"/>
    <w:rsid w:val="001D5778"/>
    <w:rsid w:val="001E5293"/>
    <w:rsid w:val="00206A28"/>
    <w:rsid w:val="0021753D"/>
    <w:rsid w:val="002241F3"/>
    <w:rsid w:val="002300EA"/>
    <w:rsid w:val="00244296"/>
    <w:rsid w:val="0025748C"/>
    <w:rsid w:val="0026301F"/>
    <w:rsid w:val="00280BA0"/>
    <w:rsid w:val="002817F8"/>
    <w:rsid w:val="00285DA9"/>
    <w:rsid w:val="002A3813"/>
    <w:rsid w:val="002A43E1"/>
    <w:rsid w:val="002B5186"/>
    <w:rsid w:val="002C7FF2"/>
    <w:rsid w:val="002D2E5B"/>
    <w:rsid w:val="002D7EC7"/>
    <w:rsid w:val="002E369E"/>
    <w:rsid w:val="002E5921"/>
    <w:rsid w:val="002F38F4"/>
    <w:rsid w:val="00303FA6"/>
    <w:rsid w:val="003055DF"/>
    <w:rsid w:val="003127C9"/>
    <w:rsid w:val="00316CB8"/>
    <w:rsid w:val="00333A88"/>
    <w:rsid w:val="003346E4"/>
    <w:rsid w:val="0033693D"/>
    <w:rsid w:val="003431C6"/>
    <w:rsid w:val="003451C1"/>
    <w:rsid w:val="00345CBD"/>
    <w:rsid w:val="003672C7"/>
    <w:rsid w:val="00373173"/>
    <w:rsid w:val="00381B50"/>
    <w:rsid w:val="00382B00"/>
    <w:rsid w:val="00395931"/>
    <w:rsid w:val="003B2511"/>
    <w:rsid w:val="003B52EE"/>
    <w:rsid w:val="003B64FE"/>
    <w:rsid w:val="003D71DA"/>
    <w:rsid w:val="003F4F3A"/>
    <w:rsid w:val="0040475E"/>
    <w:rsid w:val="004063CB"/>
    <w:rsid w:val="0041191A"/>
    <w:rsid w:val="00412D0E"/>
    <w:rsid w:val="004218FB"/>
    <w:rsid w:val="004240E4"/>
    <w:rsid w:val="00446487"/>
    <w:rsid w:val="00454CBB"/>
    <w:rsid w:val="00461767"/>
    <w:rsid w:val="004617B3"/>
    <w:rsid w:val="004660E3"/>
    <w:rsid w:val="00476980"/>
    <w:rsid w:val="00487858"/>
    <w:rsid w:val="00492361"/>
    <w:rsid w:val="00493355"/>
    <w:rsid w:val="004C1EB2"/>
    <w:rsid w:val="004C286A"/>
    <w:rsid w:val="004C2FDA"/>
    <w:rsid w:val="004C4A46"/>
    <w:rsid w:val="004C666A"/>
    <w:rsid w:val="004E4C4D"/>
    <w:rsid w:val="004E55E0"/>
    <w:rsid w:val="004F0EB7"/>
    <w:rsid w:val="00500FC9"/>
    <w:rsid w:val="00502C68"/>
    <w:rsid w:val="005038E0"/>
    <w:rsid w:val="00506492"/>
    <w:rsid w:val="00516462"/>
    <w:rsid w:val="00521104"/>
    <w:rsid w:val="005237BA"/>
    <w:rsid w:val="00530471"/>
    <w:rsid w:val="00566A2D"/>
    <w:rsid w:val="00570A59"/>
    <w:rsid w:val="0057688B"/>
    <w:rsid w:val="0058100D"/>
    <w:rsid w:val="00581293"/>
    <w:rsid w:val="0058687D"/>
    <w:rsid w:val="00594F62"/>
    <w:rsid w:val="005967D8"/>
    <w:rsid w:val="005A3E80"/>
    <w:rsid w:val="005B20FA"/>
    <w:rsid w:val="005B6176"/>
    <w:rsid w:val="005C5F97"/>
    <w:rsid w:val="005D5692"/>
    <w:rsid w:val="005D7F83"/>
    <w:rsid w:val="005E25A8"/>
    <w:rsid w:val="005F600B"/>
    <w:rsid w:val="005F74C5"/>
    <w:rsid w:val="00600491"/>
    <w:rsid w:val="00613245"/>
    <w:rsid w:val="00620A29"/>
    <w:rsid w:val="00643705"/>
    <w:rsid w:val="00646EE2"/>
    <w:rsid w:val="006605EA"/>
    <w:rsid w:val="006676AC"/>
    <w:rsid w:val="006867F1"/>
    <w:rsid w:val="00687B06"/>
    <w:rsid w:val="006913BC"/>
    <w:rsid w:val="0069238B"/>
    <w:rsid w:val="006B2809"/>
    <w:rsid w:val="006B7567"/>
    <w:rsid w:val="006C1A5A"/>
    <w:rsid w:val="006D06D0"/>
    <w:rsid w:val="006D2F69"/>
    <w:rsid w:val="006E3952"/>
    <w:rsid w:val="006F3379"/>
    <w:rsid w:val="007001AA"/>
    <w:rsid w:val="0071191F"/>
    <w:rsid w:val="00715910"/>
    <w:rsid w:val="00723470"/>
    <w:rsid w:val="007249B3"/>
    <w:rsid w:val="0073338E"/>
    <w:rsid w:val="00736EB9"/>
    <w:rsid w:val="0075111C"/>
    <w:rsid w:val="00757A57"/>
    <w:rsid w:val="007752D8"/>
    <w:rsid w:val="00782130"/>
    <w:rsid w:val="00784B83"/>
    <w:rsid w:val="007964B8"/>
    <w:rsid w:val="00796E86"/>
    <w:rsid w:val="007B59AE"/>
    <w:rsid w:val="007C1660"/>
    <w:rsid w:val="007C5364"/>
    <w:rsid w:val="007D74F0"/>
    <w:rsid w:val="007E427D"/>
    <w:rsid w:val="007E4BAB"/>
    <w:rsid w:val="007E65BA"/>
    <w:rsid w:val="007E7A87"/>
    <w:rsid w:val="007F526D"/>
    <w:rsid w:val="00822779"/>
    <w:rsid w:val="0083032F"/>
    <w:rsid w:val="008425F3"/>
    <w:rsid w:val="00843088"/>
    <w:rsid w:val="00860BDC"/>
    <w:rsid w:val="00866342"/>
    <w:rsid w:val="00870F5C"/>
    <w:rsid w:val="00871E94"/>
    <w:rsid w:val="008720FF"/>
    <w:rsid w:val="00882BBF"/>
    <w:rsid w:val="00882DA5"/>
    <w:rsid w:val="00890759"/>
    <w:rsid w:val="00893222"/>
    <w:rsid w:val="0089687A"/>
    <w:rsid w:val="008A2BB5"/>
    <w:rsid w:val="008A2F38"/>
    <w:rsid w:val="008A45A4"/>
    <w:rsid w:val="008B022C"/>
    <w:rsid w:val="008B1A38"/>
    <w:rsid w:val="008B4132"/>
    <w:rsid w:val="008B6DD3"/>
    <w:rsid w:val="008C4D43"/>
    <w:rsid w:val="008C55F6"/>
    <w:rsid w:val="008C7832"/>
    <w:rsid w:val="008D088F"/>
    <w:rsid w:val="008D0D04"/>
    <w:rsid w:val="008D2617"/>
    <w:rsid w:val="008E44BB"/>
    <w:rsid w:val="008E657C"/>
    <w:rsid w:val="008F63E6"/>
    <w:rsid w:val="009028A0"/>
    <w:rsid w:val="00925DCE"/>
    <w:rsid w:val="00942501"/>
    <w:rsid w:val="00946B67"/>
    <w:rsid w:val="0095444F"/>
    <w:rsid w:val="00960A40"/>
    <w:rsid w:val="009765F5"/>
    <w:rsid w:val="009775AB"/>
    <w:rsid w:val="00981CDF"/>
    <w:rsid w:val="0099348E"/>
    <w:rsid w:val="009A435C"/>
    <w:rsid w:val="009A5124"/>
    <w:rsid w:val="009A60DD"/>
    <w:rsid w:val="009B54EC"/>
    <w:rsid w:val="009C0EA6"/>
    <w:rsid w:val="009C2B61"/>
    <w:rsid w:val="009D159D"/>
    <w:rsid w:val="009D16BD"/>
    <w:rsid w:val="009D771E"/>
    <w:rsid w:val="009E759F"/>
    <w:rsid w:val="009F2E57"/>
    <w:rsid w:val="009F5BD2"/>
    <w:rsid w:val="00A16792"/>
    <w:rsid w:val="00A1687D"/>
    <w:rsid w:val="00A32C13"/>
    <w:rsid w:val="00A35900"/>
    <w:rsid w:val="00A42C1C"/>
    <w:rsid w:val="00A566C8"/>
    <w:rsid w:val="00A6696A"/>
    <w:rsid w:val="00A67A7B"/>
    <w:rsid w:val="00A746C3"/>
    <w:rsid w:val="00A7591F"/>
    <w:rsid w:val="00A91CA7"/>
    <w:rsid w:val="00AA0535"/>
    <w:rsid w:val="00AA5497"/>
    <w:rsid w:val="00AA73A4"/>
    <w:rsid w:val="00AB32F2"/>
    <w:rsid w:val="00AB5733"/>
    <w:rsid w:val="00AB68B7"/>
    <w:rsid w:val="00AD4CFF"/>
    <w:rsid w:val="00AE043F"/>
    <w:rsid w:val="00AE276E"/>
    <w:rsid w:val="00AE4A3A"/>
    <w:rsid w:val="00AF0686"/>
    <w:rsid w:val="00AF2482"/>
    <w:rsid w:val="00AF6F2F"/>
    <w:rsid w:val="00B0215B"/>
    <w:rsid w:val="00B31D7A"/>
    <w:rsid w:val="00B3662D"/>
    <w:rsid w:val="00B407DF"/>
    <w:rsid w:val="00B419D5"/>
    <w:rsid w:val="00B57C54"/>
    <w:rsid w:val="00B61A7B"/>
    <w:rsid w:val="00B62FEA"/>
    <w:rsid w:val="00B746FA"/>
    <w:rsid w:val="00B74B74"/>
    <w:rsid w:val="00B807F1"/>
    <w:rsid w:val="00B86915"/>
    <w:rsid w:val="00B904B2"/>
    <w:rsid w:val="00BA435F"/>
    <w:rsid w:val="00BB6461"/>
    <w:rsid w:val="00BC40A5"/>
    <w:rsid w:val="00BC5102"/>
    <w:rsid w:val="00BC63D2"/>
    <w:rsid w:val="00BC77B9"/>
    <w:rsid w:val="00BD5B90"/>
    <w:rsid w:val="00BF1F05"/>
    <w:rsid w:val="00BF62E6"/>
    <w:rsid w:val="00C07544"/>
    <w:rsid w:val="00C12E34"/>
    <w:rsid w:val="00C17101"/>
    <w:rsid w:val="00C2206A"/>
    <w:rsid w:val="00C33DDD"/>
    <w:rsid w:val="00C4222B"/>
    <w:rsid w:val="00C4334F"/>
    <w:rsid w:val="00C460DC"/>
    <w:rsid w:val="00C5151B"/>
    <w:rsid w:val="00C7786F"/>
    <w:rsid w:val="00C81FA8"/>
    <w:rsid w:val="00C821A5"/>
    <w:rsid w:val="00C8430F"/>
    <w:rsid w:val="00C938CF"/>
    <w:rsid w:val="00C94501"/>
    <w:rsid w:val="00CA4A53"/>
    <w:rsid w:val="00CB39B5"/>
    <w:rsid w:val="00CC2821"/>
    <w:rsid w:val="00CC51AA"/>
    <w:rsid w:val="00CE4386"/>
    <w:rsid w:val="00CF69C2"/>
    <w:rsid w:val="00D22F0E"/>
    <w:rsid w:val="00D41694"/>
    <w:rsid w:val="00D577B2"/>
    <w:rsid w:val="00D82E22"/>
    <w:rsid w:val="00D85618"/>
    <w:rsid w:val="00D90FD4"/>
    <w:rsid w:val="00D929A9"/>
    <w:rsid w:val="00DA17C7"/>
    <w:rsid w:val="00DB02B1"/>
    <w:rsid w:val="00DC1A65"/>
    <w:rsid w:val="00E00201"/>
    <w:rsid w:val="00E03314"/>
    <w:rsid w:val="00E106B2"/>
    <w:rsid w:val="00E16E00"/>
    <w:rsid w:val="00E206F5"/>
    <w:rsid w:val="00E32DA8"/>
    <w:rsid w:val="00E36E26"/>
    <w:rsid w:val="00E47D47"/>
    <w:rsid w:val="00E52809"/>
    <w:rsid w:val="00E52BBC"/>
    <w:rsid w:val="00E57C8E"/>
    <w:rsid w:val="00E62207"/>
    <w:rsid w:val="00E62FE0"/>
    <w:rsid w:val="00E65191"/>
    <w:rsid w:val="00E923A5"/>
    <w:rsid w:val="00EA29C4"/>
    <w:rsid w:val="00EC041A"/>
    <w:rsid w:val="00EC382E"/>
    <w:rsid w:val="00EC3AA4"/>
    <w:rsid w:val="00EC42F2"/>
    <w:rsid w:val="00ED6C01"/>
    <w:rsid w:val="00EE48B1"/>
    <w:rsid w:val="00EE6861"/>
    <w:rsid w:val="00EE7B2A"/>
    <w:rsid w:val="00EF39E6"/>
    <w:rsid w:val="00EF56AA"/>
    <w:rsid w:val="00F06AE6"/>
    <w:rsid w:val="00F220AE"/>
    <w:rsid w:val="00F51A58"/>
    <w:rsid w:val="00F5547F"/>
    <w:rsid w:val="00F67A99"/>
    <w:rsid w:val="00F71251"/>
    <w:rsid w:val="00F72CBB"/>
    <w:rsid w:val="00F918A8"/>
    <w:rsid w:val="00FB61DB"/>
    <w:rsid w:val="00FC3CBE"/>
    <w:rsid w:val="00FC4B6E"/>
    <w:rsid w:val="00FC73AB"/>
    <w:rsid w:val="00FD6364"/>
    <w:rsid w:val="00FE62F2"/>
    <w:rsid w:val="00FE67CE"/>
    <w:rsid w:val="00FE7066"/>
    <w:rsid w:val="00FE74B8"/>
    <w:rsid w:val="00FF67F9"/>
    <w:rsid w:val="00FF7F08"/>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6E1A76"/>
  <w15:chartTrackingRefBased/>
  <w15:docId w15:val="{6375725C-CF29-4FCB-8B43-E71898B60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1CA7"/>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
    <w:qFormat/>
    <w:rsid w:val="00A91CA7"/>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A91CA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91CA7"/>
    <w:pPr>
      <w:numPr>
        <w:ilvl w:val="2"/>
      </w:numPr>
      <w:spacing w:before="120"/>
      <w:outlineLvl w:val="2"/>
    </w:pPr>
    <w:rPr>
      <w:sz w:val="28"/>
    </w:rPr>
  </w:style>
  <w:style w:type="paragraph" w:styleId="Heading4">
    <w:name w:val="heading 4"/>
    <w:basedOn w:val="Heading3"/>
    <w:next w:val="Normal"/>
    <w:link w:val="Heading4Char"/>
    <w:qFormat/>
    <w:rsid w:val="00A91CA7"/>
    <w:pPr>
      <w:numPr>
        <w:ilvl w:val="3"/>
      </w:numPr>
      <w:outlineLvl w:val="3"/>
    </w:pPr>
    <w:rPr>
      <w:sz w:val="24"/>
    </w:rPr>
  </w:style>
  <w:style w:type="paragraph" w:styleId="Heading5">
    <w:name w:val="heading 5"/>
    <w:basedOn w:val="Heading4"/>
    <w:next w:val="Normal"/>
    <w:link w:val="Heading5Char"/>
    <w:qFormat/>
    <w:rsid w:val="00A91CA7"/>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91CA7"/>
    <w:rPr>
      <w:rFonts w:ascii="Arial" w:eastAsia="SimSun" w:hAnsi="Arial" w:cs="Times New Roman"/>
      <w:sz w:val="36"/>
      <w:szCs w:val="20"/>
      <w:lang w:val="en-GB"/>
    </w:rPr>
  </w:style>
  <w:style w:type="character" w:customStyle="1" w:styleId="Heading2Char">
    <w:name w:val="Heading 2 Char"/>
    <w:basedOn w:val="DefaultParagraphFont"/>
    <w:link w:val="Heading2"/>
    <w:rsid w:val="00A91CA7"/>
    <w:rPr>
      <w:rFonts w:ascii="Arial" w:eastAsia="SimSun" w:hAnsi="Arial" w:cs="Times New Roman"/>
      <w:sz w:val="32"/>
      <w:szCs w:val="20"/>
      <w:lang w:val="en-GB"/>
    </w:rPr>
  </w:style>
  <w:style w:type="character" w:customStyle="1" w:styleId="Heading3Char">
    <w:name w:val="Heading 3 Char"/>
    <w:basedOn w:val="DefaultParagraphFont"/>
    <w:link w:val="Heading3"/>
    <w:rsid w:val="00A91CA7"/>
    <w:rPr>
      <w:rFonts w:ascii="Arial" w:eastAsia="SimSun" w:hAnsi="Arial" w:cs="Times New Roman"/>
      <w:sz w:val="28"/>
      <w:szCs w:val="20"/>
      <w:lang w:val="en-GB"/>
    </w:rPr>
  </w:style>
  <w:style w:type="character" w:customStyle="1" w:styleId="Heading4Char">
    <w:name w:val="Heading 4 Char"/>
    <w:basedOn w:val="DefaultParagraphFont"/>
    <w:link w:val="Heading4"/>
    <w:rsid w:val="00A91CA7"/>
    <w:rPr>
      <w:rFonts w:ascii="Arial" w:eastAsia="SimSun" w:hAnsi="Arial" w:cs="Times New Roman"/>
      <w:sz w:val="24"/>
      <w:szCs w:val="20"/>
      <w:lang w:val="en-GB"/>
    </w:rPr>
  </w:style>
  <w:style w:type="character" w:customStyle="1" w:styleId="Heading5Char">
    <w:name w:val="Heading 5 Char"/>
    <w:basedOn w:val="DefaultParagraphFont"/>
    <w:link w:val="Heading5"/>
    <w:rsid w:val="00A91CA7"/>
    <w:rPr>
      <w:rFonts w:ascii="Arial" w:eastAsia="SimSun" w:hAnsi="Arial" w:cs="Times New Roman"/>
      <w:szCs w:val="20"/>
      <w:lang w:val="en-GB"/>
    </w:rPr>
  </w:style>
  <w:style w:type="paragraph" w:customStyle="1" w:styleId="table">
    <w:name w:val="table"/>
    <w:basedOn w:val="Normal"/>
    <w:next w:val="Normal"/>
    <w:rsid w:val="00A91CA7"/>
    <w:pPr>
      <w:spacing w:after="0"/>
      <w:jc w:val="center"/>
    </w:pPr>
    <w:rPr>
      <w:lang w:val="en-US" w:eastAsia="zh-CN"/>
    </w:rPr>
  </w:style>
  <w:style w:type="table" w:styleId="TableGrid">
    <w:name w:val="Table Grid"/>
    <w:basedOn w:val="TableNormal"/>
    <w:uiPriority w:val="39"/>
    <w:rsid w:val="00A91CA7"/>
    <w:pPr>
      <w:spacing w:before="120" w:after="0" w:line="280" w:lineRule="atLeast"/>
      <w:jc w:val="both"/>
    </w:pPr>
    <w:rPr>
      <w:rFonts w:ascii="New York" w:eastAsia="SimSun" w:hAnsi="New York"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2">
    <w:name w:val="Char Char2"/>
    <w:rsid w:val="00A91CA7"/>
    <w:rPr>
      <w:rFonts w:ascii="Arial" w:hAnsi="Arial"/>
      <w:sz w:val="32"/>
      <w:lang w:val="en-GB" w:eastAsia="en-US" w:bidi="ar-SA"/>
    </w:rPr>
  </w:style>
  <w:style w:type="paragraph" w:styleId="ListParagraph">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
    <w:basedOn w:val="Normal"/>
    <w:link w:val="ListParagraphChar"/>
    <w:uiPriority w:val="34"/>
    <w:qFormat/>
    <w:rsid w:val="00DB02B1"/>
    <w:pPr>
      <w:overflowPunct/>
      <w:autoSpaceDE/>
      <w:autoSpaceDN/>
      <w:adjustRightInd/>
      <w:spacing w:after="0"/>
      <w:ind w:left="720"/>
      <w:textAlignment w:val="auto"/>
    </w:pPr>
    <w:rPr>
      <w:rFonts w:eastAsia="Calibri"/>
      <w:sz w:val="22"/>
      <w:szCs w:val="22"/>
      <w:lang w:val="en-US"/>
    </w:rPr>
  </w:style>
  <w:style w:type="character" w:customStyle="1" w:styleId="ListParagraphChar">
    <w:name w:val="List Paragraph Char"/>
    <w:aliases w:val="- Bullets Char,?? ?? Char,????? Char,???? Char,Lista1 Char,列出段落1 Char,中等深浅网格 1 - 着色 21 Char,列出段落 Char,列表段落 Char,リスト段落 Char,¥¡¡¡¡ì¬º¥¹¥È¶ÎÂä Char,ÁÐ³ö¶ÎÂä Char,列表段落1 Char,—ño’i—Ž Char,¥ê¥¹¥È¶ÎÂä Char,Lettre d'introduction Char"/>
    <w:link w:val="ListParagraph"/>
    <w:uiPriority w:val="34"/>
    <w:qFormat/>
    <w:locked/>
    <w:rsid w:val="00DB02B1"/>
    <w:rPr>
      <w:rFonts w:ascii="Times New Roman" w:eastAsia="Calibri" w:hAnsi="Times New Roman" w:cs="Times New Roman"/>
      <w:lang w:val="en-US"/>
    </w:rPr>
  </w:style>
  <w:style w:type="paragraph" w:customStyle="1" w:styleId="3GPPText">
    <w:name w:val="3GPP Text"/>
    <w:basedOn w:val="Normal"/>
    <w:link w:val="3GPPTextChar"/>
    <w:qFormat/>
    <w:rsid w:val="00A91CA7"/>
    <w:pPr>
      <w:spacing w:before="120"/>
      <w:jc w:val="both"/>
    </w:pPr>
    <w:rPr>
      <w:sz w:val="22"/>
      <w:lang w:val="en-US"/>
    </w:rPr>
  </w:style>
  <w:style w:type="paragraph" w:customStyle="1" w:styleId="3GPPH1">
    <w:name w:val="3GPP H1"/>
    <w:basedOn w:val="Heading1"/>
    <w:next w:val="3GPPText"/>
    <w:link w:val="3GPPH1Char"/>
    <w:qFormat/>
    <w:rsid w:val="00A91CA7"/>
    <w:pPr>
      <w:tabs>
        <w:tab w:val="clear" w:pos="432"/>
        <w:tab w:val="left" w:pos="425"/>
      </w:tabs>
      <w:ind w:left="425" w:hanging="425"/>
    </w:pPr>
  </w:style>
  <w:style w:type="character" w:customStyle="1" w:styleId="3GPPTextChar">
    <w:name w:val="3GPP Text Char"/>
    <w:link w:val="3GPPText"/>
    <w:rsid w:val="00A91CA7"/>
    <w:rPr>
      <w:rFonts w:ascii="Times New Roman" w:eastAsia="SimSun" w:hAnsi="Times New Roman" w:cs="Times New Roman"/>
      <w:szCs w:val="20"/>
      <w:lang w:val="en-US"/>
    </w:rPr>
  </w:style>
  <w:style w:type="character" w:customStyle="1" w:styleId="3GPPH1Char">
    <w:name w:val="3GPP H1 Char"/>
    <w:link w:val="3GPPH1"/>
    <w:rsid w:val="00A91CA7"/>
    <w:rPr>
      <w:rFonts w:ascii="Arial" w:eastAsia="SimSun" w:hAnsi="Arial" w:cs="Times New Roman"/>
      <w:sz w:val="36"/>
      <w:szCs w:val="20"/>
      <w:lang w:val="en-GB"/>
    </w:rPr>
  </w:style>
  <w:style w:type="character" w:styleId="CommentReference">
    <w:name w:val="annotation reference"/>
    <w:basedOn w:val="DefaultParagraphFont"/>
    <w:uiPriority w:val="99"/>
    <w:semiHidden/>
    <w:unhideWhenUsed/>
    <w:rsid w:val="00E32DA8"/>
    <w:rPr>
      <w:sz w:val="16"/>
      <w:szCs w:val="16"/>
    </w:rPr>
  </w:style>
  <w:style w:type="paragraph" w:styleId="CommentText">
    <w:name w:val="annotation text"/>
    <w:basedOn w:val="Normal"/>
    <w:link w:val="CommentTextChar"/>
    <w:uiPriority w:val="99"/>
    <w:semiHidden/>
    <w:unhideWhenUsed/>
    <w:rsid w:val="00E32DA8"/>
  </w:style>
  <w:style w:type="character" w:customStyle="1" w:styleId="CommentTextChar">
    <w:name w:val="Comment Text Char"/>
    <w:basedOn w:val="DefaultParagraphFont"/>
    <w:link w:val="CommentText"/>
    <w:uiPriority w:val="99"/>
    <w:semiHidden/>
    <w:rsid w:val="00E32DA8"/>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32DA8"/>
    <w:rPr>
      <w:b/>
      <w:bCs/>
    </w:rPr>
  </w:style>
  <w:style w:type="character" w:customStyle="1" w:styleId="CommentSubjectChar">
    <w:name w:val="Comment Subject Char"/>
    <w:basedOn w:val="CommentTextChar"/>
    <w:link w:val="CommentSubject"/>
    <w:uiPriority w:val="99"/>
    <w:semiHidden/>
    <w:rsid w:val="00E32DA8"/>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E32D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2DA8"/>
    <w:rPr>
      <w:rFonts w:ascii="Segoe UI" w:eastAsia="SimSun" w:hAnsi="Segoe UI" w:cs="Segoe UI"/>
      <w:sz w:val="18"/>
      <w:szCs w:val="18"/>
      <w:lang w:val="en-GB"/>
    </w:rPr>
  </w:style>
  <w:style w:type="paragraph" w:styleId="Header">
    <w:name w:val="header"/>
    <w:basedOn w:val="Normal"/>
    <w:link w:val="HeaderChar"/>
    <w:uiPriority w:val="99"/>
    <w:unhideWhenUsed/>
    <w:rsid w:val="00B407DF"/>
    <w:pPr>
      <w:tabs>
        <w:tab w:val="center" w:pos="4513"/>
        <w:tab w:val="right" w:pos="9026"/>
      </w:tabs>
      <w:spacing w:after="0"/>
    </w:pPr>
  </w:style>
  <w:style w:type="character" w:customStyle="1" w:styleId="HeaderChar">
    <w:name w:val="Header Char"/>
    <w:basedOn w:val="DefaultParagraphFont"/>
    <w:link w:val="Header"/>
    <w:uiPriority w:val="99"/>
    <w:rsid w:val="00B407DF"/>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B407DF"/>
    <w:pPr>
      <w:tabs>
        <w:tab w:val="center" w:pos="4513"/>
        <w:tab w:val="right" w:pos="9026"/>
      </w:tabs>
      <w:spacing w:after="0"/>
    </w:pPr>
  </w:style>
  <w:style w:type="character" w:customStyle="1" w:styleId="FooterChar">
    <w:name w:val="Footer Char"/>
    <w:basedOn w:val="DefaultParagraphFont"/>
    <w:link w:val="Footer"/>
    <w:uiPriority w:val="99"/>
    <w:rsid w:val="00B407DF"/>
    <w:rPr>
      <w:rFonts w:ascii="Times New Roman" w:eastAsia="SimSun" w:hAnsi="Times New Roman" w:cs="Times New Roman"/>
      <w:sz w:val="20"/>
      <w:szCs w:val="20"/>
      <w:lang w:val="en-GB"/>
    </w:rPr>
  </w:style>
  <w:style w:type="paragraph" w:customStyle="1" w:styleId="B1">
    <w:name w:val="B1"/>
    <w:basedOn w:val="List"/>
    <w:link w:val="B1Zchn"/>
    <w:qFormat/>
    <w:rsid w:val="0025748C"/>
    <w:pPr>
      <w:overflowPunct/>
      <w:autoSpaceDE/>
      <w:autoSpaceDN/>
      <w:adjustRightInd/>
      <w:spacing w:after="180"/>
      <w:ind w:left="568" w:hanging="284"/>
      <w:contextualSpacing w:val="0"/>
      <w:textAlignment w:val="auto"/>
    </w:pPr>
    <w:rPr>
      <w:rFonts w:eastAsia="Malgun Gothic"/>
    </w:rPr>
  </w:style>
  <w:style w:type="paragraph" w:customStyle="1" w:styleId="B2">
    <w:name w:val="B2"/>
    <w:basedOn w:val="List2"/>
    <w:rsid w:val="0025748C"/>
    <w:pPr>
      <w:overflowPunct/>
      <w:autoSpaceDE/>
      <w:autoSpaceDN/>
      <w:adjustRightInd/>
      <w:spacing w:after="180"/>
      <w:ind w:left="851" w:hanging="284"/>
      <w:contextualSpacing w:val="0"/>
      <w:textAlignment w:val="auto"/>
    </w:pPr>
    <w:rPr>
      <w:rFonts w:eastAsia="Malgun Gothic"/>
    </w:rPr>
  </w:style>
  <w:style w:type="character" w:customStyle="1" w:styleId="B1Zchn">
    <w:name w:val="B1 Zchn"/>
    <w:link w:val="B1"/>
    <w:rsid w:val="0025748C"/>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25748C"/>
    <w:pPr>
      <w:ind w:left="360" w:hanging="360"/>
      <w:contextualSpacing/>
    </w:pPr>
  </w:style>
  <w:style w:type="paragraph" w:styleId="List2">
    <w:name w:val="List 2"/>
    <w:basedOn w:val="Normal"/>
    <w:uiPriority w:val="99"/>
    <w:semiHidden/>
    <w:unhideWhenUsed/>
    <w:rsid w:val="0025748C"/>
    <w:pPr>
      <w:ind w:left="720" w:hanging="360"/>
      <w:contextualSpacing/>
    </w:pPr>
  </w:style>
  <w:style w:type="paragraph" w:customStyle="1" w:styleId="TAH">
    <w:name w:val="TAH"/>
    <w:basedOn w:val="Normal"/>
    <w:rsid w:val="001D1A1A"/>
    <w:pPr>
      <w:keepNext/>
      <w:keepLines/>
      <w:overflowPunct/>
      <w:autoSpaceDE/>
      <w:autoSpaceDN/>
      <w:adjustRightInd/>
      <w:spacing w:after="0"/>
      <w:jc w:val="center"/>
      <w:textAlignment w:val="auto"/>
    </w:pPr>
    <w:rPr>
      <w:rFonts w:ascii="Arial" w:eastAsia="Malgun Gothic" w:hAnsi="Arial"/>
      <w:b/>
      <w:sz w:val="18"/>
    </w:rPr>
  </w:style>
  <w:style w:type="paragraph" w:customStyle="1" w:styleId="B3">
    <w:name w:val="B3"/>
    <w:basedOn w:val="List3"/>
    <w:rsid w:val="001D1A1A"/>
    <w:pPr>
      <w:overflowPunct/>
      <w:autoSpaceDE/>
      <w:autoSpaceDN/>
      <w:adjustRightInd/>
      <w:spacing w:after="180"/>
      <w:ind w:left="1135" w:hanging="284"/>
      <w:contextualSpacing w:val="0"/>
      <w:textAlignment w:val="auto"/>
    </w:pPr>
    <w:rPr>
      <w:rFonts w:eastAsia="Malgun Gothic"/>
    </w:rPr>
  </w:style>
  <w:style w:type="paragraph" w:styleId="List3">
    <w:name w:val="List 3"/>
    <w:basedOn w:val="Normal"/>
    <w:uiPriority w:val="99"/>
    <w:semiHidden/>
    <w:unhideWhenUsed/>
    <w:rsid w:val="001D1A1A"/>
    <w:pPr>
      <w:ind w:left="1080" w:hanging="360"/>
      <w:contextualSpacing/>
    </w:pPr>
  </w:style>
  <w:style w:type="paragraph" w:styleId="NormalWeb">
    <w:name w:val="Normal (Web)"/>
    <w:basedOn w:val="Normal"/>
    <w:uiPriority w:val="99"/>
    <w:semiHidden/>
    <w:unhideWhenUsed/>
    <w:rsid w:val="00493355"/>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character" w:styleId="FollowedHyperlink">
    <w:name w:val="FollowedHyperlink"/>
    <w:rsid w:val="00C4222B"/>
    <w:rPr>
      <w:color w:val="0000FF"/>
      <w:u w:val="single"/>
    </w:rPr>
  </w:style>
  <w:style w:type="paragraph" w:customStyle="1" w:styleId="LGTdoc">
    <w:name w:val="LGTdoc_본문"/>
    <w:basedOn w:val="Normal"/>
    <w:link w:val="LGTdocChar"/>
    <w:qFormat/>
    <w:rsid w:val="00C4222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C4222B"/>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668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019F0-FAF9-42E2-8EA2-6B7BD7F74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1060</Words>
  <Characters>6684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Thomas/LGTCE(robin1.thomas@lgepartner.com)</dc:creator>
  <cp:keywords/>
  <dc:description/>
  <cp:lastModifiedBy>LG-Robin</cp:lastModifiedBy>
  <cp:revision>33</cp:revision>
  <dcterms:created xsi:type="dcterms:W3CDTF">2019-10-03T12:25:00Z</dcterms:created>
  <dcterms:modified xsi:type="dcterms:W3CDTF">2019-11-07T11:16:00Z</dcterms:modified>
</cp:coreProperties>
</file>