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6FF3" w14:textId="16D0F7F0" w:rsidR="00633273" w:rsidRPr="00D36AD3" w:rsidRDefault="00633273" w:rsidP="00633273">
      <w:pPr>
        <w:tabs>
          <w:tab w:val="right" w:pos="9630"/>
        </w:tabs>
        <w:spacing w:after="0"/>
        <w:jc w:val="both"/>
        <w:rPr>
          <w:color w:val="000000"/>
          <w:lang w:val="en-US"/>
        </w:rPr>
      </w:pPr>
      <w:bookmarkStart w:id="0" w:name="_Hlk525903026"/>
      <w:bookmarkStart w:id="1" w:name="_Hlk506565237"/>
      <w:r w:rsidRPr="00C974EB">
        <w:rPr>
          <w:rFonts w:ascii="Arial" w:hAnsi="Arial" w:cs="Arial"/>
          <w:b/>
          <w:color w:val="000000"/>
          <w:sz w:val="24"/>
        </w:rPr>
        <w:t>3GPP TSG RAN WG</w:t>
      </w:r>
      <w:r>
        <w:rPr>
          <w:rFonts w:ascii="Arial" w:hAnsi="Arial" w:cs="Arial"/>
          <w:b/>
          <w:color w:val="000000"/>
          <w:sz w:val="24"/>
        </w:rPr>
        <w:t>2</w:t>
      </w:r>
      <w:r w:rsidRPr="00C974EB">
        <w:rPr>
          <w:rFonts w:ascii="Arial" w:hAnsi="Arial" w:cs="Arial"/>
          <w:b/>
          <w:color w:val="000000"/>
          <w:sz w:val="24"/>
        </w:rPr>
        <w:t xml:space="preserve"> #</w:t>
      </w:r>
      <w:r>
        <w:rPr>
          <w:rFonts w:ascii="Arial" w:hAnsi="Arial" w:cs="Arial"/>
          <w:b/>
          <w:color w:val="000000"/>
          <w:sz w:val="24"/>
        </w:rPr>
        <w:t>10</w:t>
      </w:r>
      <w:r w:rsidR="00F24500">
        <w:rPr>
          <w:rFonts w:ascii="Arial" w:hAnsi="Arial" w:cs="Arial"/>
          <w:b/>
          <w:color w:val="000000"/>
          <w:sz w:val="24"/>
        </w:rPr>
        <w:t>7</w:t>
      </w:r>
      <w:r>
        <w:rPr>
          <w:rFonts w:ascii="Arial" w:hAnsi="Arial" w:cs="Arial"/>
          <w:b/>
          <w:color w:val="000000"/>
          <w:sz w:val="24"/>
        </w:rPr>
        <w:tab/>
      </w:r>
      <w:r w:rsidR="00DC350C">
        <w:rPr>
          <w:rFonts w:ascii="Arial" w:hAnsi="Arial" w:cs="Arial"/>
          <w:b/>
          <w:bCs/>
          <w:color w:val="808080"/>
          <w:sz w:val="26"/>
          <w:szCs w:val="26"/>
        </w:rPr>
        <w:t>R2-1910887</w:t>
      </w:r>
    </w:p>
    <w:p w14:paraId="5C74783F" w14:textId="655BA266" w:rsidR="00633273" w:rsidRDefault="00F24500" w:rsidP="00633273">
      <w:pPr>
        <w:jc w:val="both"/>
        <w:rPr>
          <w:rFonts w:ascii="Arial" w:hAnsi="Arial" w:cs="Arial"/>
          <w:b/>
          <w:sz w:val="24"/>
          <w:szCs w:val="24"/>
        </w:rPr>
      </w:pPr>
      <w:r>
        <w:rPr>
          <w:rFonts w:ascii="Arial" w:hAnsi="Arial" w:cs="Arial"/>
          <w:b/>
          <w:sz w:val="24"/>
          <w:szCs w:val="24"/>
        </w:rPr>
        <w:t>Prague</w:t>
      </w:r>
      <w:r w:rsidR="00647685" w:rsidRPr="00D36AD3">
        <w:rPr>
          <w:rFonts w:ascii="Arial" w:hAnsi="Arial" w:cs="Arial"/>
          <w:b/>
          <w:sz w:val="24"/>
          <w:szCs w:val="24"/>
        </w:rPr>
        <w:t xml:space="preserve">, </w:t>
      </w:r>
      <w:r>
        <w:rPr>
          <w:rFonts w:ascii="Arial" w:hAnsi="Arial" w:cs="Arial"/>
          <w:b/>
          <w:sz w:val="24"/>
          <w:szCs w:val="24"/>
        </w:rPr>
        <w:t>Czechia</w:t>
      </w:r>
      <w:r w:rsidR="00647685" w:rsidRPr="00D36AD3">
        <w:rPr>
          <w:rFonts w:ascii="Arial" w:hAnsi="Arial" w:cs="Arial"/>
          <w:b/>
          <w:sz w:val="24"/>
          <w:szCs w:val="24"/>
        </w:rPr>
        <w:t xml:space="preserve">, </w:t>
      </w:r>
      <w:r>
        <w:rPr>
          <w:rFonts w:ascii="Arial" w:hAnsi="Arial" w:cs="Arial"/>
          <w:b/>
          <w:sz w:val="24"/>
          <w:szCs w:val="24"/>
        </w:rPr>
        <w:t>August 26-30</w:t>
      </w:r>
      <w:r w:rsidR="00647685" w:rsidRPr="00D36AD3">
        <w:rPr>
          <w:rFonts w:ascii="Arial" w:hAnsi="Arial" w:cs="Arial"/>
          <w:b/>
          <w:sz w:val="24"/>
          <w:szCs w:val="24"/>
        </w:rPr>
        <w:t>, 2019</w:t>
      </w:r>
      <w:r w:rsidR="000F30E1" w:rsidRPr="00D36AD3">
        <w:rPr>
          <w:rFonts w:ascii="Arial" w:hAnsi="Arial" w:cs="Arial"/>
          <w:b/>
          <w:sz w:val="24"/>
          <w:szCs w:val="24"/>
        </w:rPr>
        <w:tab/>
      </w:r>
      <w:r w:rsidR="000F30E1" w:rsidRPr="00D36AD3">
        <w:rPr>
          <w:rFonts w:ascii="Arial" w:hAnsi="Arial" w:cs="Arial"/>
          <w:b/>
          <w:sz w:val="24"/>
          <w:szCs w:val="24"/>
        </w:rPr>
        <w:tab/>
      </w:r>
      <w:r w:rsidR="000F30E1" w:rsidRPr="00D36AD3">
        <w:rPr>
          <w:rFonts w:ascii="Arial" w:hAnsi="Arial" w:cs="Arial"/>
          <w:b/>
          <w:sz w:val="24"/>
          <w:szCs w:val="24"/>
        </w:rPr>
        <w:tab/>
      </w:r>
      <w:r w:rsidR="000F30E1" w:rsidRPr="00D36AD3">
        <w:rPr>
          <w:rFonts w:ascii="Arial" w:hAnsi="Arial" w:cs="Arial"/>
          <w:b/>
          <w:sz w:val="24"/>
          <w:szCs w:val="24"/>
        </w:rPr>
        <w:tab/>
      </w:r>
      <w:r w:rsidR="000F30E1" w:rsidRPr="00D36AD3">
        <w:rPr>
          <w:rFonts w:ascii="Arial" w:hAnsi="Arial" w:cs="Arial"/>
          <w:b/>
          <w:sz w:val="24"/>
          <w:szCs w:val="24"/>
        </w:rPr>
        <w:tab/>
      </w:r>
    </w:p>
    <w:bookmarkEnd w:id="0"/>
    <w:p w14:paraId="7B35E0D9" w14:textId="77777777" w:rsidR="00633273" w:rsidRDefault="00633273" w:rsidP="00633273">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5CFFEE79" w14:textId="3B980802" w:rsidR="00633273" w:rsidRDefault="00633273" w:rsidP="00633273">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Pr>
          <w:rFonts w:ascii="Arial" w:hAnsi="Arial"/>
          <w:color w:val="000000"/>
          <w:sz w:val="24"/>
        </w:rPr>
        <w:tab/>
        <w:t>11.4.</w:t>
      </w:r>
      <w:r w:rsidR="00F24500">
        <w:rPr>
          <w:rFonts w:ascii="Arial" w:hAnsi="Arial"/>
          <w:color w:val="000000"/>
          <w:sz w:val="24"/>
        </w:rPr>
        <w:t>2</w:t>
      </w:r>
    </w:p>
    <w:p w14:paraId="616C8BB8" w14:textId="77777777" w:rsidR="00633273" w:rsidRDefault="00633273" w:rsidP="00633273">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C390409" w14:textId="203AF25A" w:rsidR="00633273" w:rsidRPr="00ED7BF7" w:rsidRDefault="00633273" w:rsidP="00633273">
      <w:pPr>
        <w:ind w:left="1988" w:hanging="1988"/>
        <w:jc w:val="both"/>
        <w:rPr>
          <w:rFonts w:ascii="Arial" w:hAnsi="Arial"/>
          <w:sz w:val="28"/>
          <w:szCs w:val="24"/>
        </w:rPr>
      </w:pPr>
      <w:r>
        <w:rPr>
          <w:rFonts w:ascii="Arial" w:hAnsi="Arial"/>
          <w:b/>
          <w:sz w:val="24"/>
        </w:rPr>
        <w:t>Title:</w:t>
      </w:r>
      <w:r>
        <w:rPr>
          <w:rFonts w:ascii="Arial" w:hAnsi="Arial"/>
          <w:sz w:val="24"/>
        </w:rPr>
        <w:t xml:space="preserve"> </w:t>
      </w:r>
      <w:r>
        <w:rPr>
          <w:rFonts w:ascii="Arial" w:hAnsi="Arial"/>
          <w:sz w:val="22"/>
        </w:rPr>
        <w:tab/>
      </w:r>
      <w:r w:rsidR="00364C6F">
        <w:rPr>
          <w:rFonts w:ascii="Arial" w:hAnsi="Arial"/>
          <w:sz w:val="22"/>
        </w:rPr>
        <w:t xml:space="preserve">Discussion on SLRB configuration </w:t>
      </w:r>
      <w:r w:rsidR="002655B2">
        <w:rPr>
          <w:rFonts w:ascii="Arial" w:hAnsi="Arial"/>
          <w:sz w:val="22"/>
        </w:rPr>
        <w:t xml:space="preserve">for UEs in </w:t>
      </w:r>
      <w:r w:rsidR="00364C6F">
        <w:rPr>
          <w:rFonts w:ascii="Arial" w:hAnsi="Arial"/>
          <w:sz w:val="22"/>
        </w:rPr>
        <w:t>IDLE/</w:t>
      </w:r>
      <w:r w:rsidR="002655B2">
        <w:rPr>
          <w:rFonts w:ascii="Arial" w:hAnsi="Arial"/>
          <w:sz w:val="22"/>
        </w:rPr>
        <w:t>I</w:t>
      </w:r>
      <w:r w:rsidR="00364C6F">
        <w:rPr>
          <w:rFonts w:ascii="Arial" w:hAnsi="Arial"/>
          <w:sz w:val="22"/>
        </w:rPr>
        <w:t>NACTIVE</w:t>
      </w:r>
      <w:r w:rsidR="002655B2">
        <w:rPr>
          <w:rFonts w:ascii="Arial" w:hAnsi="Arial"/>
          <w:sz w:val="22"/>
        </w:rPr>
        <w:t xml:space="preserve"> state</w:t>
      </w:r>
    </w:p>
    <w:p w14:paraId="525CA037" w14:textId="77777777" w:rsidR="00633273" w:rsidRDefault="00633273" w:rsidP="00633273">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467B3ABE" w14:textId="77777777" w:rsidR="00633273" w:rsidRPr="00677958" w:rsidRDefault="00633273" w:rsidP="00633273">
      <w:pPr>
        <w:pStyle w:val="Heading1"/>
        <w:numPr>
          <w:ilvl w:val="0"/>
          <w:numId w:val="1"/>
        </w:numPr>
        <w:jc w:val="both"/>
        <w:rPr>
          <w:rFonts w:cs="Arial"/>
          <w:lang w:eastAsia="zh-CN"/>
        </w:rPr>
      </w:pPr>
      <w:r>
        <w:rPr>
          <w:rFonts w:cs="Arial"/>
          <w:lang w:eastAsia="zh-CN"/>
        </w:rPr>
        <w:t>Introduction</w:t>
      </w:r>
    </w:p>
    <w:p w14:paraId="79943716" w14:textId="4E708AF6" w:rsidR="00605868" w:rsidRDefault="003917DF" w:rsidP="00633273">
      <w:pPr>
        <w:jc w:val="both"/>
        <w:rPr>
          <w:rFonts w:ascii="Arial" w:hAnsi="Arial" w:cs="Arial"/>
        </w:rPr>
      </w:pPr>
      <w:r>
        <w:rPr>
          <w:rFonts w:ascii="Arial" w:hAnsi="Arial" w:cs="Arial"/>
        </w:rPr>
        <w:t xml:space="preserve">Regarding the </w:t>
      </w:r>
      <w:r w:rsidR="00605868">
        <w:rPr>
          <w:rFonts w:ascii="Arial" w:hAnsi="Arial" w:cs="Arial"/>
        </w:rPr>
        <w:t>cross-RAT sidelink configuration and scheduling, RAN2 has made the following agreements in RAN2#10</w:t>
      </w:r>
      <w:r w:rsidR="000965D0">
        <w:rPr>
          <w:rFonts w:ascii="Arial" w:hAnsi="Arial" w:cs="Arial"/>
        </w:rPr>
        <w:t>6</w:t>
      </w:r>
      <w:r w:rsidR="00E03CE6">
        <w:rPr>
          <w:rFonts w:ascii="Arial" w:hAnsi="Arial" w:cs="Arial"/>
        </w:rPr>
        <w:t xml:space="preserve"> [1]</w:t>
      </w:r>
      <w:r w:rsidR="00605868">
        <w:rPr>
          <w:rFonts w:ascii="Arial" w:hAnsi="Arial" w:cs="Arial"/>
        </w:rPr>
        <w:t>,</w:t>
      </w:r>
    </w:p>
    <w:tbl>
      <w:tblPr>
        <w:tblStyle w:val="TableGrid"/>
        <w:tblW w:w="0" w:type="auto"/>
        <w:tblLook w:val="04A0" w:firstRow="1" w:lastRow="0" w:firstColumn="1" w:lastColumn="0" w:noHBand="0" w:noVBand="1"/>
      </w:tblPr>
      <w:tblGrid>
        <w:gridCol w:w="9350"/>
      </w:tblGrid>
      <w:tr w:rsidR="000965D0" w14:paraId="2D9F155B" w14:textId="77777777" w:rsidTr="000965D0">
        <w:tc>
          <w:tcPr>
            <w:tcW w:w="9350" w:type="dxa"/>
          </w:tcPr>
          <w:p w14:paraId="4F688BB4" w14:textId="0A22FA95" w:rsidR="000965D0" w:rsidRDefault="000965D0" w:rsidP="00633273">
            <w:pPr>
              <w:jc w:val="both"/>
              <w:rPr>
                <w:rFonts w:ascii="Arial" w:hAnsi="Arial" w:cs="Arial"/>
              </w:rPr>
            </w:pPr>
            <w:r w:rsidRPr="005F1AFD">
              <w:t>Agreements</w:t>
            </w:r>
            <w:r>
              <w:t xml:space="preserve"> on </w:t>
            </w:r>
            <w:r>
              <w:rPr>
                <w:noProof/>
              </w:rPr>
              <w:t>NR SL QoS and SLRB configurations</w:t>
            </w:r>
          </w:p>
          <w:p w14:paraId="07ED172F" w14:textId="44E185DB" w:rsidR="000965D0" w:rsidRPr="000965D0" w:rsidRDefault="000965D0" w:rsidP="000965D0">
            <w:pPr>
              <w:pStyle w:val="ListParagraph"/>
              <w:numPr>
                <w:ilvl w:val="0"/>
                <w:numId w:val="25"/>
              </w:numPr>
              <w:jc w:val="both"/>
              <w:rPr>
                <w:rFonts w:ascii="Arial" w:hAnsi="Arial" w:cs="Arial"/>
              </w:rPr>
            </w:pPr>
            <w:r>
              <w:rPr>
                <w:noProof/>
              </w:rPr>
              <w:t>For RRC_IDLE/INACTIVE UEs, the gNB/ng-eNB may provide SLRB configurations and configure the PC5 QoS profile to SLRB mapping via V2X-specific SIB. When an RRC_IDLE/INACTIVE UE initiates the transmission of a new PC5 QoS flow, it establishes the SLRB associated with the PC5 QoS profile of that flow based on SIB configuration.</w:t>
            </w:r>
          </w:p>
        </w:tc>
      </w:tr>
    </w:tbl>
    <w:p w14:paraId="660EAF26" w14:textId="77777777" w:rsidR="00605868" w:rsidRDefault="00605868" w:rsidP="00633273">
      <w:pPr>
        <w:jc w:val="both"/>
        <w:rPr>
          <w:rFonts w:ascii="Arial" w:hAnsi="Arial" w:cs="Arial"/>
        </w:rPr>
      </w:pPr>
    </w:p>
    <w:p w14:paraId="5DC2AE27" w14:textId="7E152374" w:rsidR="007A4CDC" w:rsidRDefault="003917DF" w:rsidP="00633273">
      <w:pPr>
        <w:jc w:val="both"/>
        <w:rPr>
          <w:rFonts w:ascii="Arial" w:hAnsi="Arial" w:cs="Arial"/>
        </w:rPr>
      </w:pPr>
      <w:r>
        <w:rPr>
          <w:rFonts w:ascii="Arial" w:hAnsi="Arial" w:cs="Arial"/>
        </w:rPr>
        <w:t xml:space="preserve">In this paper, we discuss </w:t>
      </w:r>
      <w:r w:rsidR="00605868">
        <w:rPr>
          <w:rFonts w:ascii="Arial" w:hAnsi="Arial" w:cs="Arial"/>
        </w:rPr>
        <w:t xml:space="preserve">the </w:t>
      </w:r>
      <w:r w:rsidR="002655B2">
        <w:rPr>
          <w:rFonts w:ascii="Arial" w:hAnsi="Arial" w:cs="Arial"/>
        </w:rPr>
        <w:t>issue with using SIB configurations for the RRC_IDLE/RRC_INACTIVE UE</w:t>
      </w:r>
      <w:r w:rsidR="0000075E">
        <w:rPr>
          <w:rFonts w:ascii="Arial" w:hAnsi="Arial" w:cs="Arial"/>
        </w:rPr>
        <w:t>.</w:t>
      </w:r>
    </w:p>
    <w:p w14:paraId="4DC86511" w14:textId="5A70638E" w:rsidR="00633273" w:rsidRDefault="0001257B" w:rsidP="00633273">
      <w:pPr>
        <w:pStyle w:val="Heading1"/>
        <w:numPr>
          <w:ilvl w:val="0"/>
          <w:numId w:val="1"/>
        </w:numPr>
        <w:jc w:val="both"/>
        <w:rPr>
          <w:rFonts w:cs="Arial"/>
          <w:lang w:eastAsia="zh-CN"/>
        </w:rPr>
      </w:pPr>
      <w:r>
        <w:rPr>
          <w:rFonts w:cs="Arial"/>
          <w:lang w:eastAsia="zh-CN"/>
        </w:rPr>
        <w:t>Discussion</w:t>
      </w:r>
    </w:p>
    <w:p w14:paraId="7691EA9E" w14:textId="1175E454" w:rsidR="002655B2" w:rsidRDefault="001061C5" w:rsidP="00D37186">
      <w:pPr>
        <w:rPr>
          <w:rFonts w:ascii="Arial" w:hAnsi="Arial" w:cs="Arial"/>
          <w:lang w:eastAsia="x-none"/>
        </w:rPr>
      </w:pPr>
      <w:r>
        <w:rPr>
          <w:rFonts w:ascii="Arial" w:hAnsi="Arial" w:cs="Arial"/>
          <w:lang w:eastAsia="x-none"/>
        </w:rPr>
        <w:t xml:space="preserve">SLRB configurations are used by NR sidelink UEs to determine which parameters to be used for establishing SLRB for varying QoS parameters. </w:t>
      </w:r>
      <w:r w:rsidR="002655B2">
        <w:rPr>
          <w:rFonts w:ascii="Arial" w:hAnsi="Arial" w:cs="Arial"/>
          <w:lang w:eastAsia="x-none"/>
        </w:rPr>
        <w:t xml:space="preserve">Although RAN2 has reached the agreement to make SLRB configuration part of SIB, we think this is not a good technical approach and </w:t>
      </w:r>
      <w:r>
        <w:rPr>
          <w:rFonts w:ascii="Arial" w:hAnsi="Arial" w:cs="Arial"/>
          <w:lang w:eastAsia="x-none"/>
        </w:rPr>
        <w:t>may</w:t>
      </w:r>
      <w:r w:rsidR="002655B2">
        <w:rPr>
          <w:rFonts w:ascii="Arial" w:hAnsi="Arial" w:cs="Arial"/>
          <w:lang w:eastAsia="x-none"/>
        </w:rPr>
        <w:t xml:space="preserve"> need to </w:t>
      </w:r>
      <w:r>
        <w:rPr>
          <w:rFonts w:ascii="Arial" w:hAnsi="Arial" w:cs="Arial"/>
          <w:lang w:eastAsia="x-none"/>
        </w:rPr>
        <w:t xml:space="preserve">be </w:t>
      </w:r>
      <w:r w:rsidR="002655B2">
        <w:rPr>
          <w:rFonts w:ascii="Arial" w:hAnsi="Arial" w:cs="Arial"/>
          <w:lang w:eastAsia="x-none"/>
        </w:rPr>
        <w:t>re-consider</w:t>
      </w:r>
      <w:r>
        <w:rPr>
          <w:rFonts w:ascii="Arial" w:hAnsi="Arial" w:cs="Arial"/>
          <w:lang w:eastAsia="x-none"/>
        </w:rPr>
        <w:t>ed</w:t>
      </w:r>
      <w:r w:rsidR="00A01A35">
        <w:rPr>
          <w:rFonts w:ascii="Arial" w:hAnsi="Arial" w:cs="Arial"/>
          <w:lang w:eastAsia="x-none"/>
        </w:rPr>
        <w:t>.</w:t>
      </w:r>
    </w:p>
    <w:p w14:paraId="5E5259DB" w14:textId="14C41B74" w:rsidR="002655B2" w:rsidRPr="0001300B" w:rsidRDefault="00F43F81" w:rsidP="00D37186">
      <w:pPr>
        <w:rPr>
          <w:rFonts w:ascii="Arial" w:hAnsi="Arial" w:cs="Arial"/>
          <w:lang w:val="en-US" w:eastAsia="zh-CN"/>
        </w:rPr>
      </w:pPr>
      <w:r>
        <w:rPr>
          <w:rFonts w:ascii="Arial" w:hAnsi="Arial" w:cs="Arial"/>
          <w:lang w:eastAsia="x-none"/>
        </w:rPr>
        <w:t xml:space="preserve">First, when </w:t>
      </w:r>
      <w:r w:rsidR="00715CED">
        <w:rPr>
          <w:rFonts w:ascii="Arial" w:hAnsi="Arial" w:cs="Arial"/>
          <w:lang w:eastAsia="x-none"/>
        </w:rPr>
        <w:t xml:space="preserve">a </w:t>
      </w:r>
      <w:r>
        <w:rPr>
          <w:rFonts w:ascii="Arial" w:hAnsi="Arial" w:cs="Arial"/>
          <w:lang w:eastAsia="x-none"/>
        </w:rPr>
        <w:t xml:space="preserve">UE is in RRC_IDLE or RRC_INACTIVE, the </w:t>
      </w:r>
      <w:r w:rsidR="00A01A35">
        <w:rPr>
          <w:rFonts w:ascii="Arial" w:hAnsi="Arial" w:cs="Arial"/>
          <w:lang w:eastAsia="x-none"/>
        </w:rPr>
        <w:t xml:space="preserve">SLRB configuration is not UE specific, the SIB-based configuration does not take UE’s own status or measurements into account, but it is a cell-specific configuration. We acknowledge that this SIB-based SLRB </w:t>
      </w:r>
      <w:r w:rsidR="001061C5">
        <w:rPr>
          <w:rFonts w:ascii="Arial" w:hAnsi="Arial" w:cs="Arial"/>
          <w:lang w:eastAsia="x-none"/>
        </w:rPr>
        <w:t>configuration</w:t>
      </w:r>
      <w:r w:rsidR="00A01A35">
        <w:rPr>
          <w:rFonts w:ascii="Arial" w:hAnsi="Arial" w:cs="Arial"/>
          <w:lang w:eastAsia="x-none"/>
        </w:rPr>
        <w:t xml:space="preserve"> is inherited from the design that common resource pools are configured in SIB for IDLE UEs in LTE-V2X and earlier releases. However, radio resource may vary in different cells, and resource pool need to take this into account</w:t>
      </w:r>
      <w:r w:rsidR="00C22473">
        <w:rPr>
          <w:rFonts w:ascii="Arial" w:hAnsi="Arial" w:cs="Arial"/>
          <w:lang w:eastAsia="x-none"/>
        </w:rPr>
        <w:t>,</w:t>
      </w:r>
      <w:r w:rsidR="00A01A35">
        <w:rPr>
          <w:rFonts w:ascii="Arial" w:hAnsi="Arial" w:cs="Arial"/>
          <w:lang w:eastAsia="x-none"/>
        </w:rPr>
        <w:t xml:space="preserve"> and </w:t>
      </w:r>
      <w:r w:rsidR="00C22473">
        <w:rPr>
          <w:rFonts w:ascii="Arial" w:hAnsi="Arial" w:cs="Arial"/>
          <w:lang w:eastAsia="x-none"/>
        </w:rPr>
        <w:t xml:space="preserve">thus </w:t>
      </w:r>
      <w:r w:rsidR="00A01A35">
        <w:rPr>
          <w:rFonts w:ascii="Arial" w:hAnsi="Arial" w:cs="Arial"/>
          <w:lang w:eastAsia="x-none"/>
        </w:rPr>
        <w:t xml:space="preserve">some flexibility for different configurations is justified. But the SLRB configurations are generic rules for QoS support, which would be identical everywhere. </w:t>
      </w:r>
    </w:p>
    <w:p w14:paraId="64D478EF" w14:textId="542965F2" w:rsidR="002655B2" w:rsidRPr="00166D56" w:rsidRDefault="002655B2" w:rsidP="00D37186">
      <w:pPr>
        <w:rPr>
          <w:rFonts w:ascii="Arial" w:hAnsi="Arial" w:cs="Arial"/>
          <w:b/>
          <w:lang w:eastAsia="x-none"/>
        </w:rPr>
      </w:pPr>
      <w:r w:rsidRPr="00166D56">
        <w:rPr>
          <w:rFonts w:ascii="Arial" w:hAnsi="Arial" w:cs="Arial"/>
          <w:b/>
          <w:lang w:eastAsia="x-none"/>
        </w:rPr>
        <w:t>Observation 1</w:t>
      </w:r>
      <w:r w:rsidRPr="00166D56">
        <w:rPr>
          <w:rFonts w:ascii="Arial" w:hAnsi="Arial" w:cs="Arial"/>
          <w:b/>
          <w:lang w:eastAsia="x-none"/>
        </w:rPr>
        <w:tab/>
        <w:t>SLRB configuration</w:t>
      </w:r>
      <w:r w:rsidR="00A01A35">
        <w:rPr>
          <w:rFonts w:ascii="Arial" w:hAnsi="Arial" w:cs="Arial"/>
          <w:b/>
          <w:lang w:eastAsia="x-none"/>
        </w:rPr>
        <w:t xml:space="preserve"> in SIB represents the generic rules to support QoS requirements, which do not vary in different cells.</w:t>
      </w:r>
    </w:p>
    <w:p w14:paraId="49232FC2" w14:textId="63C1C131" w:rsidR="002655B2" w:rsidRDefault="002655B2" w:rsidP="00D37186">
      <w:pPr>
        <w:rPr>
          <w:rFonts w:ascii="Arial" w:hAnsi="Arial" w:cs="Arial"/>
          <w:lang w:eastAsia="x-none"/>
        </w:rPr>
      </w:pPr>
      <w:r>
        <w:rPr>
          <w:rFonts w:ascii="Arial" w:hAnsi="Arial" w:cs="Arial"/>
          <w:lang w:eastAsia="x-none"/>
        </w:rPr>
        <w:t>There is a limit of SIB size</w:t>
      </w:r>
      <w:r w:rsidR="00C22473">
        <w:rPr>
          <w:rFonts w:ascii="Arial" w:hAnsi="Arial" w:cs="Arial"/>
          <w:lang w:eastAsia="x-none"/>
        </w:rPr>
        <w:t>,</w:t>
      </w:r>
      <w:r w:rsidR="001061C5">
        <w:rPr>
          <w:rFonts w:ascii="Arial" w:hAnsi="Arial" w:cs="Arial"/>
          <w:lang w:eastAsia="x-none"/>
        </w:rPr>
        <w:t xml:space="preserve"> and that </w:t>
      </w:r>
      <w:r w:rsidR="00C22473">
        <w:rPr>
          <w:rFonts w:ascii="Arial" w:hAnsi="Arial" w:cs="Arial"/>
          <w:lang w:eastAsia="x-none"/>
        </w:rPr>
        <w:t xml:space="preserve">limit </w:t>
      </w:r>
      <w:r w:rsidR="001061C5">
        <w:rPr>
          <w:rFonts w:ascii="Arial" w:hAnsi="Arial" w:cs="Arial"/>
          <w:lang w:eastAsia="x-none"/>
        </w:rPr>
        <w:t>has triggered some design optimization of SIB 21 in LTE-V2X release 14</w:t>
      </w:r>
      <w:r w:rsidR="008B68D9">
        <w:rPr>
          <w:rFonts w:ascii="Arial" w:hAnsi="Arial" w:cs="Arial"/>
          <w:lang w:eastAsia="x-none"/>
        </w:rPr>
        <w:t> </w:t>
      </w:r>
      <w:r w:rsidR="001061C5">
        <w:rPr>
          <w:rFonts w:ascii="Arial" w:hAnsi="Arial" w:cs="Arial"/>
          <w:lang w:eastAsia="x-none"/>
        </w:rPr>
        <w:t>[2].</w:t>
      </w:r>
      <w:r>
        <w:rPr>
          <w:rFonts w:ascii="Arial" w:hAnsi="Arial" w:cs="Arial"/>
          <w:lang w:eastAsia="x-none"/>
        </w:rPr>
        <w:t xml:space="preserve"> </w:t>
      </w:r>
      <w:r w:rsidR="001061C5">
        <w:rPr>
          <w:rFonts w:ascii="Arial" w:hAnsi="Arial" w:cs="Arial"/>
          <w:lang w:eastAsia="x-none"/>
        </w:rPr>
        <w:t xml:space="preserve">In NR V2X, the SLRB configurations now </w:t>
      </w:r>
      <w:r w:rsidR="000F5B82">
        <w:rPr>
          <w:rFonts w:ascii="Arial" w:hAnsi="Arial" w:cs="Arial"/>
          <w:lang w:eastAsia="x-none"/>
        </w:rPr>
        <w:t xml:space="preserve">have </w:t>
      </w:r>
      <w:r w:rsidR="001061C5">
        <w:rPr>
          <w:rFonts w:ascii="Arial" w:hAnsi="Arial" w:cs="Arial"/>
          <w:lang w:eastAsia="x-none"/>
        </w:rPr>
        <w:t xml:space="preserve">to support not only </w:t>
      </w:r>
      <w:r w:rsidR="00DC350C">
        <w:rPr>
          <w:rFonts w:ascii="Arial" w:hAnsi="Arial" w:cs="Arial"/>
          <w:lang w:eastAsia="x-none"/>
        </w:rPr>
        <w:t>broadcast but</w:t>
      </w:r>
      <w:bookmarkStart w:id="3" w:name="_GoBack"/>
      <w:bookmarkEnd w:id="3"/>
      <w:r w:rsidR="001061C5">
        <w:rPr>
          <w:rFonts w:ascii="Arial" w:hAnsi="Arial" w:cs="Arial"/>
          <w:lang w:eastAsia="x-none"/>
        </w:rPr>
        <w:t xml:space="preserve"> unicast and groupcast as well. The QoS requirements for varying applications/services has a very large range (See </w:t>
      </w:r>
      <w:r w:rsidR="008B68D9" w:rsidRPr="008B68D9">
        <w:rPr>
          <w:rFonts w:ascii="Arial" w:hAnsi="Arial" w:cs="Arial"/>
          <w:lang w:eastAsia="x-none"/>
        </w:rPr>
        <w:t>Table 5.4.4-1</w:t>
      </w:r>
      <w:r w:rsidR="008B68D9">
        <w:rPr>
          <w:rFonts w:ascii="Arial" w:hAnsi="Arial" w:cs="Arial"/>
          <w:lang w:eastAsia="x-none"/>
        </w:rPr>
        <w:t xml:space="preserve"> </w:t>
      </w:r>
      <w:r w:rsidR="001061C5">
        <w:rPr>
          <w:rFonts w:ascii="Arial" w:hAnsi="Arial" w:cs="Arial"/>
          <w:lang w:eastAsia="x-none"/>
        </w:rPr>
        <w:t>in 3GPP TS 23.287</w:t>
      </w:r>
      <w:r w:rsidR="008B68D9">
        <w:rPr>
          <w:rFonts w:ascii="Arial" w:hAnsi="Arial" w:cs="Arial"/>
          <w:lang w:eastAsia="x-none"/>
        </w:rPr>
        <w:t> </w:t>
      </w:r>
      <w:r w:rsidR="001061C5">
        <w:rPr>
          <w:rFonts w:ascii="Arial" w:hAnsi="Arial" w:cs="Arial"/>
          <w:lang w:eastAsia="x-none"/>
        </w:rPr>
        <w:t xml:space="preserve">[3]). </w:t>
      </w:r>
      <w:r w:rsidR="008B68D9">
        <w:rPr>
          <w:rFonts w:ascii="Arial" w:hAnsi="Arial" w:cs="Arial"/>
          <w:lang w:eastAsia="x-none"/>
        </w:rPr>
        <w:t>Hence</w:t>
      </w:r>
      <w:r w:rsidR="001061C5">
        <w:rPr>
          <w:rFonts w:ascii="Arial" w:hAnsi="Arial" w:cs="Arial"/>
          <w:lang w:eastAsia="x-none"/>
        </w:rPr>
        <w:t xml:space="preserve">, it is very likely that the SLRB </w:t>
      </w:r>
      <w:r w:rsidR="008B68D9">
        <w:rPr>
          <w:rFonts w:ascii="Arial" w:hAnsi="Arial" w:cs="Arial"/>
          <w:lang w:eastAsia="x-none"/>
        </w:rPr>
        <w:t>configurations</w:t>
      </w:r>
      <w:r w:rsidR="001061C5">
        <w:rPr>
          <w:rFonts w:ascii="Arial" w:hAnsi="Arial" w:cs="Arial"/>
          <w:lang w:eastAsia="x-none"/>
        </w:rPr>
        <w:t xml:space="preserve"> will use a sizable p</w:t>
      </w:r>
      <w:r w:rsidR="008B68D9">
        <w:rPr>
          <w:rFonts w:ascii="Arial" w:hAnsi="Arial" w:cs="Arial"/>
          <w:lang w:eastAsia="x-none"/>
        </w:rPr>
        <w:t>ortion</w:t>
      </w:r>
      <w:r w:rsidR="001061C5">
        <w:rPr>
          <w:rFonts w:ascii="Arial" w:hAnsi="Arial" w:cs="Arial"/>
          <w:lang w:eastAsia="x-none"/>
        </w:rPr>
        <w:t xml:space="preserve"> of the SIB and make SIB for </w:t>
      </w:r>
      <w:r w:rsidR="000F5B82">
        <w:rPr>
          <w:rFonts w:ascii="Arial" w:hAnsi="Arial" w:cs="Arial"/>
          <w:lang w:eastAsia="x-none"/>
        </w:rPr>
        <w:t xml:space="preserve">NR </w:t>
      </w:r>
      <w:r w:rsidR="001061C5">
        <w:rPr>
          <w:rFonts w:ascii="Arial" w:hAnsi="Arial" w:cs="Arial"/>
          <w:lang w:eastAsia="x-none"/>
        </w:rPr>
        <w:t xml:space="preserve">V2X exceed the SIB size </w:t>
      </w:r>
      <w:r w:rsidR="008B68D9">
        <w:rPr>
          <w:rFonts w:ascii="Arial" w:hAnsi="Arial" w:cs="Arial"/>
          <w:lang w:eastAsia="x-none"/>
        </w:rPr>
        <w:t>limit.</w:t>
      </w:r>
      <w:r w:rsidR="001061C5">
        <w:rPr>
          <w:rFonts w:ascii="Arial" w:hAnsi="Arial" w:cs="Arial"/>
          <w:lang w:eastAsia="x-none"/>
        </w:rPr>
        <w:t xml:space="preserve"> </w:t>
      </w:r>
      <w:r w:rsidR="008B68D9">
        <w:rPr>
          <w:rFonts w:ascii="Arial" w:hAnsi="Arial" w:cs="Arial"/>
          <w:lang w:eastAsia="x-none"/>
        </w:rPr>
        <w:t xml:space="preserve">To avoid </w:t>
      </w:r>
      <w:r w:rsidR="000F5B82">
        <w:rPr>
          <w:rFonts w:ascii="Arial" w:hAnsi="Arial" w:cs="Arial"/>
          <w:lang w:eastAsia="x-none"/>
        </w:rPr>
        <w:t>this</w:t>
      </w:r>
      <w:r w:rsidR="008B68D9">
        <w:rPr>
          <w:rFonts w:ascii="Arial" w:hAnsi="Arial" w:cs="Arial"/>
          <w:lang w:eastAsia="x-none"/>
        </w:rPr>
        <w:t>,</w:t>
      </w:r>
      <w:r w:rsidR="001061C5">
        <w:rPr>
          <w:rFonts w:ascii="Arial" w:hAnsi="Arial" w:cs="Arial"/>
          <w:lang w:eastAsia="x-none"/>
        </w:rPr>
        <w:t xml:space="preserve"> the SLRB configured in SIB may need to combine multiple different QoS profiles (corresponding to different QoS flows) into one common SLRB configuration to save space. On the other hand, there is no size limit of pre-configuration, which means the </w:t>
      </w:r>
      <w:r w:rsidR="008B68D9" w:rsidRPr="008B68D9">
        <w:rPr>
          <w:rFonts w:ascii="Arial" w:hAnsi="Arial" w:cs="Arial"/>
          <w:lang w:eastAsia="x-none"/>
        </w:rPr>
        <w:t>SLRB configuration will have much less granularity comparing to pre</w:t>
      </w:r>
      <w:r w:rsidR="000F5B82">
        <w:rPr>
          <w:rFonts w:ascii="Arial" w:hAnsi="Arial" w:cs="Arial"/>
          <w:lang w:eastAsia="x-none"/>
        </w:rPr>
        <w:t>-</w:t>
      </w:r>
      <w:r w:rsidR="008B68D9" w:rsidRPr="008B68D9">
        <w:rPr>
          <w:rFonts w:ascii="Arial" w:hAnsi="Arial" w:cs="Arial"/>
          <w:lang w:eastAsia="x-none"/>
        </w:rPr>
        <w:t>configuration</w:t>
      </w:r>
      <w:r w:rsidR="008B68D9">
        <w:rPr>
          <w:rFonts w:ascii="Arial" w:hAnsi="Arial" w:cs="Arial"/>
          <w:lang w:eastAsia="x-none"/>
        </w:rPr>
        <w:t>, if SIB size limit is not exceeded.</w:t>
      </w:r>
    </w:p>
    <w:p w14:paraId="6231F4DB" w14:textId="3F4634AD" w:rsidR="002655B2" w:rsidRPr="00166D56" w:rsidRDefault="002655B2" w:rsidP="00D37186">
      <w:pPr>
        <w:rPr>
          <w:rFonts w:ascii="Arial" w:hAnsi="Arial" w:cs="Arial"/>
          <w:b/>
          <w:lang w:eastAsia="x-none"/>
        </w:rPr>
      </w:pPr>
      <w:r w:rsidRPr="00166D56">
        <w:rPr>
          <w:rFonts w:ascii="Arial" w:hAnsi="Arial" w:cs="Arial"/>
          <w:b/>
          <w:lang w:eastAsia="x-none"/>
        </w:rPr>
        <w:lastRenderedPageBreak/>
        <w:t>Observation 2</w:t>
      </w:r>
      <w:r w:rsidRPr="00166D56">
        <w:rPr>
          <w:rFonts w:ascii="Arial" w:hAnsi="Arial" w:cs="Arial"/>
          <w:b/>
          <w:lang w:eastAsia="x-none"/>
        </w:rPr>
        <w:tab/>
      </w:r>
      <w:r w:rsidR="000F5B82">
        <w:rPr>
          <w:rFonts w:ascii="Arial" w:hAnsi="Arial" w:cs="Arial"/>
          <w:b/>
          <w:lang w:eastAsia="x-none"/>
        </w:rPr>
        <w:t>Including</w:t>
      </w:r>
      <w:r w:rsidR="000F5B82" w:rsidRPr="00166D56">
        <w:rPr>
          <w:rFonts w:ascii="Arial" w:hAnsi="Arial" w:cs="Arial"/>
          <w:b/>
          <w:lang w:eastAsia="x-none"/>
        </w:rPr>
        <w:t xml:space="preserve"> </w:t>
      </w:r>
      <w:r w:rsidRPr="00166D56">
        <w:rPr>
          <w:rFonts w:ascii="Arial" w:hAnsi="Arial" w:cs="Arial"/>
          <w:b/>
          <w:lang w:eastAsia="x-none"/>
        </w:rPr>
        <w:t xml:space="preserve">SLRB configuration in SIB may </w:t>
      </w:r>
      <w:r w:rsidR="000F5B82">
        <w:rPr>
          <w:rFonts w:ascii="Arial" w:hAnsi="Arial" w:cs="Arial"/>
          <w:b/>
          <w:lang w:eastAsia="x-none"/>
        </w:rPr>
        <w:t>cause</w:t>
      </w:r>
      <w:r w:rsidR="000F5B82" w:rsidRPr="00166D56">
        <w:rPr>
          <w:rFonts w:ascii="Arial" w:hAnsi="Arial" w:cs="Arial"/>
          <w:b/>
          <w:lang w:eastAsia="x-none"/>
        </w:rPr>
        <w:t xml:space="preserve"> </w:t>
      </w:r>
      <w:r w:rsidRPr="00166D56">
        <w:rPr>
          <w:rFonts w:ascii="Arial" w:hAnsi="Arial" w:cs="Arial"/>
          <w:b/>
          <w:lang w:eastAsia="x-none"/>
        </w:rPr>
        <w:t xml:space="preserve">the SIB for NR V2X </w:t>
      </w:r>
      <w:r w:rsidR="000F5B82">
        <w:rPr>
          <w:rFonts w:ascii="Arial" w:hAnsi="Arial" w:cs="Arial"/>
          <w:b/>
          <w:lang w:eastAsia="x-none"/>
        </w:rPr>
        <w:t xml:space="preserve">to </w:t>
      </w:r>
      <w:r w:rsidRPr="00166D56">
        <w:rPr>
          <w:rFonts w:ascii="Arial" w:hAnsi="Arial" w:cs="Arial"/>
          <w:b/>
          <w:lang w:eastAsia="x-none"/>
        </w:rPr>
        <w:t>exceed</w:t>
      </w:r>
      <w:r w:rsidR="000F5B82">
        <w:rPr>
          <w:rFonts w:ascii="Arial" w:hAnsi="Arial" w:cs="Arial"/>
          <w:b/>
          <w:lang w:eastAsia="x-none"/>
        </w:rPr>
        <w:t xml:space="preserve"> the</w:t>
      </w:r>
      <w:r w:rsidRPr="00166D56">
        <w:rPr>
          <w:rFonts w:ascii="Arial" w:hAnsi="Arial" w:cs="Arial"/>
          <w:b/>
          <w:lang w:eastAsia="x-none"/>
        </w:rPr>
        <w:t xml:space="preserve"> size limit</w:t>
      </w:r>
      <w:r w:rsidR="00A01A35">
        <w:rPr>
          <w:rFonts w:ascii="Arial" w:hAnsi="Arial" w:cs="Arial"/>
          <w:b/>
          <w:lang w:eastAsia="x-none"/>
        </w:rPr>
        <w:t>. Otherwise, SLRB configuration will have much less granularity compar</w:t>
      </w:r>
      <w:r w:rsidR="005C135C">
        <w:rPr>
          <w:rFonts w:ascii="Arial" w:hAnsi="Arial" w:cs="Arial"/>
          <w:b/>
          <w:lang w:eastAsia="x-none"/>
        </w:rPr>
        <w:t>ed</w:t>
      </w:r>
      <w:r w:rsidR="00A01A35">
        <w:rPr>
          <w:rFonts w:ascii="Arial" w:hAnsi="Arial" w:cs="Arial"/>
          <w:b/>
          <w:lang w:eastAsia="x-none"/>
        </w:rPr>
        <w:t xml:space="preserve"> to pre</w:t>
      </w:r>
      <w:r w:rsidR="000F5B82">
        <w:rPr>
          <w:rFonts w:ascii="Arial" w:hAnsi="Arial" w:cs="Arial"/>
          <w:b/>
          <w:lang w:eastAsia="x-none"/>
        </w:rPr>
        <w:t>-</w:t>
      </w:r>
      <w:r w:rsidR="00A01A35">
        <w:rPr>
          <w:rFonts w:ascii="Arial" w:hAnsi="Arial" w:cs="Arial"/>
          <w:b/>
          <w:lang w:eastAsia="x-none"/>
        </w:rPr>
        <w:t>configuration.</w:t>
      </w:r>
    </w:p>
    <w:p w14:paraId="0AA92E12" w14:textId="1885FF8E" w:rsidR="00D37186" w:rsidRDefault="002655B2" w:rsidP="00D37186">
      <w:pPr>
        <w:rPr>
          <w:rFonts w:ascii="Arial" w:hAnsi="Arial" w:cs="Arial"/>
          <w:lang w:eastAsia="x-none"/>
        </w:rPr>
      </w:pPr>
      <w:r>
        <w:rPr>
          <w:rFonts w:ascii="Arial" w:hAnsi="Arial" w:cs="Arial"/>
          <w:lang w:eastAsia="x-none"/>
        </w:rPr>
        <w:t xml:space="preserve">Based on the above observations, we </w:t>
      </w:r>
      <w:r w:rsidR="00A01A35">
        <w:rPr>
          <w:rFonts w:ascii="Arial" w:hAnsi="Arial" w:cs="Arial"/>
          <w:lang w:eastAsia="x-none"/>
        </w:rPr>
        <w:t>think it is better to only use pre</w:t>
      </w:r>
      <w:r w:rsidR="000F5B82">
        <w:rPr>
          <w:rFonts w:ascii="Arial" w:hAnsi="Arial" w:cs="Arial"/>
          <w:lang w:eastAsia="x-none"/>
        </w:rPr>
        <w:t>-</w:t>
      </w:r>
      <w:r w:rsidR="00A01A35">
        <w:rPr>
          <w:rFonts w:ascii="Arial" w:hAnsi="Arial" w:cs="Arial"/>
          <w:lang w:eastAsia="x-none"/>
        </w:rPr>
        <w:t xml:space="preserve">configuration for IDLE/INACTIVE UEs.  </w:t>
      </w:r>
      <w:r w:rsidR="00807344">
        <w:rPr>
          <w:rFonts w:ascii="Arial" w:hAnsi="Arial" w:cs="Arial"/>
          <w:lang w:eastAsia="x-none"/>
        </w:rPr>
        <w:t xml:space="preserve">This </w:t>
      </w:r>
      <w:r w:rsidR="00A01A35">
        <w:rPr>
          <w:rFonts w:ascii="Arial" w:hAnsi="Arial" w:cs="Arial"/>
          <w:lang w:eastAsia="x-none"/>
        </w:rPr>
        <w:t>is similar to the TX-</w:t>
      </w:r>
      <w:r w:rsidR="001061C5">
        <w:rPr>
          <w:rFonts w:ascii="Arial" w:hAnsi="Arial" w:cs="Arial"/>
          <w:lang w:eastAsia="x-none"/>
        </w:rPr>
        <w:t>P</w:t>
      </w:r>
      <w:r w:rsidR="00A01A35">
        <w:rPr>
          <w:rFonts w:ascii="Arial" w:hAnsi="Arial" w:cs="Arial"/>
          <w:lang w:eastAsia="x-none"/>
        </w:rPr>
        <w:t>rofile</w:t>
      </w:r>
      <w:r w:rsidR="001061C5">
        <w:rPr>
          <w:rFonts w:ascii="Arial" w:hAnsi="Arial" w:cs="Arial"/>
          <w:lang w:eastAsia="x-none"/>
        </w:rPr>
        <w:t xml:space="preserve">-based TX format </w:t>
      </w:r>
      <w:r w:rsidR="00A01A35">
        <w:rPr>
          <w:rFonts w:ascii="Arial" w:hAnsi="Arial" w:cs="Arial"/>
          <w:lang w:eastAsia="x-none"/>
        </w:rPr>
        <w:t>configuration</w:t>
      </w:r>
      <w:r w:rsidR="001061C5">
        <w:rPr>
          <w:rFonts w:ascii="Arial" w:hAnsi="Arial" w:cs="Arial"/>
          <w:lang w:eastAsia="x-none"/>
        </w:rPr>
        <w:t xml:space="preserve">. </w:t>
      </w:r>
    </w:p>
    <w:p w14:paraId="096D2B82" w14:textId="63A99762" w:rsidR="00D37186" w:rsidRPr="00024F10" w:rsidRDefault="00D37186" w:rsidP="00D37186">
      <w:pPr>
        <w:rPr>
          <w:rFonts w:ascii="Arial" w:hAnsi="Arial" w:cs="Arial"/>
          <w:b/>
          <w:lang w:eastAsia="x-none"/>
        </w:rPr>
      </w:pPr>
      <w:r w:rsidRPr="00024F10">
        <w:rPr>
          <w:rFonts w:ascii="Arial" w:hAnsi="Arial" w:cs="Arial"/>
          <w:b/>
          <w:lang w:eastAsia="x-none"/>
        </w:rPr>
        <w:t xml:space="preserve">Proposal </w:t>
      </w:r>
      <w:r>
        <w:rPr>
          <w:rFonts w:ascii="Arial" w:hAnsi="Arial" w:cs="Arial"/>
          <w:b/>
          <w:lang w:eastAsia="x-none"/>
        </w:rPr>
        <w:t>1</w:t>
      </w:r>
      <w:r>
        <w:rPr>
          <w:rFonts w:ascii="Arial" w:hAnsi="Arial" w:cs="Arial"/>
          <w:b/>
          <w:lang w:eastAsia="x-none"/>
        </w:rPr>
        <w:tab/>
      </w:r>
      <w:r w:rsidR="002655B2">
        <w:rPr>
          <w:rFonts w:ascii="Arial" w:hAnsi="Arial" w:cs="Arial"/>
          <w:b/>
          <w:lang w:eastAsia="x-none"/>
        </w:rPr>
        <w:t>Only Use Pre</w:t>
      </w:r>
      <w:r w:rsidR="00936C1B">
        <w:rPr>
          <w:rFonts w:ascii="Arial" w:hAnsi="Arial" w:cs="Arial"/>
          <w:b/>
          <w:lang w:eastAsia="x-none"/>
        </w:rPr>
        <w:t>-</w:t>
      </w:r>
      <w:r w:rsidR="002655B2">
        <w:rPr>
          <w:rFonts w:ascii="Arial" w:hAnsi="Arial" w:cs="Arial"/>
          <w:b/>
          <w:lang w:eastAsia="x-none"/>
        </w:rPr>
        <w:t>conf</w:t>
      </w:r>
      <w:r w:rsidR="00421051">
        <w:rPr>
          <w:rFonts w:ascii="Arial" w:hAnsi="Arial" w:cs="Arial"/>
          <w:b/>
          <w:lang w:eastAsia="x-none"/>
        </w:rPr>
        <w:t>i</w:t>
      </w:r>
      <w:r w:rsidR="002655B2">
        <w:rPr>
          <w:rFonts w:ascii="Arial" w:hAnsi="Arial" w:cs="Arial"/>
          <w:b/>
          <w:lang w:eastAsia="x-none"/>
        </w:rPr>
        <w:t>guration of SLRB</w:t>
      </w:r>
      <w:r w:rsidR="001061C5">
        <w:rPr>
          <w:rFonts w:ascii="Arial" w:hAnsi="Arial" w:cs="Arial"/>
          <w:b/>
          <w:lang w:eastAsia="x-none"/>
        </w:rPr>
        <w:t xml:space="preserve"> configurations</w:t>
      </w:r>
      <w:r w:rsidR="002655B2">
        <w:rPr>
          <w:rFonts w:ascii="Arial" w:hAnsi="Arial" w:cs="Arial"/>
          <w:b/>
          <w:lang w:eastAsia="x-none"/>
        </w:rPr>
        <w:t xml:space="preserve"> for RRC_IDLE or RRC_INACTIVE UEs.</w:t>
      </w:r>
    </w:p>
    <w:p w14:paraId="487705C3" w14:textId="7C217658" w:rsidR="00E21951" w:rsidRPr="00E03CE6" w:rsidRDefault="00E21951" w:rsidP="00E21951">
      <w:pPr>
        <w:rPr>
          <w:rFonts w:ascii="Arial" w:eastAsia="MS Mincho" w:hAnsi="Arial"/>
          <w:b/>
          <w:noProof/>
          <w:szCs w:val="24"/>
          <w:lang w:eastAsia="en-GB"/>
        </w:rPr>
      </w:pPr>
    </w:p>
    <w:p w14:paraId="0D8AC064" w14:textId="32CCE686" w:rsidR="0001257B" w:rsidRPr="00024F10" w:rsidRDefault="0001257B" w:rsidP="0001257B">
      <w:pPr>
        <w:pStyle w:val="Heading1"/>
        <w:numPr>
          <w:ilvl w:val="0"/>
          <w:numId w:val="1"/>
        </w:numPr>
        <w:jc w:val="both"/>
        <w:rPr>
          <w:rFonts w:cs="Arial"/>
          <w:lang w:eastAsia="zh-CN"/>
        </w:rPr>
      </w:pPr>
      <w:r>
        <w:rPr>
          <w:rFonts w:cs="Arial"/>
          <w:lang w:eastAsia="zh-CN"/>
        </w:rPr>
        <w:t>Conclusion</w:t>
      </w:r>
    </w:p>
    <w:p w14:paraId="1BDA2315" w14:textId="50F62098" w:rsidR="00633273" w:rsidRDefault="00633273" w:rsidP="00633273">
      <w:pPr>
        <w:jc w:val="both"/>
        <w:rPr>
          <w:rFonts w:ascii="Arial" w:hAnsi="Arial" w:cs="Arial"/>
        </w:rPr>
      </w:pPr>
      <w:r w:rsidRPr="00024F10">
        <w:rPr>
          <w:rFonts w:ascii="Arial" w:hAnsi="Arial" w:cs="Arial"/>
        </w:rPr>
        <w:t xml:space="preserve">In this contribution, we discuss the </w:t>
      </w:r>
      <w:r w:rsidR="001061C5" w:rsidRPr="001061C5">
        <w:rPr>
          <w:rFonts w:ascii="Arial" w:hAnsi="Arial" w:cs="Arial"/>
        </w:rPr>
        <w:t>SLRB configuration</w:t>
      </w:r>
      <w:r w:rsidR="001061C5">
        <w:rPr>
          <w:rFonts w:ascii="Arial" w:hAnsi="Arial" w:cs="Arial"/>
        </w:rPr>
        <w:t xml:space="preserve"> issues </w:t>
      </w:r>
      <w:r w:rsidR="001061C5" w:rsidRPr="001061C5">
        <w:rPr>
          <w:rFonts w:ascii="Arial" w:hAnsi="Arial" w:cs="Arial"/>
        </w:rPr>
        <w:t>for UEs in IDLE/INACTIVE state</w:t>
      </w:r>
      <w:r w:rsidRPr="00024F10">
        <w:rPr>
          <w:rFonts w:ascii="Arial" w:hAnsi="Arial" w:cs="Arial"/>
        </w:rPr>
        <w:t xml:space="preserve">. The following is proposed: </w:t>
      </w:r>
    </w:p>
    <w:p w14:paraId="20A9DF80" w14:textId="77F98A4C" w:rsidR="0093465F" w:rsidRPr="00421051" w:rsidRDefault="00421051" w:rsidP="0093465F">
      <w:pPr>
        <w:jc w:val="both"/>
        <w:rPr>
          <w:rFonts w:ascii="Arial" w:hAnsi="Arial" w:cs="Arial"/>
        </w:rPr>
      </w:pPr>
      <w:r w:rsidRPr="00421051">
        <w:rPr>
          <w:rFonts w:ascii="Arial" w:hAnsi="Arial" w:cs="Arial"/>
          <w:lang w:eastAsia="x-none"/>
        </w:rPr>
        <w:t>Proposal 1</w:t>
      </w:r>
      <w:r w:rsidRPr="00421051">
        <w:rPr>
          <w:rFonts w:ascii="Arial" w:hAnsi="Arial" w:cs="Arial"/>
          <w:lang w:eastAsia="x-none"/>
        </w:rPr>
        <w:tab/>
        <w:t>Only Use Pre-configuration of SLRB configurations for RRC_IDLE or RRC_INACTIVE UEs.</w:t>
      </w:r>
    </w:p>
    <w:bookmarkEnd w:id="1"/>
    <w:p w14:paraId="23F36081" w14:textId="77777777" w:rsidR="00633273" w:rsidRPr="00024F10" w:rsidRDefault="00633273" w:rsidP="00633273">
      <w:pPr>
        <w:pStyle w:val="Heading1"/>
        <w:numPr>
          <w:ilvl w:val="0"/>
          <w:numId w:val="1"/>
        </w:numPr>
        <w:jc w:val="both"/>
        <w:rPr>
          <w:rFonts w:cs="Arial"/>
        </w:rPr>
      </w:pPr>
      <w:r w:rsidRPr="00024F10">
        <w:rPr>
          <w:rFonts w:cs="Arial"/>
        </w:rPr>
        <w:t>References</w:t>
      </w:r>
    </w:p>
    <w:p w14:paraId="15D19EEE" w14:textId="67A9CBB7" w:rsidR="00B61CE8" w:rsidRDefault="00481719">
      <w:pPr>
        <w:rPr>
          <w:rFonts w:ascii="Arial" w:hAnsi="Arial" w:cs="Arial"/>
        </w:rPr>
      </w:pPr>
      <w:r>
        <w:t xml:space="preserve">[1] </w:t>
      </w:r>
      <w:r w:rsidR="00B61CE8">
        <w:rPr>
          <w:rFonts w:ascii="Arial" w:hAnsi="Arial" w:cs="Arial"/>
        </w:rPr>
        <w:t>Chairman</w:t>
      </w:r>
      <w:r w:rsidR="008763E7">
        <w:rPr>
          <w:rFonts w:ascii="Arial" w:hAnsi="Arial" w:cs="Arial"/>
        </w:rPr>
        <w:t>’</w:t>
      </w:r>
      <w:r w:rsidR="00B61CE8">
        <w:rPr>
          <w:rFonts w:ascii="Arial" w:hAnsi="Arial" w:cs="Arial"/>
        </w:rPr>
        <w:t>s Notes, RAN2#10</w:t>
      </w:r>
      <w:r w:rsidR="008B68D9">
        <w:rPr>
          <w:rFonts w:ascii="Arial" w:hAnsi="Arial" w:cs="Arial"/>
        </w:rPr>
        <w:t>6</w:t>
      </w:r>
    </w:p>
    <w:p w14:paraId="4F243639" w14:textId="3C835847" w:rsidR="00481719" w:rsidRDefault="00481719">
      <w:pPr>
        <w:rPr>
          <w:rFonts w:ascii="Arial" w:hAnsi="Arial" w:cs="Arial"/>
        </w:rPr>
      </w:pPr>
      <w:r>
        <w:rPr>
          <w:rFonts w:ascii="Arial" w:hAnsi="Arial" w:cs="Arial"/>
        </w:rPr>
        <w:t xml:space="preserve">[2] </w:t>
      </w:r>
      <w:r w:rsidR="008B68D9" w:rsidRPr="008B68D9">
        <w:rPr>
          <w:rFonts w:ascii="Arial" w:hAnsi="Arial" w:cs="Arial"/>
        </w:rPr>
        <w:t>R2-1706131</w:t>
      </w:r>
      <w:r w:rsidR="008B68D9" w:rsidRPr="008B68D9">
        <w:rPr>
          <w:rFonts w:ascii="Arial" w:hAnsi="Arial" w:cs="Arial"/>
        </w:rPr>
        <w:tab/>
        <w:t>On message size of SIB21</w:t>
      </w:r>
      <w:r w:rsidR="008B68D9" w:rsidRPr="008B68D9">
        <w:rPr>
          <w:rFonts w:ascii="Arial" w:hAnsi="Arial" w:cs="Arial"/>
        </w:rPr>
        <w:tab/>
        <w:t xml:space="preserve">Qualcomm Incorporated, </w:t>
      </w:r>
      <w:proofErr w:type="spellStart"/>
      <w:r w:rsidR="008B68D9" w:rsidRPr="008B68D9">
        <w:rPr>
          <w:rFonts w:ascii="Arial" w:hAnsi="Arial" w:cs="Arial"/>
        </w:rPr>
        <w:t>Oppo</w:t>
      </w:r>
      <w:proofErr w:type="spellEnd"/>
    </w:p>
    <w:p w14:paraId="0B165B20" w14:textId="370E5F52" w:rsidR="00481719" w:rsidRPr="00B61CE8" w:rsidRDefault="00481719">
      <w:pPr>
        <w:rPr>
          <w:rFonts w:ascii="Arial" w:hAnsi="Arial" w:cs="Arial"/>
        </w:rPr>
      </w:pPr>
      <w:r>
        <w:rPr>
          <w:rFonts w:ascii="Arial" w:hAnsi="Arial" w:cs="Arial"/>
        </w:rPr>
        <w:t xml:space="preserve">[3] </w:t>
      </w:r>
      <w:r w:rsidR="00B72CA0">
        <w:rPr>
          <w:rFonts w:ascii="Arial" w:hAnsi="Arial" w:cs="Arial"/>
        </w:rPr>
        <w:t xml:space="preserve">3GPP </w:t>
      </w:r>
      <w:r w:rsidR="008B68D9">
        <w:rPr>
          <w:rFonts w:ascii="Arial" w:hAnsi="Arial" w:cs="Arial"/>
        </w:rPr>
        <w:t xml:space="preserve">TS </w:t>
      </w:r>
      <w:proofErr w:type="gramStart"/>
      <w:r w:rsidR="008B68D9">
        <w:rPr>
          <w:rFonts w:ascii="Arial" w:hAnsi="Arial" w:cs="Arial"/>
        </w:rPr>
        <w:t>23.287,v</w:t>
      </w:r>
      <w:proofErr w:type="gramEnd"/>
      <w:r w:rsidR="008B68D9">
        <w:rPr>
          <w:rFonts w:ascii="Arial" w:hAnsi="Arial" w:cs="Arial"/>
        </w:rPr>
        <w:t>16.0.0</w:t>
      </w:r>
    </w:p>
    <w:sectPr w:rsidR="00481719" w:rsidRPr="00B61CE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E83CE" w14:textId="77777777" w:rsidR="00CA48FC" w:rsidRDefault="00CA48FC" w:rsidP="00830BE3">
      <w:pPr>
        <w:spacing w:after="0"/>
      </w:pPr>
      <w:r>
        <w:separator/>
      </w:r>
    </w:p>
  </w:endnote>
  <w:endnote w:type="continuationSeparator" w:id="0">
    <w:p w14:paraId="4B0A98D6" w14:textId="77777777" w:rsidR="00CA48FC" w:rsidRDefault="00CA48FC" w:rsidP="00830B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66FCC" w14:textId="77777777" w:rsidR="00CA48FC" w:rsidRDefault="00CA48FC" w:rsidP="00830BE3">
      <w:pPr>
        <w:spacing w:after="0"/>
      </w:pPr>
      <w:r>
        <w:separator/>
      </w:r>
    </w:p>
  </w:footnote>
  <w:footnote w:type="continuationSeparator" w:id="0">
    <w:p w14:paraId="2143C8AD" w14:textId="77777777" w:rsidR="00CA48FC" w:rsidRDefault="00CA48FC" w:rsidP="00830B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3C64"/>
    <w:multiLevelType w:val="hybridMultilevel"/>
    <w:tmpl w:val="F2CADC06"/>
    <w:lvl w:ilvl="0" w:tplc="04090001">
      <w:start w:val="1"/>
      <w:numFmt w:val="bullet"/>
      <w:lvlText w:val=""/>
      <w:lvlJc w:val="left"/>
      <w:pPr>
        <w:ind w:left="800" w:hanging="400"/>
      </w:pPr>
      <w:rPr>
        <w:rFonts w:ascii="Wingdings" w:hAnsi="Wingdings" w:hint="default"/>
      </w:rPr>
    </w:lvl>
    <w:lvl w:ilvl="1" w:tplc="211C7980">
      <w:start w:val="1"/>
      <w:numFmt w:val="bullet"/>
      <w:lvlText w:val=""/>
      <w:lvlJc w:val="left"/>
      <w:pPr>
        <w:ind w:left="1200" w:hanging="400"/>
      </w:pPr>
      <w:rPr>
        <w:rFonts w:ascii="Wingdings" w:hAnsi="Wingdings" w:cs="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4FF624C"/>
    <w:multiLevelType w:val="hybridMultilevel"/>
    <w:tmpl w:val="B26ED092"/>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2F1AAB"/>
    <w:multiLevelType w:val="hybridMultilevel"/>
    <w:tmpl w:val="8506C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E6EE8"/>
    <w:multiLevelType w:val="hybridMultilevel"/>
    <w:tmpl w:val="F3129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663CB5"/>
    <w:multiLevelType w:val="hybridMultilevel"/>
    <w:tmpl w:val="69EC0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AD20E2"/>
    <w:multiLevelType w:val="hybridMultilevel"/>
    <w:tmpl w:val="1F681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0450D1"/>
    <w:multiLevelType w:val="hybridMultilevel"/>
    <w:tmpl w:val="4ED46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3D70643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2240D1"/>
    <w:multiLevelType w:val="hybridMultilevel"/>
    <w:tmpl w:val="AA5E4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E93EF1"/>
    <w:multiLevelType w:val="hybridMultilevel"/>
    <w:tmpl w:val="AB1CD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F34478"/>
    <w:multiLevelType w:val="hybridMultilevel"/>
    <w:tmpl w:val="CF4A0396"/>
    <w:lvl w:ilvl="0" w:tplc="194CF126">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FD70EAA"/>
    <w:multiLevelType w:val="hybridMultilevel"/>
    <w:tmpl w:val="BD865A24"/>
    <w:lvl w:ilvl="0" w:tplc="F65A8B34">
      <w:numFmt w:val="bullet"/>
      <w:lvlText w:val=""/>
      <w:lvlJc w:val="left"/>
      <w:pPr>
        <w:ind w:left="360" w:hanging="360"/>
      </w:pPr>
      <w:rPr>
        <w:rFonts w:ascii="Wingdings" w:eastAsia="MS Mincho"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6303268E"/>
    <w:multiLevelType w:val="hybridMultilevel"/>
    <w:tmpl w:val="09C892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E52C9F"/>
    <w:multiLevelType w:val="hybridMultilevel"/>
    <w:tmpl w:val="16E48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FC0E90"/>
    <w:multiLevelType w:val="hybridMultilevel"/>
    <w:tmpl w:val="C8A26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4F5E68"/>
    <w:multiLevelType w:val="hybridMultilevel"/>
    <w:tmpl w:val="919A3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A2D6BBD"/>
    <w:multiLevelType w:val="hybridMultilevel"/>
    <w:tmpl w:val="0AD6F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15"/>
  </w:num>
  <w:num w:numId="2">
    <w:abstractNumId w:val="11"/>
  </w:num>
  <w:num w:numId="3">
    <w:abstractNumId w:val="22"/>
  </w:num>
  <w:num w:numId="4">
    <w:abstractNumId w:val="1"/>
  </w:num>
  <w:num w:numId="5">
    <w:abstractNumId w:val="0"/>
  </w:num>
  <w:num w:numId="6">
    <w:abstractNumId w:val="2"/>
  </w:num>
  <w:num w:numId="7">
    <w:abstractNumId w:val="6"/>
  </w:num>
  <w:num w:numId="8">
    <w:abstractNumId w:val="8"/>
  </w:num>
  <w:num w:numId="9">
    <w:abstractNumId w:val="12"/>
  </w:num>
  <w:num w:numId="10">
    <w:abstractNumId w:val="14"/>
  </w:num>
  <w:num w:numId="11">
    <w:abstractNumId w:val="16"/>
  </w:num>
  <w:num w:numId="12">
    <w:abstractNumId w:val="8"/>
  </w:num>
  <w:num w:numId="13">
    <w:abstractNumId w:val="8"/>
    <w:lvlOverride w:ilvl="0">
      <w:startOverride w:val="1"/>
    </w:lvlOverride>
  </w:num>
  <w:num w:numId="14">
    <w:abstractNumId w:val="13"/>
  </w:num>
  <w:num w:numId="15">
    <w:abstractNumId w:val="7"/>
  </w:num>
  <w:num w:numId="16">
    <w:abstractNumId w:val="19"/>
  </w:num>
  <w:num w:numId="17">
    <w:abstractNumId w:val="3"/>
  </w:num>
  <w:num w:numId="18">
    <w:abstractNumId w:val="10"/>
  </w:num>
  <w:num w:numId="19">
    <w:abstractNumId w:val="5"/>
  </w:num>
  <w:num w:numId="20">
    <w:abstractNumId w:val="21"/>
  </w:num>
  <w:num w:numId="21">
    <w:abstractNumId w:val="4"/>
  </w:num>
  <w:num w:numId="22">
    <w:abstractNumId w:val="9"/>
  </w:num>
  <w:num w:numId="23">
    <w:abstractNumId w:val="20"/>
  </w:num>
  <w:num w:numId="24">
    <w:abstractNumId w:val="17"/>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273"/>
    <w:rsid w:val="0000075E"/>
    <w:rsid w:val="000024FA"/>
    <w:rsid w:val="0001257B"/>
    <w:rsid w:val="0001300B"/>
    <w:rsid w:val="00013108"/>
    <w:rsid w:val="00042D12"/>
    <w:rsid w:val="00063ACD"/>
    <w:rsid w:val="000965D0"/>
    <w:rsid w:val="000C23E0"/>
    <w:rsid w:val="000C70A5"/>
    <w:rsid w:val="000D07DF"/>
    <w:rsid w:val="000F30E1"/>
    <w:rsid w:val="000F5B82"/>
    <w:rsid w:val="001061C5"/>
    <w:rsid w:val="001407B2"/>
    <w:rsid w:val="00166D56"/>
    <w:rsid w:val="001B6D48"/>
    <w:rsid w:val="001B6F8F"/>
    <w:rsid w:val="001C30F5"/>
    <w:rsid w:val="001F273B"/>
    <w:rsid w:val="001F2B86"/>
    <w:rsid w:val="001F6E70"/>
    <w:rsid w:val="0020198B"/>
    <w:rsid w:val="0022074B"/>
    <w:rsid w:val="00253DC1"/>
    <w:rsid w:val="002655B2"/>
    <w:rsid w:val="0029445F"/>
    <w:rsid w:val="002D0A9B"/>
    <w:rsid w:val="002D0C91"/>
    <w:rsid w:val="002D4A7F"/>
    <w:rsid w:val="002D6530"/>
    <w:rsid w:val="002F3F01"/>
    <w:rsid w:val="00304AE4"/>
    <w:rsid w:val="00353E3A"/>
    <w:rsid w:val="00364C6F"/>
    <w:rsid w:val="00375137"/>
    <w:rsid w:val="00386DB0"/>
    <w:rsid w:val="003917DF"/>
    <w:rsid w:val="003A1820"/>
    <w:rsid w:val="003A41A8"/>
    <w:rsid w:val="003B43DF"/>
    <w:rsid w:val="003D5D84"/>
    <w:rsid w:val="00415580"/>
    <w:rsid w:val="00421051"/>
    <w:rsid w:val="004225A8"/>
    <w:rsid w:val="00440499"/>
    <w:rsid w:val="004407D3"/>
    <w:rsid w:val="00481719"/>
    <w:rsid w:val="00483C83"/>
    <w:rsid w:val="004B0A95"/>
    <w:rsid w:val="004C2B37"/>
    <w:rsid w:val="004D0E9E"/>
    <w:rsid w:val="004D1489"/>
    <w:rsid w:val="004E09CF"/>
    <w:rsid w:val="004F4CA0"/>
    <w:rsid w:val="00537B90"/>
    <w:rsid w:val="00563C5F"/>
    <w:rsid w:val="0059372E"/>
    <w:rsid w:val="005B0403"/>
    <w:rsid w:val="005C135C"/>
    <w:rsid w:val="005C237A"/>
    <w:rsid w:val="005C5AA2"/>
    <w:rsid w:val="00605868"/>
    <w:rsid w:val="00620DB9"/>
    <w:rsid w:val="00623C54"/>
    <w:rsid w:val="00633273"/>
    <w:rsid w:val="00647685"/>
    <w:rsid w:val="00690329"/>
    <w:rsid w:val="00691425"/>
    <w:rsid w:val="006C6C4E"/>
    <w:rsid w:val="006D01EF"/>
    <w:rsid w:val="006F74A2"/>
    <w:rsid w:val="0070108D"/>
    <w:rsid w:val="00715CED"/>
    <w:rsid w:val="00734674"/>
    <w:rsid w:val="00772DEA"/>
    <w:rsid w:val="00782147"/>
    <w:rsid w:val="007A4CDC"/>
    <w:rsid w:val="007B6827"/>
    <w:rsid w:val="007B766A"/>
    <w:rsid w:val="007E4286"/>
    <w:rsid w:val="007F0B84"/>
    <w:rsid w:val="00807344"/>
    <w:rsid w:val="00830BE3"/>
    <w:rsid w:val="00831EB7"/>
    <w:rsid w:val="00841F9B"/>
    <w:rsid w:val="008613FE"/>
    <w:rsid w:val="00864457"/>
    <w:rsid w:val="008763E7"/>
    <w:rsid w:val="008A511F"/>
    <w:rsid w:val="008B1600"/>
    <w:rsid w:val="008B68D9"/>
    <w:rsid w:val="008B7A98"/>
    <w:rsid w:val="008C6EB9"/>
    <w:rsid w:val="008D189B"/>
    <w:rsid w:val="008F1A05"/>
    <w:rsid w:val="00910886"/>
    <w:rsid w:val="0092661B"/>
    <w:rsid w:val="00933FEB"/>
    <w:rsid w:val="0093465F"/>
    <w:rsid w:val="00936C1B"/>
    <w:rsid w:val="00944A17"/>
    <w:rsid w:val="009A4930"/>
    <w:rsid w:val="009B3037"/>
    <w:rsid w:val="009D3E5D"/>
    <w:rsid w:val="009D4922"/>
    <w:rsid w:val="00A01A35"/>
    <w:rsid w:val="00A36446"/>
    <w:rsid w:val="00A44735"/>
    <w:rsid w:val="00A561F6"/>
    <w:rsid w:val="00AF0952"/>
    <w:rsid w:val="00B15194"/>
    <w:rsid w:val="00B61CE8"/>
    <w:rsid w:val="00B72CA0"/>
    <w:rsid w:val="00BC7E6C"/>
    <w:rsid w:val="00BD053F"/>
    <w:rsid w:val="00C07573"/>
    <w:rsid w:val="00C22473"/>
    <w:rsid w:val="00C56A0B"/>
    <w:rsid w:val="00C602D2"/>
    <w:rsid w:val="00C75C98"/>
    <w:rsid w:val="00CA48FC"/>
    <w:rsid w:val="00CB41DA"/>
    <w:rsid w:val="00CB5A09"/>
    <w:rsid w:val="00CC44C4"/>
    <w:rsid w:val="00CD4906"/>
    <w:rsid w:val="00CE543C"/>
    <w:rsid w:val="00D36AD3"/>
    <w:rsid w:val="00D37186"/>
    <w:rsid w:val="00D37E72"/>
    <w:rsid w:val="00D447D5"/>
    <w:rsid w:val="00D6666B"/>
    <w:rsid w:val="00D76A02"/>
    <w:rsid w:val="00D97E57"/>
    <w:rsid w:val="00DB01DC"/>
    <w:rsid w:val="00DC350C"/>
    <w:rsid w:val="00DE331E"/>
    <w:rsid w:val="00DF4A84"/>
    <w:rsid w:val="00E03CE6"/>
    <w:rsid w:val="00E17AED"/>
    <w:rsid w:val="00E21951"/>
    <w:rsid w:val="00E36397"/>
    <w:rsid w:val="00E81D26"/>
    <w:rsid w:val="00E9488E"/>
    <w:rsid w:val="00E97A45"/>
    <w:rsid w:val="00EA1200"/>
    <w:rsid w:val="00F13626"/>
    <w:rsid w:val="00F24500"/>
    <w:rsid w:val="00F26121"/>
    <w:rsid w:val="00F26FCA"/>
    <w:rsid w:val="00F40D6D"/>
    <w:rsid w:val="00F43F81"/>
    <w:rsid w:val="00F74067"/>
    <w:rsid w:val="00F85F85"/>
    <w:rsid w:val="00F8658E"/>
    <w:rsid w:val="00FF38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3D8840A"/>
  <w15:chartTrackingRefBased/>
  <w15:docId w15:val="{9B5CFF6A-AB8A-44CC-921B-2CC2AAE21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3273"/>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h1"/>
    <w:next w:val="Normal"/>
    <w:link w:val="Heading1Char"/>
    <w:qFormat/>
    <w:rsid w:val="00633273"/>
    <w:pPr>
      <w:keepNext/>
      <w:keepLines/>
      <w:pBdr>
        <w:top w:val="single" w:sz="12" w:space="3" w:color="auto"/>
      </w:pBdr>
      <w:spacing w:before="240" w:after="180" w:line="240" w:lineRule="auto"/>
      <w:outlineLvl w:val="0"/>
    </w:pPr>
    <w:rPr>
      <w:rFonts w:ascii="Arial" w:eastAsia="MS Mincho" w:hAnsi="Arial" w:cs="Times New Roman"/>
      <w:sz w:val="32"/>
      <w:szCs w:val="20"/>
      <w:lang w:val="en-GB" w:eastAsia="en-US"/>
    </w:rPr>
  </w:style>
  <w:style w:type="paragraph" w:styleId="Heading2">
    <w:name w:val="heading 2"/>
    <w:basedOn w:val="Normal"/>
    <w:next w:val="Normal"/>
    <w:link w:val="Heading2Char"/>
    <w:uiPriority w:val="9"/>
    <w:unhideWhenUsed/>
    <w:qFormat/>
    <w:rsid w:val="00633273"/>
    <w:pPr>
      <w:keepNext/>
      <w:keepLines/>
      <w:spacing w:before="240"/>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633273"/>
    <w:rPr>
      <w:rFonts w:ascii="Arial" w:eastAsia="MS Mincho" w:hAnsi="Arial" w:cs="Times New Roman"/>
      <w:sz w:val="32"/>
      <w:szCs w:val="20"/>
      <w:lang w:val="en-GB" w:eastAsia="en-US"/>
    </w:rPr>
  </w:style>
  <w:style w:type="character" w:customStyle="1" w:styleId="Heading2Char">
    <w:name w:val="Heading 2 Char"/>
    <w:basedOn w:val="DefaultParagraphFont"/>
    <w:link w:val="Heading2"/>
    <w:uiPriority w:val="9"/>
    <w:rsid w:val="00633273"/>
    <w:rPr>
      <w:rFonts w:ascii="Arial" w:eastAsiaTheme="majorEastAsia" w:hAnsi="Arial" w:cstheme="majorBidi"/>
      <w:sz w:val="28"/>
      <w:szCs w:val="26"/>
      <w:lang w:val="en-GB" w:eastAsia="en-US"/>
    </w:rPr>
  </w:style>
  <w:style w:type="table" w:styleId="TableGrid">
    <w:name w:val="Table Grid"/>
    <w:basedOn w:val="TableNormal"/>
    <w:rsid w:val="00633273"/>
    <w:pPr>
      <w:spacing w:after="180" w:line="240" w:lineRule="auto"/>
    </w:pPr>
    <w:rPr>
      <w:rFonts w:ascii="CG Times (WN)" w:eastAsia="Batang"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633273"/>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633273"/>
    <w:rPr>
      <w:rFonts w:ascii="Times New Roman" w:eastAsia="SimSun" w:hAnsi="Times New Roman" w:cs="Times New Roman"/>
      <w:sz w:val="20"/>
      <w:szCs w:val="20"/>
      <w:lang w:val="en-GB" w:eastAsia="en-US"/>
    </w:rPr>
  </w:style>
  <w:style w:type="paragraph" w:styleId="Title">
    <w:name w:val="Title"/>
    <w:basedOn w:val="Normal"/>
    <w:link w:val="TitleChar"/>
    <w:qFormat/>
    <w:rsid w:val="00633273"/>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633273"/>
    <w:rPr>
      <w:rFonts w:ascii="Arial" w:eastAsia="MS Mincho" w:hAnsi="Arial" w:cs="Times New Roman"/>
      <w:b/>
      <w:sz w:val="24"/>
      <w:szCs w:val="20"/>
      <w:lang w:val="de-DE" w:eastAsia="en-US"/>
    </w:rPr>
  </w:style>
  <w:style w:type="paragraph" w:styleId="TOC5">
    <w:name w:val="toc 5"/>
    <w:basedOn w:val="TOC4"/>
    <w:semiHidden/>
    <w:rsid w:val="00633273"/>
    <w:pPr>
      <w:keepLines/>
      <w:widowControl w:val="0"/>
      <w:numPr>
        <w:numId w:val="3"/>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633273"/>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633273"/>
    <w:pPr>
      <w:spacing w:after="100"/>
      <w:ind w:left="600"/>
    </w:pPr>
  </w:style>
  <w:style w:type="paragraph" w:styleId="Caption">
    <w:name w:val="caption"/>
    <w:basedOn w:val="Normal"/>
    <w:next w:val="Normal"/>
    <w:qFormat/>
    <w:rsid w:val="0001257B"/>
    <w:pPr>
      <w:overflowPunct w:val="0"/>
      <w:autoSpaceDE w:val="0"/>
      <w:autoSpaceDN w:val="0"/>
      <w:adjustRightInd w:val="0"/>
      <w:spacing w:after="240"/>
      <w:jc w:val="center"/>
      <w:textAlignment w:val="baseline"/>
    </w:pPr>
    <w:rPr>
      <w:rFonts w:ascii="Arial" w:hAnsi="Arial"/>
      <w:b/>
      <w:bCs/>
      <w:lang w:eastAsia="zh-CN"/>
    </w:rPr>
  </w:style>
  <w:style w:type="paragraph" w:customStyle="1" w:styleId="Proposal">
    <w:name w:val="Proposal"/>
    <w:basedOn w:val="Normal"/>
    <w:rsid w:val="0001257B"/>
    <w:pPr>
      <w:numPr>
        <w:numId w:val="8"/>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1257B"/>
    <w:pPr>
      <w:numPr>
        <w:numId w:val="9"/>
      </w:numPr>
    </w:pPr>
  </w:style>
  <w:style w:type="paragraph" w:styleId="BalloonText">
    <w:name w:val="Balloon Text"/>
    <w:basedOn w:val="Normal"/>
    <w:link w:val="BalloonTextChar"/>
    <w:uiPriority w:val="99"/>
    <w:semiHidden/>
    <w:unhideWhenUsed/>
    <w:rsid w:val="00012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257B"/>
    <w:rPr>
      <w:rFonts w:ascii="Segoe UI" w:eastAsia="SimSun" w:hAnsi="Segoe UI" w:cs="Segoe UI"/>
      <w:sz w:val="18"/>
      <w:szCs w:val="18"/>
      <w:lang w:val="en-GB" w:eastAsia="en-US"/>
    </w:rPr>
  </w:style>
  <w:style w:type="paragraph" w:styleId="NormalWeb">
    <w:name w:val="Normal (Web)"/>
    <w:basedOn w:val="Normal"/>
    <w:uiPriority w:val="99"/>
    <w:semiHidden/>
    <w:unhideWhenUsed/>
    <w:rsid w:val="008613FE"/>
    <w:pPr>
      <w:spacing w:before="100" w:beforeAutospacing="1" w:after="100" w:afterAutospacing="1"/>
    </w:pPr>
    <w:rPr>
      <w:rFonts w:eastAsia="Times New Roman"/>
      <w:sz w:val="24"/>
      <w:szCs w:val="24"/>
      <w:lang w:val="en-US" w:eastAsia="zh-CN"/>
    </w:rPr>
  </w:style>
  <w:style w:type="character" w:customStyle="1" w:styleId="THChar">
    <w:name w:val="TH Char"/>
    <w:link w:val="TH"/>
    <w:qFormat/>
    <w:locked/>
    <w:rsid w:val="00BD053F"/>
    <w:rPr>
      <w:rFonts w:ascii="Arial" w:eastAsia="Times New Roman" w:hAnsi="Arial" w:cs="Arial"/>
      <w:b/>
      <w:lang w:eastAsia="ja-JP"/>
    </w:rPr>
  </w:style>
  <w:style w:type="paragraph" w:customStyle="1" w:styleId="TH">
    <w:name w:val="TH"/>
    <w:basedOn w:val="Normal"/>
    <w:link w:val="THChar"/>
    <w:qFormat/>
    <w:rsid w:val="00BD053F"/>
    <w:pPr>
      <w:keepNext/>
      <w:keepLines/>
      <w:overflowPunct w:val="0"/>
      <w:autoSpaceDE w:val="0"/>
      <w:autoSpaceDN w:val="0"/>
      <w:adjustRightInd w:val="0"/>
      <w:spacing w:before="60"/>
      <w:jc w:val="center"/>
    </w:pPr>
    <w:rPr>
      <w:rFonts w:ascii="Arial" w:eastAsia="Times New Roman" w:hAnsi="Arial" w:cs="Arial"/>
      <w:b/>
      <w:sz w:val="22"/>
      <w:szCs w:val="22"/>
      <w:lang w:val="en-US" w:eastAsia="ja-JP"/>
    </w:rPr>
  </w:style>
  <w:style w:type="character" w:customStyle="1" w:styleId="TFChar">
    <w:name w:val="TF Char"/>
    <w:link w:val="TF"/>
    <w:locked/>
    <w:rsid w:val="00BD053F"/>
    <w:rPr>
      <w:rFonts w:ascii="Arial" w:eastAsia="Times New Roman" w:hAnsi="Arial" w:cs="Arial"/>
      <w:b/>
      <w:lang w:eastAsia="ja-JP"/>
    </w:rPr>
  </w:style>
  <w:style w:type="paragraph" w:customStyle="1" w:styleId="TF">
    <w:name w:val="TF"/>
    <w:basedOn w:val="TH"/>
    <w:link w:val="TFChar"/>
    <w:qFormat/>
    <w:rsid w:val="00BD053F"/>
    <w:pPr>
      <w:keepNext w:val="0"/>
      <w:spacing w:before="0" w:after="240"/>
    </w:pPr>
  </w:style>
  <w:style w:type="character" w:styleId="CommentReference">
    <w:name w:val="annotation reference"/>
    <w:basedOn w:val="DefaultParagraphFont"/>
    <w:uiPriority w:val="99"/>
    <w:semiHidden/>
    <w:unhideWhenUsed/>
    <w:rsid w:val="000F5B82"/>
    <w:rPr>
      <w:sz w:val="16"/>
      <w:szCs w:val="16"/>
    </w:rPr>
  </w:style>
  <w:style w:type="paragraph" w:styleId="CommentText">
    <w:name w:val="annotation text"/>
    <w:basedOn w:val="Normal"/>
    <w:link w:val="CommentTextChar"/>
    <w:uiPriority w:val="99"/>
    <w:semiHidden/>
    <w:unhideWhenUsed/>
    <w:rsid w:val="000F5B82"/>
  </w:style>
  <w:style w:type="character" w:customStyle="1" w:styleId="CommentTextChar">
    <w:name w:val="Comment Text Char"/>
    <w:basedOn w:val="DefaultParagraphFont"/>
    <w:link w:val="CommentText"/>
    <w:uiPriority w:val="99"/>
    <w:semiHidden/>
    <w:rsid w:val="000F5B82"/>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F5B82"/>
    <w:rPr>
      <w:b/>
      <w:bCs/>
    </w:rPr>
  </w:style>
  <w:style w:type="character" w:customStyle="1" w:styleId="CommentSubjectChar">
    <w:name w:val="Comment Subject Char"/>
    <w:basedOn w:val="CommentTextChar"/>
    <w:link w:val="CommentSubject"/>
    <w:uiPriority w:val="99"/>
    <w:semiHidden/>
    <w:rsid w:val="000F5B82"/>
    <w:rPr>
      <w:rFonts w:ascii="Times New Roman" w:eastAsia="SimSu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327022">
      <w:bodyDiv w:val="1"/>
      <w:marLeft w:val="0"/>
      <w:marRight w:val="0"/>
      <w:marTop w:val="0"/>
      <w:marBottom w:val="0"/>
      <w:divBdr>
        <w:top w:val="none" w:sz="0" w:space="0" w:color="auto"/>
        <w:left w:val="none" w:sz="0" w:space="0" w:color="auto"/>
        <w:bottom w:val="none" w:sz="0" w:space="0" w:color="auto"/>
        <w:right w:val="none" w:sz="0" w:space="0" w:color="auto"/>
      </w:divBdr>
    </w:div>
    <w:div w:id="235826057">
      <w:bodyDiv w:val="1"/>
      <w:marLeft w:val="0"/>
      <w:marRight w:val="0"/>
      <w:marTop w:val="0"/>
      <w:marBottom w:val="0"/>
      <w:divBdr>
        <w:top w:val="none" w:sz="0" w:space="0" w:color="auto"/>
        <w:left w:val="none" w:sz="0" w:space="0" w:color="auto"/>
        <w:bottom w:val="none" w:sz="0" w:space="0" w:color="auto"/>
        <w:right w:val="none" w:sz="0" w:space="0" w:color="auto"/>
      </w:divBdr>
    </w:div>
    <w:div w:id="243953490">
      <w:bodyDiv w:val="1"/>
      <w:marLeft w:val="0"/>
      <w:marRight w:val="0"/>
      <w:marTop w:val="0"/>
      <w:marBottom w:val="0"/>
      <w:divBdr>
        <w:top w:val="none" w:sz="0" w:space="0" w:color="auto"/>
        <w:left w:val="none" w:sz="0" w:space="0" w:color="auto"/>
        <w:bottom w:val="none" w:sz="0" w:space="0" w:color="auto"/>
        <w:right w:val="none" w:sz="0" w:space="0" w:color="auto"/>
      </w:divBdr>
    </w:div>
    <w:div w:id="919290204">
      <w:bodyDiv w:val="1"/>
      <w:marLeft w:val="0"/>
      <w:marRight w:val="0"/>
      <w:marTop w:val="0"/>
      <w:marBottom w:val="0"/>
      <w:divBdr>
        <w:top w:val="none" w:sz="0" w:space="0" w:color="auto"/>
        <w:left w:val="none" w:sz="0" w:space="0" w:color="auto"/>
        <w:bottom w:val="none" w:sz="0" w:space="0" w:color="auto"/>
        <w:right w:val="none" w:sz="0" w:space="0" w:color="auto"/>
      </w:divBdr>
    </w:div>
    <w:div w:id="990601063">
      <w:bodyDiv w:val="1"/>
      <w:marLeft w:val="0"/>
      <w:marRight w:val="0"/>
      <w:marTop w:val="0"/>
      <w:marBottom w:val="0"/>
      <w:divBdr>
        <w:top w:val="none" w:sz="0" w:space="0" w:color="auto"/>
        <w:left w:val="none" w:sz="0" w:space="0" w:color="auto"/>
        <w:bottom w:val="none" w:sz="0" w:space="0" w:color="auto"/>
        <w:right w:val="none" w:sz="0" w:space="0" w:color="auto"/>
      </w:divBdr>
      <w:divsChild>
        <w:div w:id="2145271030">
          <w:marLeft w:val="274"/>
          <w:marRight w:val="0"/>
          <w:marTop w:val="240"/>
          <w:marBottom w:val="0"/>
          <w:divBdr>
            <w:top w:val="none" w:sz="0" w:space="0" w:color="auto"/>
            <w:left w:val="none" w:sz="0" w:space="0" w:color="auto"/>
            <w:bottom w:val="none" w:sz="0" w:space="0" w:color="auto"/>
            <w:right w:val="none" w:sz="0" w:space="0" w:color="auto"/>
          </w:divBdr>
        </w:div>
      </w:divsChild>
    </w:div>
    <w:div w:id="1445923561">
      <w:bodyDiv w:val="1"/>
      <w:marLeft w:val="0"/>
      <w:marRight w:val="0"/>
      <w:marTop w:val="0"/>
      <w:marBottom w:val="0"/>
      <w:divBdr>
        <w:top w:val="none" w:sz="0" w:space="0" w:color="auto"/>
        <w:left w:val="none" w:sz="0" w:space="0" w:color="auto"/>
        <w:bottom w:val="none" w:sz="0" w:space="0" w:color="auto"/>
        <w:right w:val="none" w:sz="0" w:space="0" w:color="auto"/>
      </w:divBdr>
      <w:divsChild>
        <w:div w:id="1418671120">
          <w:marLeft w:val="0"/>
          <w:marRight w:val="0"/>
          <w:marTop w:val="120"/>
          <w:marBottom w:val="0"/>
          <w:divBdr>
            <w:top w:val="none" w:sz="0" w:space="0" w:color="auto"/>
            <w:left w:val="none" w:sz="0" w:space="0" w:color="auto"/>
            <w:bottom w:val="none" w:sz="0" w:space="0" w:color="auto"/>
            <w:right w:val="none" w:sz="0" w:space="0" w:color="auto"/>
          </w:divBdr>
          <w:divsChild>
            <w:div w:id="1129475369">
              <w:marLeft w:val="0"/>
              <w:marRight w:val="0"/>
              <w:marTop w:val="120"/>
              <w:marBottom w:val="480"/>
              <w:divBdr>
                <w:top w:val="none" w:sz="0" w:space="0" w:color="auto"/>
                <w:left w:val="none" w:sz="0" w:space="0" w:color="auto"/>
                <w:bottom w:val="none" w:sz="0" w:space="0" w:color="auto"/>
                <w:right w:val="none" w:sz="0" w:space="0" w:color="auto"/>
              </w:divBdr>
              <w:divsChild>
                <w:div w:id="21917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616495">
          <w:marLeft w:val="0"/>
          <w:marRight w:val="0"/>
          <w:marTop w:val="120"/>
          <w:marBottom w:val="0"/>
          <w:divBdr>
            <w:top w:val="none" w:sz="0" w:space="0" w:color="auto"/>
            <w:left w:val="none" w:sz="0" w:space="0" w:color="auto"/>
            <w:bottom w:val="none" w:sz="0" w:space="0" w:color="auto"/>
            <w:right w:val="none" w:sz="0" w:space="0" w:color="auto"/>
          </w:divBdr>
          <w:divsChild>
            <w:div w:id="411899195">
              <w:marLeft w:val="0"/>
              <w:marRight w:val="0"/>
              <w:marTop w:val="120"/>
              <w:marBottom w:val="480"/>
              <w:divBdr>
                <w:top w:val="none" w:sz="0" w:space="0" w:color="auto"/>
                <w:left w:val="none" w:sz="0" w:space="0" w:color="auto"/>
                <w:bottom w:val="none" w:sz="0" w:space="0" w:color="auto"/>
                <w:right w:val="none" w:sz="0" w:space="0" w:color="auto"/>
              </w:divBdr>
              <w:divsChild>
                <w:div w:id="1626810471">
                  <w:marLeft w:val="0"/>
                  <w:marRight w:val="0"/>
                  <w:marTop w:val="0"/>
                  <w:marBottom w:val="150"/>
                  <w:divBdr>
                    <w:top w:val="none" w:sz="0" w:space="4" w:color="DDDDDD"/>
                    <w:left w:val="none" w:sz="0" w:space="0" w:color="DDDDDD"/>
                    <w:bottom w:val="none" w:sz="0" w:space="4" w:color="DDDDDD"/>
                    <w:right w:val="none" w:sz="0" w:space="0" w:color="DDDDDD"/>
                  </w:divBdr>
                </w:div>
              </w:divsChild>
            </w:div>
          </w:divsChild>
        </w:div>
      </w:divsChild>
    </w:div>
    <w:div w:id="1933125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SRVZ567275SS-924214940-39</_dlc_DocId>
    <_dlc_DocIdUrl xmlns="932dab1a-f806-440a-b546-5f112cb4e652">
      <Url>https://projects.qualcomm.com/sites/libra/_layouts/15/DocIdRedir.aspx?ID=SRVZ567275SS-924214940-39</Url>
      <Description>SRVZ567275SS-924214940-39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0C5D58-681C-438D-AE94-4322EC51A71C}">
  <ds:schemaRefs>
    <ds:schemaRef ds:uri="932dab1a-f806-440a-b546-5f112cb4e652"/>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9309751-E81D-409C-AED5-96102DA86C7C}">
  <ds:schemaRefs>
    <ds:schemaRef ds:uri="http://schemas.microsoft.com/sharepoint/v3/contenttype/forms"/>
  </ds:schemaRefs>
</ds:datastoreItem>
</file>

<file path=customXml/itemProps3.xml><?xml version="1.0" encoding="utf-8"?>
<ds:datastoreItem xmlns:ds="http://schemas.openxmlformats.org/officeDocument/2006/customXml" ds:itemID="{977906FA-4D36-4B89-88A9-EAAD17B672D8}">
  <ds:schemaRefs>
    <ds:schemaRef ds:uri="http://schemas.microsoft.com/sharepoint/events"/>
  </ds:schemaRefs>
</ds:datastoreItem>
</file>

<file path=customXml/itemProps4.xml><?xml version="1.0" encoding="utf-8"?>
<ds:datastoreItem xmlns:ds="http://schemas.openxmlformats.org/officeDocument/2006/customXml" ds:itemID="{66DCF943-67B9-4F84-9782-7BCD96ACA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548</Words>
  <Characters>3126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Zhibin Wu</dc:creator>
  <cp:keywords/>
  <dc:description/>
  <cp:lastModifiedBy>Dan Vassilovski</cp:lastModifiedBy>
  <cp:revision>2</cp:revision>
  <dcterms:created xsi:type="dcterms:W3CDTF">2019-08-15T21:35:00Z</dcterms:created>
  <dcterms:modified xsi:type="dcterms:W3CDTF">2019-08-15T21:35:00Z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72ad027d-25d3-409f-9959-de15fa332237</vt:lpwstr>
  </property>
</Properties>
</file>