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53F42" w14:textId="02E302D2"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Meeting#107</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0F48EF" w:rsidRPr="000F48EF">
        <w:rPr>
          <w:sz w:val="24"/>
          <w:lang w:val="en-GB" w:eastAsia="zh-CN"/>
        </w:rPr>
        <w:t>1910382</w:t>
      </w:r>
    </w:p>
    <w:p w14:paraId="57B89A25" w14:textId="77777777" w:rsidR="0047248C" w:rsidRPr="00394114" w:rsidRDefault="0047248C" w:rsidP="0047248C">
      <w:pPr>
        <w:pStyle w:val="Header"/>
        <w:rPr>
          <w:rFonts w:eastAsia="MS Mincho"/>
          <w:noProof w:val="0"/>
          <w:sz w:val="24"/>
          <w:szCs w:val="24"/>
          <w:lang w:val="en-GB" w:eastAsia="x-none"/>
        </w:rPr>
      </w:pPr>
      <w:r w:rsidRPr="00C874E0">
        <w:rPr>
          <w:rFonts w:eastAsia="MS Mincho"/>
          <w:noProof w:val="0"/>
          <w:sz w:val="24"/>
          <w:szCs w:val="24"/>
          <w:lang w:val="en-GB" w:eastAsia="x-none"/>
        </w:rPr>
        <w:t>Prague, Czech Republic,</w:t>
      </w:r>
      <w:r>
        <w:rPr>
          <w:rFonts w:eastAsia="MS Mincho"/>
          <w:noProof w:val="0"/>
          <w:sz w:val="24"/>
          <w:szCs w:val="24"/>
          <w:lang w:val="en-GB" w:eastAsia="x-none"/>
        </w:rPr>
        <w:t xml:space="preserve"> 26</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- 30</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xml:space="preserve">August </w:t>
      </w:r>
      <w:r w:rsidRPr="00394114">
        <w:rPr>
          <w:rFonts w:eastAsia="MS Mincho"/>
          <w:noProof w:val="0"/>
          <w:sz w:val="24"/>
          <w:szCs w:val="24"/>
          <w:lang w:val="en-GB" w:eastAsia="x-none"/>
        </w:rPr>
        <w:t>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57B7BF9B"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AB4AD7">
        <w:rPr>
          <w:rFonts w:eastAsia="SimSun" w:cs="Arial"/>
          <w:b/>
          <w:bCs/>
          <w:sz w:val="24"/>
          <w:lang w:val="en-US"/>
        </w:rPr>
        <w:t>8</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132CA6D7"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E37A0">
        <w:rPr>
          <w:rFonts w:ascii="Arial" w:hAnsi="Arial" w:cs="Arial"/>
          <w:b/>
          <w:bCs/>
          <w:sz w:val="24"/>
        </w:rPr>
        <w:t>S</w:t>
      </w:r>
      <w:r w:rsidR="001A58CB">
        <w:rPr>
          <w:rFonts w:ascii="Arial" w:hAnsi="Arial" w:cs="Arial"/>
          <w:b/>
          <w:bCs/>
          <w:sz w:val="24"/>
        </w:rPr>
        <w:t>imultaneous operation of</w:t>
      </w:r>
      <w:r w:rsidR="009E37A0">
        <w:rPr>
          <w:rFonts w:ascii="Arial" w:hAnsi="Arial" w:cs="Arial"/>
          <w:b/>
          <w:bCs/>
          <w:sz w:val="24"/>
        </w:rPr>
        <w:t xml:space="preserve"> mode1 and mode2 </w:t>
      </w:r>
      <w:r w:rsidR="0047248C">
        <w:rPr>
          <w:rFonts w:ascii="Arial" w:hAnsi="Arial" w:cs="Arial"/>
          <w:b/>
          <w:bCs/>
          <w:sz w:val="24"/>
        </w:rPr>
        <w:t>in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3EEE3070" w14:textId="091579ED" w:rsidR="00294DD7" w:rsidRDefault="00BF6BBA"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5B2277">
        <w:rPr>
          <w:rFonts w:ascii="Times New Roman" w:hAnsi="Times New Roman"/>
          <w:sz w:val="20"/>
          <w:szCs w:val="20"/>
          <w:lang w:eastAsia="ja-JP"/>
        </w:rPr>
        <w:t xml:space="preserve">the </w:t>
      </w:r>
      <w:r>
        <w:rPr>
          <w:rFonts w:ascii="Times New Roman" w:hAnsi="Times New Roman"/>
          <w:sz w:val="20"/>
          <w:szCs w:val="20"/>
          <w:lang w:eastAsia="ja-JP"/>
        </w:rPr>
        <w:t>email dis</w:t>
      </w:r>
      <w:r w:rsidR="009F19A9">
        <w:rPr>
          <w:rFonts w:ascii="Times New Roman" w:hAnsi="Times New Roman"/>
          <w:sz w:val="20"/>
          <w:szCs w:val="20"/>
          <w:lang w:eastAsia="ja-JP"/>
        </w:rPr>
        <w:t>cuss</w:t>
      </w:r>
      <w:r w:rsidR="00A1143D">
        <w:rPr>
          <w:rFonts w:ascii="Times New Roman" w:hAnsi="Times New Roman"/>
          <w:sz w:val="20"/>
          <w:szCs w:val="20"/>
          <w:lang w:eastAsia="ja-JP"/>
        </w:rPr>
        <w:t>ion on resource allocation RAN2#</w:t>
      </w:r>
      <w:r w:rsidR="009F19A9">
        <w:rPr>
          <w:rFonts w:ascii="Times New Roman" w:hAnsi="Times New Roman"/>
          <w:sz w:val="20"/>
          <w:szCs w:val="20"/>
          <w:lang w:eastAsia="ja-JP"/>
        </w:rPr>
        <w:t>104#60</w:t>
      </w:r>
      <w:r w:rsidR="00DF5A46">
        <w:rPr>
          <w:rFonts w:ascii="Times New Roman" w:hAnsi="Times New Roman"/>
          <w:sz w:val="20"/>
          <w:szCs w:val="20"/>
          <w:lang w:eastAsia="ja-JP"/>
        </w:rPr>
        <w:t xml:space="preserve">, </w:t>
      </w:r>
      <w:r>
        <w:rPr>
          <w:rFonts w:ascii="Times New Roman" w:hAnsi="Times New Roman"/>
          <w:sz w:val="20"/>
          <w:szCs w:val="20"/>
          <w:lang w:eastAsia="ja-JP"/>
        </w:rPr>
        <w:t>simultaneous support of mode 1 and mode 2 operation at the UE was briefly discussed</w:t>
      </w:r>
      <w:r w:rsidR="00294DD7">
        <w:rPr>
          <w:rFonts w:ascii="Times New Roman" w:hAnsi="Times New Roman"/>
          <w:sz w:val="20"/>
          <w:szCs w:val="20"/>
          <w:lang w:eastAsia="ja-JP"/>
        </w:rPr>
        <w:t xml:space="preserve"> and many companies suggested that for better QoS, it is necessary to support both modes for a given </w:t>
      </w:r>
      <w:r w:rsidR="003579E0">
        <w:rPr>
          <w:rFonts w:ascii="Times New Roman" w:hAnsi="Times New Roman"/>
          <w:sz w:val="20"/>
          <w:szCs w:val="20"/>
          <w:lang w:eastAsia="ja-JP"/>
        </w:rPr>
        <w:t xml:space="preserve">V2X </w:t>
      </w:r>
      <w:r w:rsidR="00294DD7">
        <w:rPr>
          <w:rFonts w:ascii="Times New Roman" w:hAnsi="Times New Roman"/>
          <w:sz w:val="20"/>
          <w:szCs w:val="20"/>
          <w:lang w:eastAsia="ja-JP"/>
        </w:rPr>
        <w:t>UE</w:t>
      </w:r>
      <w:r w:rsidR="00DF5A46">
        <w:rPr>
          <w:rFonts w:ascii="Times New Roman" w:hAnsi="Times New Roman"/>
          <w:sz w:val="20"/>
          <w:szCs w:val="20"/>
          <w:lang w:eastAsia="ja-JP"/>
        </w:rPr>
        <w:t xml:space="preserve">. </w:t>
      </w:r>
      <w:r w:rsidR="00294DD7">
        <w:rPr>
          <w:rFonts w:ascii="Times New Roman" w:hAnsi="Times New Roman"/>
          <w:sz w:val="20"/>
          <w:szCs w:val="20"/>
          <w:lang w:eastAsia="ja-JP"/>
        </w:rPr>
        <w:t>During RAN2#105, the following agreement</w:t>
      </w:r>
      <w:r w:rsidR="00705CF5">
        <w:rPr>
          <w:rFonts w:ascii="Times New Roman" w:hAnsi="Times New Roman"/>
          <w:sz w:val="20"/>
          <w:szCs w:val="20"/>
          <w:lang w:eastAsia="ja-JP"/>
        </w:rPr>
        <w:t xml:space="preserve"> [1]</w:t>
      </w:r>
      <w:r w:rsidR="00294DD7">
        <w:rPr>
          <w:rFonts w:ascii="Times New Roman" w:hAnsi="Times New Roman"/>
          <w:sz w:val="20"/>
          <w:szCs w:val="20"/>
          <w:lang w:eastAsia="ja-JP"/>
        </w:rPr>
        <w:t xml:space="preserve"> was made:</w:t>
      </w:r>
    </w:p>
    <w:p w14:paraId="63811558" w14:textId="77777777" w:rsidR="00294DD7" w:rsidRPr="005F1AFD" w:rsidRDefault="00294DD7" w:rsidP="004F009F">
      <w:pPr>
        <w:pBdr>
          <w:top w:val="single" w:sz="4" w:space="1" w:color="auto"/>
          <w:left w:val="single" w:sz="4" w:space="31" w:color="auto"/>
          <w:bottom w:val="single" w:sz="4" w:space="1" w:color="auto"/>
          <w:right w:val="single" w:sz="4" w:space="4" w:color="auto"/>
        </w:pBdr>
        <w:tabs>
          <w:tab w:val="left" w:pos="1622"/>
        </w:tabs>
        <w:ind w:left="990" w:hanging="363"/>
      </w:pPr>
      <w:r>
        <w:rPr>
          <w:noProof/>
        </w:rPr>
        <w:t>1-12: Confirm that UE may be configured to perform both network controlled sidelink transmission and UE autonomous sidelink transmission.</w:t>
      </w:r>
    </w:p>
    <w:p w14:paraId="1AB589D2" w14:textId="214EE1E2"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lay out</w:t>
      </w:r>
      <w:r>
        <w:rPr>
          <w:rFonts w:ascii="Times New Roman" w:hAnsi="Times New Roman"/>
          <w:sz w:val="20"/>
          <w:szCs w:val="20"/>
          <w:lang w:eastAsia="ja-JP"/>
        </w:rPr>
        <w:t xml:space="preserve"> </w:t>
      </w:r>
      <w:r w:rsidR="00294DD7">
        <w:rPr>
          <w:rFonts w:ascii="Times New Roman" w:hAnsi="Times New Roman"/>
          <w:sz w:val="20"/>
          <w:szCs w:val="20"/>
          <w:lang w:eastAsia="ja-JP"/>
        </w:rPr>
        <w:t>some considerations</w:t>
      </w:r>
      <w:r w:rsidR="005B2277">
        <w:rPr>
          <w:rFonts w:ascii="Times New Roman" w:hAnsi="Times New Roman"/>
          <w:sz w:val="20"/>
          <w:szCs w:val="20"/>
          <w:lang w:eastAsia="ja-JP"/>
        </w:rPr>
        <w:t xml:space="preserve"> to support</w:t>
      </w:r>
      <w:r w:rsidR="00294DD7">
        <w:rPr>
          <w:rFonts w:ascii="Times New Roman" w:hAnsi="Times New Roman"/>
          <w:sz w:val="20"/>
          <w:szCs w:val="20"/>
          <w:lang w:eastAsia="ja-JP"/>
        </w:rPr>
        <w:t xml:space="preserve"> s</w:t>
      </w:r>
      <w:r w:rsidR="001A58CB">
        <w:rPr>
          <w:rFonts w:ascii="Times New Roman" w:hAnsi="Times New Roman"/>
          <w:sz w:val="20"/>
          <w:szCs w:val="20"/>
          <w:lang w:eastAsia="ja-JP"/>
        </w:rPr>
        <w:t>imultaneous operation</w:t>
      </w:r>
      <w:r w:rsidR="00294DD7">
        <w:rPr>
          <w:rFonts w:ascii="Times New Roman" w:hAnsi="Times New Roman"/>
          <w:sz w:val="20"/>
          <w:szCs w:val="20"/>
          <w:lang w:eastAsia="ja-JP"/>
        </w:rPr>
        <w:t xml:space="preserve"> </w:t>
      </w:r>
      <w:r w:rsidR="001A58CB">
        <w:rPr>
          <w:rFonts w:ascii="Times New Roman" w:hAnsi="Times New Roman"/>
          <w:sz w:val="20"/>
          <w:szCs w:val="20"/>
          <w:lang w:eastAsia="ja-JP"/>
        </w:rPr>
        <w:t>of</w:t>
      </w:r>
      <w:r w:rsidR="00294DD7">
        <w:rPr>
          <w:rFonts w:ascii="Times New Roman" w:hAnsi="Times New Roman"/>
          <w:sz w:val="20"/>
          <w:szCs w:val="20"/>
          <w:lang w:eastAsia="ja-JP"/>
        </w:rPr>
        <w:t xml:space="preserve"> the two modes in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591FABB1" w:rsidR="003C0DA3" w:rsidRDefault="0080328B"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Simultaneous mode support </w:t>
      </w:r>
    </w:p>
    <w:p w14:paraId="12EE4587" w14:textId="5E80CA4C" w:rsidR="00064677" w:rsidRDefault="00F905B1"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agreed</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sidelink. With NR V2X and the possibility of supporting both unicast and broadcast based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w:t>
      </w:r>
      <w:r w:rsidR="00893C69">
        <w:rPr>
          <w:rFonts w:ascii="Times New Roman" w:eastAsia="MS Mincho" w:hAnsi="Times New Roman"/>
          <w:bCs/>
          <w:sz w:val="20"/>
          <w:szCs w:val="26"/>
          <w:lang w:val="en-GB" w:eastAsia="en-GB"/>
        </w:rPr>
        <w:t>As per the agreed V2X WID [</w:t>
      </w:r>
      <w:r w:rsidR="00705CF5">
        <w:rPr>
          <w:rFonts w:ascii="Times New Roman" w:eastAsia="MS Mincho" w:hAnsi="Times New Roman"/>
          <w:bCs/>
          <w:sz w:val="20"/>
          <w:szCs w:val="26"/>
          <w:lang w:val="en-GB" w:eastAsia="en-GB"/>
        </w:rPr>
        <w:t>2</w:t>
      </w:r>
      <w:r w:rsidR="00893C69">
        <w:rPr>
          <w:rFonts w:ascii="Times New Roman" w:eastAsia="MS Mincho" w:hAnsi="Times New Roman"/>
          <w:bCs/>
          <w:sz w:val="20"/>
          <w:szCs w:val="26"/>
          <w:lang w:val="en-GB" w:eastAsia="en-GB"/>
        </w:rPr>
        <w:t xml:space="preserve">], the following aspect has been captured suggesting that the supported mode information is not shared over AS configuration. </w:t>
      </w:r>
    </w:p>
    <w:tbl>
      <w:tblPr>
        <w:tblStyle w:val="TableGrid"/>
        <w:tblW w:w="0" w:type="auto"/>
        <w:tblLook w:val="04A0" w:firstRow="1" w:lastRow="0" w:firstColumn="1" w:lastColumn="0" w:noHBand="0" w:noVBand="1"/>
      </w:tblPr>
      <w:tblGrid>
        <w:gridCol w:w="9350"/>
      </w:tblGrid>
      <w:tr w:rsidR="000E5E66" w14:paraId="20AA4D48" w14:textId="77777777" w:rsidTr="000E5E66">
        <w:tc>
          <w:tcPr>
            <w:tcW w:w="9350" w:type="dxa"/>
          </w:tcPr>
          <w:p w14:paraId="7235E8ED" w14:textId="77777777" w:rsidR="000E5E66" w:rsidRPr="00893C69" w:rsidRDefault="000E5E66" w:rsidP="000E5E66">
            <w:pPr>
              <w:numPr>
                <w:ilvl w:val="0"/>
                <w:numId w:val="9"/>
              </w:numPr>
              <w:spacing w:after="180"/>
              <w:ind w:left="288"/>
              <w:textAlignment w:val="center"/>
              <w:rPr>
                <w:rFonts w:eastAsia="Times New Roman" w:cs="Calibri"/>
                <w:color w:val="000000"/>
                <w:lang w:val="en-GB"/>
              </w:rPr>
            </w:pPr>
            <w:r w:rsidRPr="00893C69">
              <w:rPr>
                <w:rFonts w:ascii="Times New Roman" w:eastAsia="Times New Roman" w:hAnsi="Times New Roman"/>
                <w:color w:val="000000"/>
                <w:lang w:val="en-GB"/>
              </w:rPr>
              <w:t>Support for simultaneous configuration of Mode 1 and Mode 2 for a UE</w:t>
            </w:r>
          </w:p>
          <w:p w14:paraId="1935D119" w14:textId="77777777" w:rsidR="000E5E66" w:rsidRPr="00893C69"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Transmitter UE operation in this configuration is to be discussed after the design of mode 1 only and mode 2 only.</w:t>
            </w:r>
          </w:p>
          <w:p w14:paraId="487737F3" w14:textId="1812FB0F" w:rsidR="000E5E66" w:rsidRPr="000E5E66"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 xml:space="preserve">Receiver UE can receive the transmissions without knowing the resource allocation mode used by the transmitter UE. </w:t>
            </w:r>
          </w:p>
        </w:tc>
      </w:tr>
    </w:tbl>
    <w:p w14:paraId="37BB6313" w14:textId="77777777" w:rsidR="000E5E66" w:rsidRDefault="000E5E66"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C85218C" w14:textId="7AB1F190" w:rsidR="00893C69" w:rsidRDefault="00452CFC"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Even a</w:t>
      </w:r>
      <w:r w:rsidR="007C49EA">
        <w:rPr>
          <w:rFonts w:ascii="Times New Roman" w:eastAsia="MS Mincho" w:hAnsi="Times New Roman"/>
          <w:bCs/>
          <w:sz w:val="20"/>
          <w:szCs w:val="26"/>
          <w:lang w:val="en-GB" w:eastAsia="en-GB"/>
        </w:rPr>
        <w:t xml:space="preserve">s the design of the TX UE operation can only be discussed after the design of mode 1 and mode 2 individually, we </w:t>
      </w:r>
      <w:r>
        <w:rPr>
          <w:rFonts w:ascii="Times New Roman" w:eastAsia="MS Mincho" w:hAnsi="Times New Roman"/>
          <w:bCs/>
          <w:sz w:val="20"/>
          <w:szCs w:val="26"/>
          <w:lang w:val="en-GB" w:eastAsia="en-GB"/>
        </w:rPr>
        <w:t xml:space="preserve">provide some early </w:t>
      </w:r>
      <w:r w:rsidR="003A1B94">
        <w:rPr>
          <w:rFonts w:ascii="Times New Roman" w:eastAsia="MS Mincho" w:hAnsi="Times New Roman"/>
          <w:bCs/>
          <w:sz w:val="20"/>
          <w:szCs w:val="26"/>
          <w:lang w:val="en-GB" w:eastAsia="en-GB"/>
        </w:rPr>
        <w:t xml:space="preserve">and high-level </w:t>
      </w:r>
      <w:r>
        <w:rPr>
          <w:rFonts w:ascii="Times New Roman" w:eastAsia="MS Mincho" w:hAnsi="Times New Roman"/>
          <w:bCs/>
          <w:sz w:val="20"/>
          <w:szCs w:val="26"/>
          <w:lang w:val="en-GB" w:eastAsia="en-GB"/>
        </w:rPr>
        <w:t xml:space="preserve">considerations in this section for support of simultaneous </w:t>
      </w:r>
      <w:r w:rsidR="003A1B94">
        <w:rPr>
          <w:rFonts w:ascii="Times New Roman" w:eastAsia="MS Mincho" w:hAnsi="Times New Roman"/>
          <w:bCs/>
          <w:sz w:val="20"/>
          <w:szCs w:val="26"/>
          <w:lang w:val="en-GB" w:eastAsia="en-GB"/>
        </w:rPr>
        <w:t xml:space="preserve">resource configuration </w:t>
      </w:r>
      <w:r>
        <w:rPr>
          <w:rFonts w:ascii="Times New Roman" w:eastAsia="MS Mincho" w:hAnsi="Times New Roman"/>
          <w:bCs/>
          <w:sz w:val="20"/>
          <w:szCs w:val="26"/>
          <w:lang w:val="en-GB" w:eastAsia="en-GB"/>
        </w:rPr>
        <w:t>modes</w:t>
      </w:r>
      <w:r w:rsidR="003A1B94">
        <w:rPr>
          <w:rFonts w:ascii="Times New Roman" w:eastAsia="MS Mincho" w:hAnsi="Times New Roman"/>
          <w:bCs/>
          <w:sz w:val="20"/>
          <w:szCs w:val="26"/>
          <w:lang w:val="en-GB" w:eastAsia="en-GB"/>
        </w:rPr>
        <w:t xml:space="preserve"> for NR V2X</w:t>
      </w:r>
      <w:r>
        <w:rPr>
          <w:rFonts w:ascii="Times New Roman" w:eastAsia="MS Mincho" w:hAnsi="Times New Roman"/>
          <w:bCs/>
          <w:sz w:val="20"/>
          <w:szCs w:val="26"/>
          <w:lang w:val="en-GB" w:eastAsia="en-GB"/>
        </w:rPr>
        <w:t xml:space="preserve">. </w:t>
      </w:r>
    </w:p>
    <w:p w14:paraId="05E0F72E" w14:textId="77777777" w:rsidR="001A58CB" w:rsidRDefault="001A58CB" w:rsidP="001A58CB">
      <w:pPr>
        <w:pStyle w:val="ListParagraph"/>
        <w:widowControl w:val="0"/>
        <w:tabs>
          <w:tab w:val="left" w:pos="907"/>
        </w:tabs>
        <w:spacing w:before="240" w:after="60" w:line="240" w:lineRule="auto"/>
        <w:ind w:left="0"/>
        <w:outlineLvl w:val="2"/>
        <w:rPr>
          <w:rFonts w:ascii="Arial" w:eastAsia="MS Mincho" w:hAnsi="Arial" w:cs="Arial"/>
          <w:bCs/>
          <w:sz w:val="26"/>
          <w:szCs w:val="26"/>
          <w:lang w:val="en-GB" w:eastAsia="en-GB"/>
        </w:rPr>
      </w:pPr>
    </w:p>
    <w:p w14:paraId="6985D870" w14:textId="77777777" w:rsidR="001A58CB" w:rsidRDefault="001A58CB" w:rsidP="001A58CB">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Connection establishment for multiple mode operation</w:t>
      </w:r>
    </w:p>
    <w:p w14:paraId="4ECD38DF" w14:textId="13706A9D"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avoid complexity, </w:t>
      </w:r>
      <w:r w:rsidRPr="00D16B0F">
        <w:rPr>
          <w:rFonts w:ascii="Times New Roman" w:eastAsia="MS Mincho" w:hAnsi="Times New Roman"/>
          <w:bCs/>
          <w:sz w:val="20"/>
          <w:szCs w:val="26"/>
          <w:lang w:val="en-GB" w:eastAsia="en-GB"/>
        </w:rPr>
        <w:t xml:space="preserve">the </w:t>
      </w:r>
      <w:r>
        <w:rPr>
          <w:rFonts w:ascii="Times New Roman" w:eastAsia="MS Mincho" w:hAnsi="Times New Roman"/>
          <w:bCs/>
          <w:sz w:val="20"/>
          <w:szCs w:val="26"/>
          <w:lang w:val="en-GB" w:eastAsia="en-GB"/>
        </w:rPr>
        <w:t xml:space="preserve">V2X </w:t>
      </w:r>
      <w:r w:rsidRPr="00D16B0F">
        <w:rPr>
          <w:rFonts w:ascii="Times New Roman" w:eastAsia="MS Mincho" w:hAnsi="Times New Roman"/>
          <w:bCs/>
          <w:sz w:val="20"/>
          <w:szCs w:val="26"/>
          <w:lang w:val="en-GB" w:eastAsia="en-GB"/>
        </w:rPr>
        <w:t xml:space="preserve">UE </w:t>
      </w:r>
      <w:r>
        <w:rPr>
          <w:rFonts w:ascii="Times New Roman" w:eastAsia="MS Mincho" w:hAnsi="Times New Roman"/>
          <w:bCs/>
          <w:sz w:val="20"/>
          <w:szCs w:val="26"/>
          <w:lang w:val="en-GB" w:eastAsia="en-GB"/>
        </w:rPr>
        <w:t xml:space="preserve">can be assumed to be in RRC_CONNECTED state to support both network scheduled and UE autonomous resource allocation modes simultaneously, and if a UE is in-coverage and </w:t>
      </w:r>
      <w:r>
        <w:rPr>
          <w:rFonts w:ascii="Times New Roman" w:eastAsia="MS Mincho" w:hAnsi="Times New Roman"/>
          <w:bCs/>
          <w:sz w:val="20"/>
          <w:szCs w:val="26"/>
          <w:lang w:val="en-GB" w:eastAsia="en-GB"/>
        </w:rPr>
        <w:lastRenderedPageBreak/>
        <w:t xml:space="preserve">has the ability to support mode-1, it would be practical to initiate a switch (from idle/inactive to connected) so the required QoS can be met as necessary. Furthermore, when the UE is out-of-coverage it only has the ability to use mode-2 (UE autonomous mode). If the QoS requirement for the use case indicates that mode-1 could be used, the UE should try to switch to mode-1 as soon as it is in-coverage. </w:t>
      </w:r>
    </w:p>
    <w:p w14:paraId="00A89876" w14:textId="77777777" w:rsidR="004F009F" w:rsidRDefault="004F009F"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4929198" w14:textId="1D57383E" w:rsidR="001A58CB" w:rsidRDefault="001A58CB"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 xml:space="preserve">RAN2 to </w:t>
      </w:r>
      <w:r w:rsidR="00705CF5">
        <w:rPr>
          <w:rFonts w:ascii="Times New Roman" w:eastAsia="Malgun Gothic" w:hAnsi="Times New Roman"/>
          <w:i/>
          <w:sz w:val="20"/>
          <w:szCs w:val="20"/>
          <w:lang w:val="en-GB" w:eastAsia="zh-CN"/>
        </w:rPr>
        <w:t>enable</w:t>
      </w:r>
      <w:r w:rsidR="00705CF5" w:rsidRPr="009F19A9">
        <w:rPr>
          <w:rFonts w:ascii="Times New Roman" w:eastAsia="Malgun Gothic" w:hAnsi="Times New Roman"/>
          <w:i/>
          <w:sz w:val="20"/>
          <w:szCs w:val="20"/>
          <w:lang w:val="en-GB" w:eastAsia="zh-CN"/>
        </w:rPr>
        <w:t xml:space="preserve"> </w:t>
      </w:r>
      <w:r w:rsidRPr="009F19A9">
        <w:rPr>
          <w:rFonts w:ascii="Times New Roman" w:eastAsia="Malgun Gothic" w:hAnsi="Times New Roman"/>
          <w:i/>
          <w:sz w:val="20"/>
          <w:szCs w:val="20"/>
          <w:lang w:val="en-GB" w:eastAsia="zh-CN"/>
        </w:rPr>
        <w:t xml:space="preserve">simultaneous resource </w:t>
      </w:r>
      <w:r w:rsidR="00893C69">
        <w:rPr>
          <w:rFonts w:ascii="Times New Roman" w:eastAsia="Malgun Gothic" w:hAnsi="Times New Roman"/>
          <w:i/>
          <w:sz w:val="20"/>
          <w:szCs w:val="20"/>
          <w:lang w:val="en-GB" w:eastAsia="zh-CN"/>
        </w:rPr>
        <w:t>configuration</w:t>
      </w:r>
      <w:r w:rsidRPr="009F19A9">
        <w:rPr>
          <w:rFonts w:ascii="Times New Roman" w:eastAsia="Malgun Gothic" w:hAnsi="Times New Roman"/>
          <w:i/>
          <w:sz w:val="20"/>
          <w:szCs w:val="20"/>
          <w:lang w:val="en-GB" w:eastAsia="zh-CN"/>
        </w:rPr>
        <w:t xml:space="preserve"> mode operation </w:t>
      </w:r>
      <w:r w:rsidR="00EF0A2B">
        <w:rPr>
          <w:rFonts w:ascii="Times New Roman" w:eastAsia="Malgun Gothic" w:hAnsi="Times New Roman"/>
          <w:i/>
          <w:sz w:val="20"/>
          <w:szCs w:val="20"/>
          <w:lang w:val="en-GB" w:eastAsia="zh-CN"/>
        </w:rPr>
        <w:t>regardless of UE’s RRC state</w:t>
      </w:r>
      <w:r w:rsidRPr="009F19A9">
        <w:rPr>
          <w:rFonts w:ascii="Times New Roman" w:eastAsia="Malgun Gothic" w:hAnsi="Times New Roman"/>
          <w:i/>
          <w:sz w:val="20"/>
          <w:szCs w:val="20"/>
          <w:lang w:val="en-GB" w:eastAsia="zh-CN"/>
        </w:rPr>
        <w:t>.</w:t>
      </w:r>
    </w:p>
    <w:p w14:paraId="05E81A5C" w14:textId="77777777"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448005B" w14:textId="13862A09"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order to enable</w:t>
      </w:r>
      <w:r w:rsidR="00452CFC">
        <w:rPr>
          <w:rFonts w:ascii="Times New Roman" w:eastAsia="MS Mincho" w:hAnsi="Times New Roman"/>
          <w:bCs/>
          <w:sz w:val="20"/>
          <w:szCs w:val="26"/>
          <w:lang w:val="en-GB" w:eastAsia="en-GB"/>
        </w:rPr>
        <w:t xml:space="preserve"> simultaneous mode operation</w:t>
      </w:r>
      <w:r>
        <w:rPr>
          <w:rFonts w:ascii="Times New Roman" w:eastAsia="MS Mincho" w:hAnsi="Times New Roman"/>
          <w:bCs/>
          <w:sz w:val="20"/>
          <w:szCs w:val="26"/>
          <w:lang w:val="en-GB" w:eastAsia="en-GB"/>
        </w:rPr>
        <w:t xml:space="preserve">, the V2X UE should initiate RRC connection establishment </w:t>
      </w:r>
      <w:r w:rsidR="00452CFC">
        <w:rPr>
          <w:rFonts w:ascii="Times New Roman" w:eastAsia="MS Mincho" w:hAnsi="Times New Roman"/>
          <w:bCs/>
          <w:sz w:val="20"/>
          <w:szCs w:val="26"/>
          <w:lang w:val="en-GB" w:eastAsia="en-GB"/>
        </w:rPr>
        <w:t xml:space="preserve">if in RRC_IDLE or RRC_INACTIVE </w:t>
      </w:r>
      <w:r>
        <w:rPr>
          <w:rFonts w:ascii="Times New Roman" w:eastAsia="MS Mincho" w:hAnsi="Times New Roman"/>
          <w:bCs/>
          <w:sz w:val="20"/>
          <w:szCs w:val="26"/>
          <w:lang w:val="en-GB" w:eastAsia="en-GB"/>
        </w:rPr>
        <w:t>as mode-1 is only possible in RRC_CONNECTED state. This can be achieved in one of the following ways:</w:t>
      </w:r>
    </w:p>
    <w:p w14:paraId="35894E79" w14:textId="77777777" w:rsidR="003A1B94" w:rsidRDefault="003A1B9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428118"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Option 1:</w:t>
      </w:r>
      <w:r>
        <w:rPr>
          <w:rFonts w:ascii="Times New Roman" w:eastAsia="MS Mincho" w:hAnsi="Times New Roman"/>
          <w:bCs/>
          <w:sz w:val="20"/>
          <w:szCs w:val="26"/>
          <w:lang w:val="en-GB" w:eastAsia="en-GB"/>
        </w:rPr>
        <w:t xml:space="preserve"> UE based RRC connection initiation for support of mode-1 when in-coverage (using a new establishment/resume cause value e.g. mo_V2X).</w:t>
      </w:r>
    </w:p>
    <w:p w14:paraId="175F4DFD" w14:textId="77777777" w:rsidR="001A58CB" w:rsidRPr="0000168E" w:rsidRDefault="001A58CB" w:rsidP="001A58CB">
      <w:pPr>
        <w:pStyle w:val="ListParagraph"/>
        <w:widowControl w:val="0"/>
        <w:numPr>
          <w:ilvl w:val="1"/>
          <w:numId w:val="8"/>
        </w:numPr>
        <w:tabs>
          <w:tab w:val="left" w:pos="907"/>
        </w:tabs>
        <w:spacing w:before="240" w:after="60" w:line="240" w:lineRule="auto"/>
        <w:ind w:left="99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incurs minimal signalling overhead as it is only initiated as necessary to support a specific QoS.  </w:t>
      </w:r>
    </w:p>
    <w:p w14:paraId="3E3F9556" w14:textId="77777777" w:rsidR="001A58CB" w:rsidRPr="00473F99" w:rsidRDefault="001A58CB" w:rsidP="001A58CB">
      <w:pPr>
        <w:pStyle w:val="ListParagraph"/>
        <w:widowControl w:val="0"/>
        <w:numPr>
          <w:ilvl w:val="1"/>
          <w:numId w:val="8"/>
        </w:numPr>
        <w:tabs>
          <w:tab w:val="left" w:pos="907"/>
          <w:tab w:val="left" w:pos="1440"/>
        </w:tabs>
        <w:spacing w:before="240" w:after="60" w:line="240" w:lineRule="auto"/>
        <w:ind w:left="900" w:hanging="27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is already supported as per LTE, however, not explicitly (as shown in the note below from TS 36.331, where it is left to UE implementation) while in NR, we could define a new cause value (establishment or resume cause value wherein multiple spares are available) as part of RRC setup request or RRC resume request messages. </w:t>
      </w:r>
    </w:p>
    <w:p w14:paraId="2850E773" w14:textId="77777777" w:rsidR="001A58CB" w:rsidRDefault="001A58CB" w:rsidP="001A58CB">
      <w:pPr>
        <w:pStyle w:val="ListParagraph"/>
        <w:widowControl w:val="0"/>
        <w:tabs>
          <w:tab w:val="left" w:pos="907"/>
          <w:tab w:val="left" w:pos="1440"/>
        </w:tabs>
        <w:spacing w:before="240" w:after="60" w:line="240" w:lineRule="auto"/>
        <w:ind w:left="90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42CBED23" w14:textId="77777777" w:rsidR="001A58CB" w:rsidRPr="00FE7D68" w:rsidRDefault="001A58CB" w:rsidP="001A58CB">
      <w:pPr>
        <w:pStyle w:val="NO"/>
        <w:ind w:hanging="415"/>
        <w:rPr>
          <w:lang w:val="en-GB"/>
        </w:rPr>
      </w:pPr>
      <w:r w:rsidRPr="00FE7D68">
        <w:rPr>
          <w:lang w:val="en-GB"/>
        </w:rPr>
        <w:t>NOTE:</w:t>
      </w:r>
      <w:r w:rsidRPr="00FE7D68">
        <w:rPr>
          <w:lang w:val="en-GB"/>
        </w:rPr>
        <w:tab/>
        <w:t>Upper layers initiate an RRC connection. The interaction with NAS is left to UE implementation.</w:t>
      </w:r>
    </w:p>
    <w:p w14:paraId="245520B2" w14:textId="77777777" w:rsidR="001A58CB" w:rsidRPr="00F40488" w:rsidRDefault="001A58CB" w:rsidP="001A58CB">
      <w:pPr>
        <w:pStyle w:val="ListParagraph"/>
        <w:widowControl w:val="0"/>
        <w:tabs>
          <w:tab w:val="left" w:pos="907"/>
          <w:tab w:val="left" w:pos="1440"/>
        </w:tabs>
        <w:spacing w:before="240" w:after="60" w:line="240" w:lineRule="auto"/>
        <w:ind w:left="900"/>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w:t>
      </w:r>
    </w:p>
    <w:p w14:paraId="70D4235A" w14:textId="77777777" w:rsidR="001A58CB" w:rsidRPr="009F19A9"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Pr>
          <w:rFonts w:ascii="Times New Roman" w:eastAsia="MS Mincho" w:hAnsi="Times New Roman"/>
          <w:b/>
          <w:bCs/>
          <w:sz w:val="20"/>
          <w:szCs w:val="26"/>
          <w:lang w:val="en-GB" w:eastAsia="en-GB"/>
        </w:rPr>
        <w:t>Option 2</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Network keeps the UE always in RRC_CONNECTED even when there is no data exchanged over the Uu link (as long as the UE is in-coverage)</w:t>
      </w:r>
    </w:p>
    <w:p w14:paraId="155D39F8"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As the V2X UEs are expected to perform a lot of handovers, this might incur additional signalling overhead, but would ensure the necessary QoS for the given advanced use case.</w:t>
      </w:r>
    </w:p>
    <w:p w14:paraId="3485A5C1"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 xml:space="preserve">UE can suggest its required QoS parameters for a given service (and thereby if it prefers mode-1 operation) via UE assistance information to ensure that the network allows the UE to stay in connected mode. </w:t>
      </w:r>
    </w:p>
    <w:p w14:paraId="06349B9B" w14:textId="77777777" w:rsidR="001A58CB" w:rsidRPr="009F19A9" w:rsidRDefault="001A58CB" w:rsidP="001A58CB">
      <w:pPr>
        <w:pStyle w:val="ListParagraph"/>
        <w:widowControl w:val="0"/>
        <w:tabs>
          <w:tab w:val="left" w:pos="907"/>
        </w:tabs>
        <w:spacing w:before="240" w:after="60" w:line="240" w:lineRule="auto"/>
        <w:ind w:left="900"/>
        <w:outlineLvl w:val="2"/>
        <w:rPr>
          <w:rFonts w:ascii="Arial" w:eastAsia="MS Mincho" w:hAnsi="Arial" w:cs="Arial"/>
          <w:bCs/>
          <w:sz w:val="26"/>
          <w:szCs w:val="26"/>
          <w:lang w:val="en-GB" w:eastAsia="en-GB"/>
        </w:rPr>
      </w:pPr>
    </w:p>
    <w:p w14:paraId="2B424F85"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 xml:space="preserve">Option </w:t>
      </w:r>
      <w:r>
        <w:rPr>
          <w:rFonts w:ascii="Times New Roman" w:eastAsia="MS Mincho" w:hAnsi="Times New Roman"/>
          <w:b/>
          <w:bCs/>
          <w:sz w:val="20"/>
          <w:szCs w:val="26"/>
          <w:lang w:val="en-GB" w:eastAsia="en-GB"/>
        </w:rPr>
        <w:t>3</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UE could continue to maintain a signalling-only connection with the network.</w:t>
      </w:r>
    </w:p>
    <w:p w14:paraId="29F15C5D" w14:textId="3615589F" w:rsidR="001A58CB" w:rsidRPr="009F19A9" w:rsidRDefault="001A58CB" w:rsidP="001A58CB">
      <w:pPr>
        <w:pStyle w:val="ListParagraph"/>
        <w:widowControl w:val="0"/>
        <w:numPr>
          <w:ilvl w:val="1"/>
          <w:numId w:val="8"/>
        </w:numPr>
        <w:tabs>
          <w:tab w:val="left" w:pos="907"/>
        </w:tabs>
        <w:spacing w:before="240" w:after="60" w:line="240" w:lineRule="auto"/>
        <w:ind w:left="81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This would ensure that there is minimal delay in switching modes (avoiding connection establishment) while also reducing signalling overhead. Currently, the signalling-only connection [R2-181896</w:t>
      </w:r>
      <w:r w:rsidR="0095202F">
        <w:rPr>
          <w:rFonts w:ascii="Times New Roman" w:eastAsia="MS Mincho" w:hAnsi="Times New Roman"/>
          <w:bCs/>
          <w:sz w:val="20"/>
          <w:szCs w:val="26"/>
          <w:lang w:val="en-GB" w:eastAsia="en-GB"/>
        </w:rPr>
        <w:t>1</w:t>
      </w:r>
      <w:r w:rsidRPr="009F19A9">
        <w:rPr>
          <w:rFonts w:ascii="Times New Roman" w:eastAsia="MS Mincho" w:hAnsi="Times New Roman"/>
          <w:bCs/>
          <w:sz w:val="20"/>
          <w:szCs w:val="26"/>
          <w:lang w:val="en-GB" w:eastAsia="en-GB"/>
        </w:rPr>
        <w:t xml:space="preserve">] does not support handovers and RRC_INACTIVE state, however, we could introduce the necessary changes to support V2X use case.  </w:t>
      </w:r>
    </w:p>
    <w:p w14:paraId="2B71145C" w14:textId="77777777" w:rsidR="001A58CB" w:rsidRPr="007B6076" w:rsidRDefault="001A58CB" w:rsidP="001A58CB">
      <w:pPr>
        <w:pStyle w:val="ListParagraph"/>
        <w:widowControl w:val="0"/>
        <w:numPr>
          <w:ilvl w:val="2"/>
          <w:numId w:val="8"/>
        </w:numPr>
        <w:tabs>
          <w:tab w:val="left" w:pos="907"/>
        </w:tabs>
        <w:spacing w:before="240" w:after="60" w:line="240" w:lineRule="auto"/>
        <w:ind w:left="1530" w:hanging="27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w:t>
      </w:r>
      <w:r w:rsidRPr="007B6076">
        <w:rPr>
          <w:rFonts w:ascii="Times New Roman" w:eastAsia="MS Mincho" w:hAnsi="Times New Roman"/>
          <w:bCs/>
          <w:sz w:val="20"/>
          <w:szCs w:val="26"/>
          <w:lang w:val="en-GB" w:eastAsia="en-GB"/>
        </w:rPr>
        <w:t xml:space="preserve">s </w:t>
      </w:r>
      <w:r>
        <w:rPr>
          <w:rFonts w:ascii="Times New Roman" w:eastAsia="MS Mincho" w:hAnsi="Times New Roman"/>
          <w:bCs/>
          <w:sz w:val="20"/>
          <w:szCs w:val="26"/>
          <w:lang w:val="en-GB" w:eastAsia="en-GB"/>
        </w:rPr>
        <w:t xml:space="preserve">stated in option 2, </w:t>
      </w:r>
      <w:r w:rsidRPr="007B6076">
        <w:rPr>
          <w:rFonts w:ascii="Times New Roman" w:eastAsia="MS Mincho" w:hAnsi="Times New Roman"/>
          <w:bCs/>
          <w:sz w:val="20"/>
          <w:szCs w:val="26"/>
          <w:lang w:val="en-GB" w:eastAsia="en-GB"/>
        </w:rPr>
        <w:t xml:space="preserve">the V2X UEs are expected to perform a lot of handovers, </w:t>
      </w:r>
      <w:r>
        <w:rPr>
          <w:rFonts w:ascii="Times New Roman" w:eastAsia="MS Mincho" w:hAnsi="Times New Roman"/>
          <w:bCs/>
          <w:sz w:val="20"/>
          <w:szCs w:val="26"/>
          <w:lang w:val="en-GB" w:eastAsia="en-GB"/>
        </w:rPr>
        <w:t xml:space="preserve">therefore, </w:t>
      </w:r>
      <w:r w:rsidRPr="007B6076">
        <w:rPr>
          <w:rFonts w:ascii="Times New Roman" w:eastAsia="MS Mincho" w:hAnsi="Times New Roman"/>
          <w:bCs/>
          <w:sz w:val="20"/>
          <w:szCs w:val="26"/>
          <w:lang w:val="en-GB" w:eastAsia="en-GB"/>
        </w:rPr>
        <w:t>this might incur additional signalling overhead</w:t>
      </w:r>
      <w:r>
        <w:rPr>
          <w:rFonts w:ascii="Times New Roman" w:eastAsia="MS Mincho" w:hAnsi="Times New Roman"/>
          <w:bCs/>
          <w:sz w:val="20"/>
          <w:szCs w:val="26"/>
          <w:lang w:val="en-GB" w:eastAsia="en-GB"/>
        </w:rPr>
        <w:t xml:space="preserve"> (unless optimizations are done)</w:t>
      </w:r>
      <w:r w:rsidRPr="007B6076">
        <w:rPr>
          <w:rFonts w:ascii="Times New Roman" w:eastAsia="MS Mincho" w:hAnsi="Times New Roman"/>
          <w:bCs/>
          <w:sz w:val="20"/>
          <w:szCs w:val="26"/>
          <w:lang w:val="en-GB" w:eastAsia="en-GB"/>
        </w:rPr>
        <w:t>, but would ensure the necessary QoS for the given advanced use case.</w:t>
      </w:r>
    </w:p>
    <w:p w14:paraId="2B60C8D7" w14:textId="771B000C" w:rsidR="00DF5A46" w:rsidRDefault="001A58CB" w:rsidP="001A58CB">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simultaneous resource </w:t>
      </w:r>
      <w:r w:rsidR="007C49EA">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p>
    <w:p w14:paraId="4C5B52C6" w14:textId="1E474A15" w:rsidR="00C9343D" w:rsidRPr="00C9343D" w:rsidRDefault="00C9343D" w:rsidP="00C9343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C9343D">
        <w:rPr>
          <w:rFonts w:ascii="Arial" w:eastAsia="MS Mincho" w:hAnsi="Arial" w:cs="Arial"/>
          <w:bCs/>
          <w:sz w:val="26"/>
          <w:szCs w:val="26"/>
          <w:lang w:val="en-GB" w:eastAsia="en-GB"/>
        </w:rPr>
        <w:t>BSR Updates</w:t>
      </w:r>
    </w:p>
    <w:p w14:paraId="4D7BB7CE" w14:textId="05B9FDE8" w:rsidR="00C9343D" w:rsidRP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In order to support simultaneous mode, certain MAC level changes </w:t>
      </w:r>
      <w:r w:rsidR="00795189">
        <w:rPr>
          <w:rFonts w:ascii="Times New Roman" w:eastAsia="MS Mincho" w:hAnsi="Times New Roman"/>
          <w:bCs/>
          <w:sz w:val="20"/>
          <w:szCs w:val="26"/>
          <w:lang w:val="en-GB" w:eastAsia="en-GB"/>
        </w:rPr>
        <w:t xml:space="preserve">related to BSR </w:t>
      </w:r>
      <w:r w:rsidRPr="00C24837">
        <w:rPr>
          <w:rFonts w:ascii="Times New Roman" w:eastAsia="MS Mincho" w:hAnsi="Times New Roman"/>
          <w:bCs/>
          <w:sz w:val="20"/>
          <w:szCs w:val="26"/>
          <w:lang w:val="en-GB" w:eastAsia="en-GB"/>
        </w:rPr>
        <w:t xml:space="preserve">are to be made. As per TS 36.321, for LTE V2X, the following suggests that when mode2 is selected, sidelink BSR and corresponding timers are cancelled. </w:t>
      </w:r>
    </w:p>
    <w:p w14:paraId="74BE2463" w14:textId="3EBB5954"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“All triggered Sidelink BSRs shall be cancelled, and retx-BSR-TimerSL and periodic-BSR-TimerSL shall be stopped, when upper layers configure</w:t>
      </w:r>
      <w:r w:rsidR="000E5E66">
        <w:rPr>
          <w:rFonts w:ascii="Times New Roman" w:eastAsia="MS Mincho" w:hAnsi="Times New Roman"/>
          <w:bCs/>
          <w:sz w:val="20"/>
          <w:szCs w:val="26"/>
          <w:lang w:val="en-GB" w:eastAsia="en-GB"/>
        </w:rPr>
        <w:t xml:space="preserve"> autonomous resource selection.”</w:t>
      </w:r>
    </w:p>
    <w:p w14:paraId="5C587011" w14:textId="6CE92A99" w:rsidR="00795189" w:rsidRDefault="00795189" w:rsidP="007F50BE">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lastRenderedPageBreak/>
        <w:t>Observation 1</w:t>
      </w:r>
      <w:r w:rsidRPr="008B10E6">
        <w:rPr>
          <w:rFonts w:ascii="Times New Roman" w:eastAsia="Malgun Gothic" w:hAnsi="Times New Roman"/>
          <w:sz w:val="20"/>
          <w:szCs w:val="20"/>
          <w:lang w:val="en-GB" w:eastAsia="zh-CN"/>
        </w:rPr>
        <w:t xml:space="preserve">: </w:t>
      </w:r>
      <w:r w:rsidR="007F50BE">
        <w:rPr>
          <w:rFonts w:ascii="Times New Roman" w:eastAsia="Malgun Gothic" w:hAnsi="Times New Roman"/>
          <w:sz w:val="20"/>
          <w:szCs w:val="20"/>
          <w:lang w:val="en-GB" w:eastAsia="zh-CN"/>
        </w:rPr>
        <w:tab/>
      </w:r>
      <w:r w:rsidR="007F50BE">
        <w:rPr>
          <w:rFonts w:ascii="Times New Roman" w:eastAsia="Malgun Gothic" w:hAnsi="Times New Roman"/>
          <w:i/>
          <w:sz w:val="20"/>
          <w:szCs w:val="20"/>
          <w:lang w:val="en-GB" w:eastAsia="zh-CN"/>
        </w:rPr>
        <w:t xml:space="preserve">In LTE V2X, only one resource selection mode is active at any given time and triggered sidelink BSR is cancelled when switched from scheduled to autonomous mode. </w:t>
      </w:r>
      <w:r w:rsidR="007F50BE">
        <w:rPr>
          <w:rFonts w:ascii="Times New Roman" w:eastAsia="Malgun Gothic" w:hAnsi="Times New Roman"/>
          <w:i/>
          <w:sz w:val="20"/>
          <w:szCs w:val="20"/>
          <w:lang w:val="en-GB" w:eastAsia="zh-CN"/>
        </w:rPr>
        <w:tab/>
      </w:r>
    </w:p>
    <w:p w14:paraId="59519E20" w14:textId="48141D94"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NR V2X, when both scheduled mode and autonomous mode are configured, it is easiest to allocate and use different LCG IDs for each of the modes even as they might have similar priority. In this way, the buffer size of the sidelink BSR can </w:t>
      </w:r>
      <w:r w:rsidR="007F50BE">
        <w:rPr>
          <w:rFonts w:ascii="Times New Roman" w:eastAsia="MS Mincho" w:hAnsi="Times New Roman"/>
          <w:bCs/>
          <w:sz w:val="20"/>
          <w:szCs w:val="26"/>
          <w:lang w:val="en-GB" w:eastAsia="en-GB"/>
        </w:rPr>
        <w:t xml:space="preserve">easily </w:t>
      </w:r>
      <w:r>
        <w:rPr>
          <w:rFonts w:ascii="Times New Roman" w:eastAsia="MS Mincho" w:hAnsi="Times New Roman"/>
          <w:bCs/>
          <w:sz w:val="20"/>
          <w:szCs w:val="26"/>
          <w:lang w:val="en-GB" w:eastAsia="en-GB"/>
        </w:rPr>
        <w:t>take into account only the logical channels with scheduled mode requests. If the MAC entity receives information that the mode of a specific SL radio bearer is being switched from scheduled to autonomous, the triggered sidelink BSR needs to be correspondingly cancel</w:t>
      </w:r>
      <w:r w:rsidR="00795189">
        <w:rPr>
          <w:rFonts w:ascii="Times New Roman" w:eastAsia="MS Mincho" w:hAnsi="Times New Roman"/>
          <w:bCs/>
          <w:sz w:val="20"/>
          <w:szCs w:val="26"/>
          <w:lang w:val="en-GB" w:eastAsia="en-GB"/>
        </w:rPr>
        <w:t>l</w:t>
      </w:r>
      <w:r>
        <w:rPr>
          <w:rFonts w:ascii="Times New Roman" w:eastAsia="MS Mincho" w:hAnsi="Times New Roman"/>
          <w:bCs/>
          <w:sz w:val="20"/>
          <w:szCs w:val="26"/>
          <w:lang w:val="en-GB" w:eastAsia="en-GB"/>
        </w:rPr>
        <w:t xml:space="preserve">ed. </w:t>
      </w:r>
    </w:p>
    <w:p w14:paraId="3689E6BB" w14:textId="3DE56C4F" w:rsidR="007F50BE" w:rsidRDefault="007F50BE"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resource selection mode can be configured by the gNB for in-coverage case or chosen by the UE</w:t>
      </w:r>
      <w:r w:rsidR="00E608C0">
        <w:rPr>
          <w:rFonts w:ascii="Times New Roman" w:eastAsia="MS Mincho" w:hAnsi="Times New Roman"/>
          <w:bCs/>
          <w:sz w:val="20"/>
          <w:szCs w:val="26"/>
          <w:lang w:val="en-GB" w:eastAsia="en-GB"/>
        </w:rPr>
        <w:t xml:space="preserve"> for out-of-coverage case</w:t>
      </w:r>
      <w:r>
        <w:rPr>
          <w:rFonts w:ascii="Times New Roman" w:eastAsia="MS Mincho" w:hAnsi="Times New Roman"/>
          <w:bCs/>
          <w:sz w:val="20"/>
          <w:szCs w:val="26"/>
          <w:lang w:val="en-GB" w:eastAsia="en-GB"/>
        </w:rPr>
        <w:t xml:space="preserve">. This mode can be selected on a per-SL RB level </w:t>
      </w:r>
      <w:r w:rsidR="00E608C0">
        <w:rPr>
          <w:rFonts w:ascii="Times New Roman" w:eastAsia="MS Mincho" w:hAnsi="Times New Roman"/>
          <w:bCs/>
          <w:sz w:val="20"/>
          <w:szCs w:val="26"/>
          <w:lang w:val="en-GB" w:eastAsia="en-GB"/>
        </w:rPr>
        <w:t xml:space="preserve">(for simplicity) </w:t>
      </w:r>
      <w:r>
        <w:rPr>
          <w:rFonts w:ascii="Times New Roman" w:eastAsia="MS Mincho" w:hAnsi="Times New Roman"/>
          <w:bCs/>
          <w:sz w:val="20"/>
          <w:szCs w:val="26"/>
          <w:lang w:val="en-GB" w:eastAsia="en-GB"/>
        </w:rPr>
        <w:t xml:space="preserve">or per-SL </w:t>
      </w:r>
      <w:r w:rsidR="00E608C0">
        <w:rPr>
          <w:rFonts w:ascii="Times New Roman" w:eastAsia="MS Mincho" w:hAnsi="Times New Roman"/>
          <w:bCs/>
          <w:sz w:val="20"/>
          <w:szCs w:val="26"/>
          <w:lang w:val="en-GB" w:eastAsia="en-GB"/>
        </w:rPr>
        <w:t xml:space="preserve">LCG or </w:t>
      </w:r>
      <w:r>
        <w:rPr>
          <w:rFonts w:ascii="Times New Roman" w:eastAsia="MS Mincho" w:hAnsi="Times New Roman"/>
          <w:bCs/>
          <w:sz w:val="20"/>
          <w:szCs w:val="26"/>
          <w:lang w:val="en-GB" w:eastAsia="en-GB"/>
        </w:rPr>
        <w:t xml:space="preserve">LCH level. This can be further studied once mode 1 and mode 2 operations are fully defined and how a MAC PDU is constructed is finalized. </w:t>
      </w:r>
    </w:p>
    <w:p w14:paraId="1DB1AAB7" w14:textId="77777777" w:rsidR="00E608C0" w:rsidRDefault="007F50BE"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S Mincho" w:hAnsi="Times New Roman"/>
          <w:bCs/>
          <w:sz w:val="20"/>
          <w:szCs w:val="26"/>
          <w:lang w:val="en-GB" w:eastAsia="en-GB"/>
        </w:rPr>
        <w:t xml:space="preserve"> </w:t>
      </w:r>
      <w:r w:rsidR="00E608C0">
        <w:rPr>
          <w:rFonts w:ascii="Times New Roman" w:eastAsia="Malgun Gothic" w:hAnsi="Times New Roman"/>
          <w:b/>
          <w:sz w:val="20"/>
          <w:szCs w:val="20"/>
          <w:lang w:val="en-GB" w:eastAsia="zh-CN"/>
        </w:rPr>
        <w:t>Observation</w:t>
      </w:r>
      <w:r>
        <w:rPr>
          <w:rFonts w:ascii="Times New Roman" w:eastAsia="Malgun Gothic" w:hAnsi="Times New Roman"/>
          <w:b/>
          <w:sz w:val="20"/>
          <w:szCs w:val="20"/>
          <w:lang w:val="en-GB" w:eastAsia="zh-CN"/>
        </w:rPr>
        <w:t xml:space="preserve"> </w:t>
      </w:r>
      <w:r w:rsidR="00E608C0">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In NR V2X, appropriate SL LCH</w:t>
      </w:r>
      <w:r w:rsidR="00E608C0">
        <w:rPr>
          <w:rFonts w:ascii="Times New Roman" w:eastAsia="Malgun Gothic" w:hAnsi="Times New Roman"/>
          <w:i/>
          <w:sz w:val="20"/>
          <w:szCs w:val="20"/>
          <w:lang w:val="en-GB" w:eastAsia="zh-CN"/>
        </w:rPr>
        <w:t xml:space="preserve"> ID</w:t>
      </w:r>
      <w:r>
        <w:rPr>
          <w:rFonts w:ascii="Times New Roman" w:eastAsia="Malgun Gothic" w:hAnsi="Times New Roman"/>
          <w:i/>
          <w:sz w:val="20"/>
          <w:szCs w:val="20"/>
          <w:lang w:val="en-GB" w:eastAsia="zh-CN"/>
        </w:rPr>
        <w:t xml:space="preserve"> and LCG ID mapping </w:t>
      </w:r>
      <w:r w:rsidR="00E608C0">
        <w:rPr>
          <w:rFonts w:ascii="Times New Roman" w:eastAsia="Malgun Gothic" w:hAnsi="Times New Roman"/>
          <w:i/>
          <w:sz w:val="20"/>
          <w:szCs w:val="20"/>
          <w:lang w:val="en-GB" w:eastAsia="zh-CN"/>
        </w:rPr>
        <w:t>may be needed to differentiate scheduled and autonomous modes and the sidelink BSR should only consider scheduled mode requests in its buffer size calculation if configuration of specific mode is done at per SL LCH level.</w:t>
      </w:r>
      <w:r>
        <w:rPr>
          <w:rFonts w:ascii="Times New Roman" w:eastAsia="Malgun Gothic" w:hAnsi="Times New Roman"/>
          <w:i/>
          <w:sz w:val="20"/>
          <w:szCs w:val="20"/>
          <w:lang w:val="en-GB" w:eastAsia="zh-CN"/>
        </w:rPr>
        <w:t xml:space="preserve"> </w:t>
      </w:r>
    </w:p>
    <w:p w14:paraId="46BF831E" w14:textId="0F96B679" w:rsidR="007F50BE" w:rsidRDefault="00E608C0"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7F50BE">
        <w:rPr>
          <w:rFonts w:ascii="Times New Roman" w:eastAsia="Malgun Gothic" w:hAnsi="Times New Roman"/>
          <w:i/>
          <w:sz w:val="20"/>
          <w:szCs w:val="20"/>
          <w:lang w:val="en-GB" w:eastAsia="zh-CN"/>
        </w:rPr>
        <w:t>It is FFS whether the configuration of mode is done at per-SL radio bearer level or per-LCH</w:t>
      </w:r>
      <w:r>
        <w:rPr>
          <w:rFonts w:ascii="Times New Roman" w:eastAsia="Malgun Gothic" w:hAnsi="Times New Roman"/>
          <w:i/>
          <w:sz w:val="20"/>
          <w:szCs w:val="20"/>
          <w:lang w:val="en-GB" w:eastAsia="zh-CN"/>
        </w:rPr>
        <w:t xml:space="preserve"> or per-LCG</w:t>
      </w:r>
      <w:r w:rsidR="007F50BE">
        <w:rPr>
          <w:rFonts w:ascii="Times New Roman" w:eastAsia="Malgun Gothic" w:hAnsi="Times New Roman"/>
          <w:i/>
          <w:sz w:val="20"/>
          <w:szCs w:val="20"/>
          <w:lang w:val="en-GB" w:eastAsia="zh-CN"/>
        </w:rPr>
        <w:t xml:space="preserve"> level. </w:t>
      </w:r>
    </w:p>
    <w:p w14:paraId="33F4A83E" w14:textId="77777777" w:rsidR="0047248C" w:rsidRDefault="0047248C" w:rsidP="0047248C">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Switching modes</w:t>
      </w:r>
    </w:p>
    <w:p w14:paraId="4BE7288A" w14:textId="77777777" w:rsidR="0047248C" w:rsidRDefault="0047248C" w:rsidP="0047248C">
      <w:pPr>
        <w:pStyle w:val="ListParagraph"/>
        <w:ind w:left="0" w:firstLine="18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When simultaneous resource allocation mode is supported, it needs to be discussed about which layer or entity is responsible for deciding the specific resource allocation mode to be used for a given service. This can be suggested by the network in a deterministic way or it can be pre-configured or potentially hinted by the upper layers dynamically. The classification of whether the incoming data can use mode-1 only or mode-2 only or both modes can be done on per-packet or per-flow or per-service basis although if done on a per-packet basis, it might incur a lot of overhead e.g. BSR updates and processing. If the data is classified to be supportive of either modes, it may be up to the network configuration or UE implementation to switch the mode. This can be treated as configuration information similar to SL RB configuration and thereby NW-controlled when in-coverage and connected mode; and UE-initiated when in-coverage but in idle or inactive mode. </w:t>
      </w:r>
    </w:p>
    <w:p w14:paraId="7E0B240D" w14:textId="1739BFB3" w:rsidR="0047248C" w:rsidRPr="00896764" w:rsidRDefault="0047248C" w:rsidP="0047248C">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Proposal 4</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and decide between the following options for specifying preferred mode to the AS layer while in-coverage: a) Upper layer provides the information on a per-packet or per-flow or per-service basis b) gNB provides the information on a per-flow or per-service basis.</w:t>
      </w:r>
    </w:p>
    <w:p w14:paraId="0C72F279" w14:textId="6080771A" w:rsidR="0047248C" w:rsidRPr="00B71CD3" w:rsidRDefault="0047248C" w:rsidP="0047248C">
      <w:pPr>
        <w:pStyle w:val="ListParagraph"/>
        <w:ind w:left="0"/>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The easiest methodology is to always use mode-1 when in-coverage and mode-2 when out-of-coverage. However, this is not always the best approach due to the support of services with varying QoS requirements (e.g. stringent delay with relaxed reliability or relaxed delay with stringent delay and data rate). It is sometimes more effective to use mode-2 even while in-coverage as there could be minimal delay in obtaining resources and sending the data packet. Some companies suggested that mode-1 can be used for licensed operations while mode-2 can be used for unlicensed operations wherein switching between modes is not needed but certain sidelink enhancements e.g. BSR updates are necessary to support the simultaneous operation. The network may maintain the mapping between the specific QoS and authorized services that are supported by the UE to determine UE’s request to use a specific mode and suggest a change in mode accordingly. If this mapping between PQI/service type and preferred mode can be pre-configured in the UE or made available to the AS layer as discussed in proposal 4, the UE can then use the information to determine when to switch while in-coverage but in idle or inactive state i.e. from mode 2 to mode 1 and initiate RRC connection. </w:t>
      </w:r>
    </w:p>
    <w:p w14:paraId="30CCC73A" w14:textId="11D50767" w:rsidR="0047248C" w:rsidRPr="00F40488" w:rsidRDefault="0047248C" w:rsidP="0047248C">
      <w:pPr>
        <w:widowControl w:val="0"/>
        <w:tabs>
          <w:tab w:val="left" w:pos="907"/>
        </w:tabs>
        <w:spacing w:before="240" w:after="60" w:line="240" w:lineRule="auto"/>
        <w:ind w:left="1440" w:hanging="1440"/>
        <w:outlineLvl w:val="2"/>
        <w:rPr>
          <w:lang w:val="en-GB" w:eastAsia="en-GB"/>
        </w:rPr>
      </w:pPr>
      <w:r>
        <w:rPr>
          <w:rFonts w:ascii="Times New Roman" w:eastAsia="Malgun Gothic" w:hAnsi="Times New Roman"/>
          <w:b/>
          <w:sz w:val="20"/>
          <w:szCs w:val="20"/>
          <w:lang w:val="en-GB" w:eastAsia="zh-CN"/>
        </w:rPr>
        <w:t>Proposal 5</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w:t>
      </w:r>
      <w:r>
        <w:rPr>
          <w:rFonts w:ascii="Times New Roman" w:eastAsia="Malgun Gothic" w:hAnsi="Times New Roman"/>
          <w:i/>
          <w:sz w:val="20"/>
          <w:szCs w:val="20"/>
          <w:lang w:val="en-GB" w:eastAsia="zh-CN"/>
        </w:rPr>
        <w:t>NW</w:t>
      </w:r>
      <w:r w:rsidRPr="009F19A9">
        <w:rPr>
          <w:rFonts w:ascii="Times New Roman" w:eastAsia="Malgun Gothic" w:hAnsi="Times New Roman"/>
          <w:i/>
          <w:sz w:val="20"/>
          <w:szCs w:val="20"/>
          <w:lang w:val="en-GB" w:eastAsia="zh-CN"/>
        </w:rPr>
        <w:t xml:space="preserve">-controlled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UE-initiated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switching</w:t>
      </w:r>
      <w:r>
        <w:rPr>
          <w:rFonts w:ascii="Times New Roman" w:eastAsia="Malgun Gothic" w:hAnsi="Times New Roman"/>
          <w:i/>
          <w:sz w:val="20"/>
          <w:szCs w:val="20"/>
          <w:lang w:val="en-GB" w:eastAsia="zh-CN"/>
        </w:rPr>
        <w:t xml:space="preserve"> using the available mapping information </w:t>
      </w:r>
      <w:r w:rsidRPr="009F19A9">
        <w:rPr>
          <w:rFonts w:ascii="Times New Roman" w:eastAsia="Malgun Gothic" w:hAnsi="Times New Roman"/>
          <w:i/>
          <w:sz w:val="20"/>
          <w:szCs w:val="20"/>
          <w:lang w:val="en-GB" w:eastAsia="zh-CN"/>
        </w:rPr>
        <w:t xml:space="preserve">when the V2X UE is in-coverage and </w:t>
      </w:r>
      <w:r>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380F09B8" w14:textId="77777777" w:rsidR="0047248C" w:rsidRPr="00C24837" w:rsidRDefault="0047248C"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lastRenderedPageBreak/>
        <w:t>Conclusion</w:t>
      </w:r>
    </w:p>
    <w:p w14:paraId="2C9A0A72" w14:textId="3A9929E0"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mode1 and mode2 </w:t>
      </w:r>
      <w:r w:rsidR="001A58CB">
        <w:rPr>
          <w:rFonts w:ascii="Times New Roman" w:eastAsia="Times New Roman" w:hAnsi="Times New Roman"/>
          <w:bCs/>
          <w:sz w:val="20"/>
          <w:szCs w:val="20"/>
          <w:lang w:val="en-GB" w:eastAsia="zh-CN"/>
        </w:rPr>
        <w:t>simu</w:t>
      </w:r>
      <w:r w:rsidR="00064677">
        <w:rPr>
          <w:rFonts w:ascii="Times New Roman" w:eastAsia="Times New Roman" w:hAnsi="Times New Roman"/>
          <w:bCs/>
          <w:sz w:val="20"/>
          <w:szCs w:val="20"/>
          <w:lang w:val="en-GB" w:eastAsia="zh-CN"/>
        </w:rPr>
        <w:t xml:space="preserve">ltaneous resource </w:t>
      </w:r>
      <w:r w:rsidR="001A58CB">
        <w:rPr>
          <w:rFonts w:ascii="Times New Roman" w:eastAsia="Times New Roman" w:hAnsi="Times New Roman"/>
          <w:bCs/>
          <w:sz w:val="20"/>
          <w:szCs w:val="20"/>
          <w:lang w:val="en-GB" w:eastAsia="zh-CN"/>
        </w:rPr>
        <w:t>configura</w:t>
      </w:r>
      <w:r w:rsidR="00064677">
        <w:rPr>
          <w:rFonts w:ascii="Times New Roman" w:eastAsia="Times New Roman" w:hAnsi="Times New Roman"/>
          <w:bCs/>
          <w:sz w:val="20"/>
          <w:szCs w:val="20"/>
          <w:lang w:val="en-GB" w:eastAsia="zh-CN"/>
        </w:rPr>
        <w:t>tion mode operation</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and have the following</w:t>
      </w:r>
      <w:r w:rsidR="0047248C">
        <w:rPr>
          <w:rFonts w:ascii="Times New Roman" w:eastAsia="Times New Roman" w:hAnsi="Times New Roman"/>
          <w:bCs/>
          <w:sz w:val="20"/>
          <w:szCs w:val="20"/>
          <w:lang w:val="en-GB" w:eastAsia="zh-CN"/>
        </w:rPr>
        <w:t xml:space="preserve"> observations and</w:t>
      </w:r>
      <w:r w:rsidR="0054408E">
        <w:rPr>
          <w:rFonts w:ascii="Times New Roman" w:eastAsia="Times New Roman" w:hAnsi="Times New Roman"/>
          <w:bCs/>
          <w:sz w:val="20"/>
          <w:szCs w:val="20"/>
          <w:lang w:val="en-GB" w:eastAsia="zh-CN"/>
        </w:rPr>
        <w:t xml:space="preserve">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23E09E89" w14:textId="77777777" w:rsidR="00E608C0" w:rsidRDefault="00E608C0"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Observation 1</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In LTE V2X, only one resource selection mode is active at any given time and triggered sidelink BSR is cancelled when switched from scheduled to autonomous mode. </w:t>
      </w:r>
      <w:r>
        <w:rPr>
          <w:rFonts w:ascii="Times New Roman" w:eastAsia="Malgun Gothic" w:hAnsi="Times New Roman"/>
          <w:i/>
          <w:sz w:val="20"/>
          <w:szCs w:val="20"/>
          <w:lang w:val="en-GB" w:eastAsia="zh-CN"/>
        </w:rPr>
        <w:tab/>
      </w:r>
    </w:p>
    <w:p w14:paraId="37942B07" w14:textId="77777777" w:rsidR="00E608C0" w:rsidRDefault="00E608C0"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 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In NR V2X, appropriate SL LCH ID and LCG ID mapping may be needed to differentiate scheduled and autonomous modes and the sidelink BSR should only consider scheduled mode requests in its buffer size calculation if configuration of specific mode is done at per SL LCH level. </w:t>
      </w:r>
    </w:p>
    <w:p w14:paraId="713384F7" w14:textId="0556F69E" w:rsidR="0083271F" w:rsidRPr="00896764" w:rsidRDefault="001A58CB" w:rsidP="0083271F">
      <w:pPr>
        <w:ind w:left="1440" w:hanging="1440"/>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8A7C97" w:rsidRPr="009F19A9">
        <w:rPr>
          <w:rFonts w:ascii="Times New Roman" w:eastAsia="Malgun Gothic" w:hAnsi="Times New Roman"/>
          <w:i/>
          <w:sz w:val="20"/>
          <w:szCs w:val="20"/>
          <w:lang w:val="en-GB" w:eastAsia="zh-CN"/>
        </w:rPr>
        <w:t xml:space="preserve">RAN2 to </w:t>
      </w:r>
      <w:r w:rsidR="008A7C97">
        <w:rPr>
          <w:rFonts w:ascii="Times New Roman" w:eastAsia="Malgun Gothic" w:hAnsi="Times New Roman"/>
          <w:i/>
          <w:sz w:val="20"/>
          <w:szCs w:val="20"/>
          <w:lang w:val="en-GB" w:eastAsia="zh-CN"/>
        </w:rPr>
        <w:t>enable</w:t>
      </w:r>
      <w:r w:rsidR="008A7C97" w:rsidRPr="009F19A9">
        <w:rPr>
          <w:rFonts w:ascii="Times New Roman" w:eastAsia="Malgun Gothic" w:hAnsi="Times New Roman"/>
          <w:i/>
          <w:sz w:val="20"/>
          <w:szCs w:val="20"/>
          <w:lang w:val="en-GB" w:eastAsia="zh-CN"/>
        </w:rPr>
        <w:t xml:space="preserve"> simultaneous resource </w:t>
      </w:r>
      <w:r w:rsidR="008A7C97">
        <w:rPr>
          <w:rFonts w:ascii="Times New Roman" w:eastAsia="Malgun Gothic" w:hAnsi="Times New Roman"/>
          <w:i/>
          <w:sz w:val="20"/>
          <w:szCs w:val="20"/>
          <w:lang w:val="en-GB" w:eastAsia="zh-CN"/>
        </w:rPr>
        <w:t>configuration</w:t>
      </w:r>
      <w:r w:rsidR="008A7C97" w:rsidRPr="009F19A9">
        <w:rPr>
          <w:rFonts w:ascii="Times New Roman" w:eastAsia="Malgun Gothic" w:hAnsi="Times New Roman"/>
          <w:i/>
          <w:sz w:val="20"/>
          <w:szCs w:val="20"/>
          <w:lang w:val="en-GB" w:eastAsia="zh-CN"/>
        </w:rPr>
        <w:t xml:space="preserve"> mode operation </w:t>
      </w:r>
      <w:r w:rsidR="008A7C97">
        <w:rPr>
          <w:rFonts w:ascii="Times New Roman" w:eastAsia="Malgun Gothic" w:hAnsi="Times New Roman"/>
          <w:i/>
          <w:sz w:val="20"/>
          <w:szCs w:val="20"/>
          <w:lang w:val="en-GB" w:eastAsia="zh-CN"/>
        </w:rPr>
        <w:t>regardless of UE’s RRC state</w:t>
      </w:r>
      <w:r w:rsidR="008A7C97" w:rsidRPr="009F19A9">
        <w:rPr>
          <w:rFonts w:ascii="Times New Roman" w:eastAsia="Malgun Gothic" w:hAnsi="Times New Roman"/>
          <w:i/>
          <w:sz w:val="20"/>
          <w:szCs w:val="20"/>
          <w:lang w:val="en-GB" w:eastAsia="zh-CN"/>
        </w:rPr>
        <w:t>.</w:t>
      </w:r>
    </w:p>
    <w:p w14:paraId="00CD6B49" w14:textId="122EC8EA" w:rsidR="009F19A9" w:rsidRPr="00F40488" w:rsidRDefault="001A58CB" w:rsidP="009F19A9">
      <w:pPr>
        <w:widowControl w:val="0"/>
        <w:tabs>
          <w:tab w:val="left" w:pos="907"/>
        </w:tabs>
        <w:spacing w:before="240" w:after="60" w:line="240" w:lineRule="auto"/>
        <w:ind w:left="1440" w:hanging="1440"/>
        <w:outlineLvl w:val="2"/>
        <w:rPr>
          <w:lang w:val="en-GB" w:eastAsia="en-GB"/>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simultaneous resource </w:t>
      </w:r>
      <w:r w:rsidR="0028215B">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p>
    <w:p w14:paraId="0F998548" w14:textId="77777777" w:rsidR="00E608C0" w:rsidRDefault="00E608C0"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It is FFS whether the configuration of mode is done at per-SL radio bearer level or per-LCH or per-LCG level. </w:t>
      </w:r>
    </w:p>
    <w:p w14:paraId="6CCA9A19" w14:textId="77777777" w:rsidR="0047248C" w:rsidRDefault="0047248C" w:rsidP="0047248C">
      <w:pPr>
        <w:ind w:left="1440" w:hanging="1440"/>
        <w:rPr>
          <w:rFonts w:ascii="Times New Roman" w:eastAsia="Malgun Gothic" w:hAnsi="Times New Roman"/>
          <w:b/>
          <w:sz w:val="20"/>
          <w:szCs w:val="20"/>
          <w:lang w:val="en-GB" w:eastAsia="zh-CN"/>
        </w:rPr>
      </w:pPr>
    </w:p>
    <w:p w14:paraId="538D0530" w14:textId="77777777" w:rsidR="0047248C" w:rsidRPr="00896764" w:rsidRDefault="0047248C" w:rsidP="0047248C">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Proposal 4</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and decide between the following options for specifying preferred mode to the AS layer while in-coverage: a) Upper layer provides the information on a per-packet or per-flow or per-service basis b) gNB provides the information on a per-flow or per-service basis.</w:t>
      </w:r>
    </w:p>
    <w:p w14:paraId="247BB25A" w14:textId="77777777" w:rsidR="0047248C" w:rsidRPr="00F40488" w:rsidRDefault="0047248C" w:rsidP="0047248C">
      <w:pPr>
        <w:widowControl w:val="0"/>
        <w:tabs>
          <w:tab w:val="left" w:pos="907"/>
        </w:tabs>
        <w:spacing w:before="240" w:after="60" w:line="240" w:lineRule="auto"/>
        <w:ind w:left="1440" w:hanging="1440"/>
        <w:outlineLvl w:val="2"/>
        <w:rPr>
          <w:lang w:val="en-GB" w:eastAsia="en-GB"/>
        </w:rPr>
      </w:pPr>
      <w:r>
        <w:rPr>
          <w:rFonts w:ascii="Times New Roman" w:eastAsia="Malgun Gothic" w:hAnsi="Times New Roman"/>
          <w:b/>
          <w:sz w:val="20"/>
          <w:szCs w:val="20"/>
          <w:lang w:val="en-GB" w:eastAsia="zh-CN"/>
        </w:rPr>
        <w:t>Proposal 5</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w:t>
      </w:r>
      <w:r>
        <w:rPr>
          <w:rFonts w:ascii="Times New Roman" w:eastAsia="Malgun Gothic" w:hAnsi="Times New Roman"/>
          <w:i/>
          <w:sz w:val="20"/>
          <w:szCs w:val="20"/>
          <w:lang w:val="en-GB" w:eastAsia="zh-CN"/>
        </w:rPr>
        <w:t>NW</w:t>
      </w:r>
      <w:r w:rsidRPr="009F19A9">
        <w:rPr>
          <w:rFonts w:ascii="Times New Roman" w:eastAsia="Malgun Gothic" w:hAnsi="Times New Roman"/>
          <w:i/>
          <w:sz w:val="20"/>
          <w:szCs w:val="20"/>
          <w:lang w:val="en-GB" w:eastAsia="zh-CN"/>
        </w:rPr>
        <w:t xml:space="preserve">-controlled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UE-initiated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switching</w:t>
      </w:r>
      <w:r>
        <w:rPr>
          <w:rFonts w:ascii="Times New Roman" w:eastAsia="Malgun Gothic" w:hAnsi="Times New Roman"/>
          <w:i/>
          <w:sz w:val="20"/>
          <w:szCs w:val="20"/>
          <w:lang w:val="en-GB" w:eastAsia="zh-CN"/>
        </w:rPr>
        <w:t xml:space="preserve"> using the available mapping information </w:t>
      </w:r>
      <w:r w:rsidRPr="009F19A9">
        <w:rPr>
          <w:rFonts w:ascii="Times New Roman" w:eastAsia="Malgun Gothic" w:hAnsi="Times New Roman"/>
          <w:i/>
          <w:sz w:val="20"/>
          <w:szCs w:val="20"/>
          <w:lang w:val="en-GB" w:eastAsia="zh-CN"/>
        </w:rPr>
        <w:t xml:space="preserve">when the V2X UE is in-coverage and </w:t>
      </w:r>
      <w:r>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7396BA6D" w14:textId="77777777" w:rsidR="00847EBF" w:rsidRDefault="00847EBF"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3D83B44C"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7112200B" w14:textId="77777777" w:rsidR="006B0E90" w:rsidRDefault="006B0E90" w:rsidP="00C94AE1">
      <w:pPr>
        <w:rPr>
          <w:lang w:val="en-GB"/>
        </w:rPr>
      </w:pPr>
      <w:bookmarkStart w:id="0" w:name="_GoBack"/>
      <w:bookmarkEnd w:id="0"/>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2"/>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56124"/>
    <w:rsid w:val="00064677"/>
    <w:rsid w:val="00064FC0"/>
    <w:rsid w:val="00082102"/>
    <w:rsid w:val="00087009"/>
    <w:rsid w:val="00093B47"/>
    <w:rsid w:val="00096488"/>
    <w:rsid w:val="000B28F4"/>
    <w:rsid w:val="000D19E3"/>
    <w:rsid w:val="000E5E66"/>
    <w:rsid w:val="000F48EF"/>
    <w:rsid w:val="00106063"/>
    <w:rsid w:val="0010743E"/>
    <w:rsid w:val="00110513"/>
    <w:rsid w:val="00112E7A"/>
    <w:rsid w:val="001176A2"/>
    <w:rsid w:val="0011799C"/>
    <w:rsid w:val="001460B4"/>
    <w:rsid w:val="00146F88"/>
    <w:rsid w:val="0016557A"/>
    <w:rsid w:val="00192817"/>
    <w:rsid w:val="001974FE"/>
    <w:rsid w:val="001A58CB"/>
    <w:rsid w:val="001A6254"/>
    <w:rsid w:val="001D1369"/>
    <w:rsid w:val="001D55FA"/>
    <w:rsid w:val="001D659E"/>
    <w:rsid w:val="0023687E"/>
    <w:rsid w:val="00246D21"/>
    <w:rsid w:val="00265064"/>
    <w:rsid w:val="00275B60"/>
    <w:rsid w:val="0028215B"/>
    <w:rsid w:val="00283C20"/>
    <w:rsid w:val="00294DD7"/>
    <w:rsid w:val="002A50DF"/>
    <w:rsid w:val="002A5171"/>
    <w:rsid w:val="002B0B70"/>
    <w:rsid w:val="002D25E1"/>
    <w:rsid w:val="002F0DB7"/>
    <w:rsid w:val="002F2F95"/>
    <w:rsid w:val="002F7DC7"/>
    <w:rsid w:val="003057EE"/>
    <w:rsid w:val="00305977"/>
    <w:rsid w:val="003215EB"/>
    <w:rsid w:val="003222BD"/>
    <w:rsid w:val="0032697C"/>
    <w:rsid w:val="0033220C"/>
    <w:rsid w:val="00335DCF"/>
    <w:rsid w:val="003375AF"/>
    <w:rsid w:val="003376F7"/>
    <w:rsid w:val="00347782"/>
    <w:rsid w:val="00350239"/>
    <w:rsid w:val="003579E0"/>
    <w:rsid w:val="0036006C"/>
    <w:rsid w:val="0036390F"/>
    <w:rsid w:val="003979AA"/>
    <w:rsid w:val="003A1B94"/>
    <w:rsid w:val="003A6D92"/>
    <w:rsid w:val="003B024A"/>
    <w:rsid w:val="003C066A"/>
    <w:rsid w:val="003C0DA3"/>
    <w:rsid w:val="003C38B9"/>
    <w:rsid w:val="003F0813"/>
    <w:rsid w:val="00400034"/>
    <w:rsid w:val="00402685"/>
    <w:rsid w:val="00403DAC"/>
    <w:rsid w:val="004072C8"/>
    <w:rsid w:val="0041766D"/>
    <w:rsid w:val="00420F12"/>
    <w:rsid w:val="00427786"/>
    <w:rsid w:val="00442FDB"/>
    <w:rsid w:val="00452CFC"/>
    <w:rsid w:val="0045743E"/>
    <w:rsid w:val="00471561"/>
    <w:rsid w:val="0047248C"/>
    <w:rsid w:val="0047262C"/>
    <w:rsid w:val="00473F99"/>
    <w:rsid w:val="00485EEB"/>
    <w:rsid w:val="004870A4"/>
    <w:rsid w:val="004A2730"/>
    <w:rsid w:val="004A6C14"/>
    <w:rsid w:val="004C1544"/>
    <w:rsid w:val="004E583A"/>
    <w:rsid w:val="004F009F"/>
    <w:rsid w:val="004F1D7E"/>
    <w:rsid w:val="0054408E"/>
    <w:rsid w:val="00561B40"/>
    <w:rsid w:val="00573EE5"/>
    <w:rsid w:val="0058299F"/>
    <w:rsid w:val="00587661"/>
    <w:rsid w:val="005B2277"/>
    <w:rsid w:val="005B3D65"/>
    <w:rsid w:val="005C4FAD"/>
    <w:rsid w:val="005D2226"/>
    <w:rsid w:val="005E09DE"/>
    <w:rsid w:val="005F43D1"/>
    <w:rsid w:val="00637E42"/>
    <w:rsid w:val="00643FD5"/>
    <w:rsid w:val="00644A68"/>
    <w:rsid w:val="00662407"/>
    <w:rsid w:val="0066240F"/>
    <w:rsid w:val="0067498A"/>
    <w:rsid w:val="00691344"/>
    <w:rsid w:val="0069792F"/>
    <w:rsid w:val="006B0E90"/>
    <w:rsid w:val="006B6AA2"/>
    <w:rsid w:val="006B77B8"/>
    <w:rsid w:val="006B7F5D"/>
    <w:rsid w:val="006C5059"/>
    <w:rsid w:val="006C65E9"/>
    <w:rsid w:val="006E27F5"/>
    <w:rsid w:val="006E3885"/>
    <w:rsid w:val="006E6AA7"/>
    <w:rsid w:val="00705CF5"/>
    <w:rsid w:val="007158F6"/>
    <w:rsid w:val="00717D4F"/>
    <w:rsid w:val="00725F13"/>
    <w:rsid w:val="00737197"/>
    <w:rsid w:val="00742A3D"/>
    <w:rsid w:val="00767AB9"/>
    <w:rsid w:val="00771393"/>
    <w:rsid w:val="00771933"/>
    <w:rsid w:val="00771B64"/>
    <w:rsid w:val="00782229"/>
    <w:rsid w:val="00791717"/>
    <w:rsid w:val="00795189"/>
    <w:rsid w:val="007C49EA"/>
    <w:rsid w:val="007C5C69"/>
    <w:rsid w:val="007D51FD"/>
    <w:rsid w:val="007E44B9"/>
    <w:rsid w:val="007E7BC8"/>
    <w:rsid w:val="007F41CA"/>
    <w:rsid w:val="007F50BE"/>
    <w:rsid w:val="007F5A3E"/>
    <w:rsid w:val="0080328B"/>
    <w:rsid w:val="0080469D"/>
    <w:rsid w:val="008122AB"/>
    <w:rsid w:val="00813E35"/>
    <w:rsid w:val="00815F0E"/>
    <w:rsid w:val="00824095"/>
    <w:rsid w:val="0083271F"/>
    <w:rsid w:val="008331BC"/>
    <w:rsid w:val="00843DAB"/>
    <w:rsid w:val="00844241"/>
    <w:rsid w:val="00847EBF"/>
    <w:rsid w:val="00853AC5"/>
    <w:rsid w:val="008622C6"/>
    <w:rsid w:val="0088685C"/>
    <w:rsid w:val="00891BD9"/>
    <w:rsid w:val="00893C69"/>
    <w:rsid w:val="00896764"/>
    <w:rsid w:val="008A2AF6"/>
    <w:rsid w:val="008A7C97"/>
    <w:rsid w:val="008B10E6"/>
    <w:rsid w:val="008B3479"/>
    <w:rsid w:val="008C4A7A"/>
    <w:rsid w:val="008D7315"/>
    <w:rsid w:val="008E1F3B"/>
    <w:rsid w:val="008F2C47"/>
    <w:rsid w:val="008F3286"/>
    <w:rsid w:val="0090027F"/>
    <w:rsid w:val="00914701"/>
    <w:rsid w:val="009235D0"/>
    <w:rsid w:val="00924E21"/>
    <w:rsid w:val="0093008C"/>
    <w:rsid w:val="0095202F"/>
    <w:rsid w:val="00961607"/>
    <w:rsid w:val="00965F35"/>
    <w:rsid w:val="009673DB"/>
    <w:rsid w:val="00980867"/>
    <w:rsid w:val="00991D9F"/>
    <w:rsid w:val="009A2F6E"/>
    <w:rsid w:val="009B5B85"/>
    <w:rsid w:val="009C290C"/>
    <w:rsid w:val="009E069A"/>
    <w:rsid w:val="009E22ED"/>
    <w:rsid w:val="009E37A0"/>
    <w:rsid w:val="009F19A9"/>
    <w:rsid w:val="009F2438"/>
    <w:rsid w:val="00A1143D"/>
    <w:rsid w:val="00A26100"/>
    <w:rsid w:val="00A37E0A"/>
    <w:rsid w:val="00A634D5"/>
    <w:rsid w:val="00A75E31"/>
    <w:rsid w:val="00A85E03"/>
    <w:rsid w:val="00A922BD"/>
    <w:rsid w:val="00A968BA"/>
    <w:rsid w:val="00AA3068"/>
    <w:rsid w:val="00AB39B0"/>
    <w:rsid w:val="00AB4AD7"/>
    <w:rsid w:val="00AB6267"/>
    <w:rsid w:val="00AB76AB"/>
    <w:rsid w:val="00AC4739"/>
    <w:rsid w:val="00AC5834"/>
    <w:rsid w:val="00AD34A7"/>
    <w:rsid w:val="00AD3559"/>
    <w:rsid w:val="00AD563A"/>
    <w:rsid w:val="00B02547"/>
    <w:rsid w:val="00B32B83"/>
    <w:rsid w:val="00B35BBE"/>
    <w:rsid w:val="00B53C4A"/>
    <w:rsid w:val="00B610D7"/>
    <w:rsid w:val="00B71CD3"/>
    <w:rsid w:val="00B803C7"/>
    <w:rsid w:val="00B954CC"/>
    <w:rsid w:val="00BA7181"/>
    <w:rsid w:val="00BB7E3C"/>
    <w:rsid w:val="00BC2641"/>
    <w:rsid w:val="00BD2E89"/>
    <w:rsid w:val="00BF6BBA"/>
    <w:rsid w:val="00C014F1"/>
    <w:rsid w:val="00C10A5C"/>
    <w:rsid w:val="00C10F82"/>
    <w:rsid w:val="00C11D0E"/>
    <w:rsid w:val="00C12A84"/>
    <w:rsid w:val="00C13407"/>
    <w:rsid w:val="00C24837"/>
    <w:rsid w:val="00C41598"/>
    <w:rsid w:val="00C60B02"/>
    <w:rsid w:val="00C65786"/>
    <w:rsid w:val="00C9343D"/>
    <w:rsid w:val="00C94AE1"/>
    <w:rsid w:val="00CD649B"/>
    <w:rsid w:val="00CD7040"/>
    <w:rsid w:val="00CF5149"/>
    <w:rsid w:val="00CF54CC"/>
    <w:rsid w:val="00D077ED"/>
    <w:rsid w:val="00D16B0F"/>
    <w:rsid w:val="00D34562"/>
    <w:rsid w:val="00D456F5"/>
    <w:rsid w:val="00D56D4C"/>
    <w:rsid w:val="00D77E5F"/>
    <w:rsid w:val="00D91982"/>
    <w:rsid w:val="00D91BDD"/>
    <w:rsid w:val="00D92EB6"/>
    <w:rsid w:val="00DA1928"/>
    <w:rsid w:val="00DA2651"/>
    <w:rsid w:val="00DA708B"/>
    <w:rsid w:val="00DC41F0"/>
    <w:rsid w:val="00DD27EE"/>
    <w:rsid w:val="00DE29BB"/>
    <w:rsid w:val="00DF1818"/>
    <w:rsid w:val="00DF4DDB"/>
    <w:rsid w:val="00DF5A46"/>
    <w:rsid w:val="00DF6B6F"/>
    <w:rsid w:val="00E004DC"/>
    <w:rsid w:val="00E04040"/>
    <w:rsid w:val="00E04AA2"/>
    <w:rsid w:val="00E13039"/>
    <w:rsid w:val="00E215E6"/>
    <w:rsid w:val="00E24FF1"/>
    <w:rsid w:val="00E30ABB"/>
    <w:rsid w:val="00E34326"/>
    <w:rsid w:val="00E464CA"/>
    <w:rsid w:val="00E51C4E"/>
    <w:rsid w:val="00E608C0"/>
    <w:rsid w:val="00E705DF"/>
    <w:rsid w:val="00E9408D"/>
    <w:rsid w:val="00EA0762"/>
    <w:rsid w:val="00EA2AD0"/>
    <w:rsid w:val="00EB3166"/>
    <w:rsid w:val="00EB680E"/>
    <w:rsid w:val="00EB7568"/>
    <w:rsid w:val="00EC07CF"/>
    <w:rsid w:val="00EC1E1D"/>
    <w:rsid w:val="00EC74C9"/>
    <w:rsid w:val="00ED1688"/>
    <w:rsid w:val="00EE4864"/>
    <w:rsid w:val="00EF0A2B"/>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392B"/>
    <w:rsid w:val="00F93E0C"/>
    <w:rsid w:val="00F97868"/>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42EF16-5249-4BCF-A89A-D902508A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2004</Words>
  <Characters>10401</Characters>
  <Application>Microsoft Office Word</Application>
  <DocSecurity>0</DocSecurity>
  <Lines>162</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Intel-AA</cp:lastModifiedBy>
  <cp:revision>8</cp:revision>
  <dcterms:created xsi:type="dcterms:W3CDTF">2019-08-06T19:06:00Z</dcterms:created>
  <dcterms:modified xsi:type="dcterms:W3CDTF">2019-08-16T01:11:00Z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d96afe58-a7a5-4705-98eb-f0598ae80bc6</vt:lpwstr>
  </property>
  <property fmtid="{D5CDD505-2E9C-101B-9397-08002B2CF9AE}" pid="3" name="CTP_TimeStamp">
    <vt:lpwstr>2019-08-16 01:11:27Z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