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3BA8684F" w:rsidR="00895250" w:rsidRPr="00B922AF"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922AF">
        <w:rPr>
          <w:rFonts w:ascii="Arial" w:eastAsia="MS Mincho" w:hAnsi="Arial"/>
          <w:b/>
          <w:sz w:val="24"/>
          <w:szCs w:val="24"/>
          <w:lang w:val="en-GB" w:eastAsia="x-none"/>
        </w:rPr>
        <w:t>3GPP TSG</w:t>
      </w:r>
      <w:r w:rsidR="000604FC">
        <w:rPr>
          <w:rFonts w:ascii="Arial" w:eastAsia="MS Mincho" w:hAnsi="Arial"/>
          <w:b/>
          <w:sz w:val="24"/>
          <w:szCs w:val="24"/>
          <w:lang w:val="en-GB" w:eastAsia="x-none"/>
        </w:rPr>
        <w:t>-RAN WG2 Meeting #106</w:t>
      </w:r>
      <w:r w:rsidR="000604FC">
        <w:rPr>
          <w:rFonts w:ascii="Arial" w:eastAsia="MS Mincho" w:hAnsi="Arial"/>
          <w:b/>
          <w:sz w:val="24"/>
          <w:szCs w:val="24"/>
          <w:lang w:val="en-GB" w:eastAsia="x-none"/>
        </w:rPr>
        <w:tab/>
        <w:t>R2-1906029</w:t>
      </w:r>
      <w:bookmarkStart w:id="2" w:name="_GoBack"/>
      <w:bookmarkEnd w:id="2"/>
    </w:p>
    <w:p w14:paraId="6877EE3A" w14:textId="68A26FBD" w:rsidR="00895250" w:rsidRPr="00B922AF" w:rsidRDefault="00877765"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Reno, Nevada, USA</w:t>
      </w:r>
      <w:r w:rsidR="006F7682" w:rsidRPr="00B922AF">
        <w:rPr>
          <w:rFonts w:ascii="Arial" w:eastAsia="MS Mincho" w:hAnsi="Arial"/>
          <w:b/>
          <w:sz w:val="24"/>
          <w:szCs w:val="24"/>
          <w:lang w:val="en-GB" w:eastAsia="x-none"/>
        </w:rPr>
        <w:t xml:space="preserve">, </w:t>
      </w:r>
      <w:r>
        <w:rPr>
          <w:rFonts w:ascii="Arial" w:eastAsia="MS Mincho" w:hAnsi="Arial"/>
          <w:b/>
          <w:sz w:val="24"/>
          <w:szCs w:val="24"/>
          <w:lang w:val="en-GB" w:eastAsia="x-none"/>
        </w:rPr>
        <w:t>13-17 May</w:t>
      </w:r>
      <w:r w:rsidR="00B35D43" w:rsidRPr="00B922AF">
        <w:rPr>
          <w:rFonts w:ascii="Arial" w:eastAsia="MS Mincho" w:hAnsi="Arial"/>
          <w:b/>
          <w:sz w:val="24"/>
          <w:szCs w:val="24"/>
          <w:lang w:val="en-GB" w:eastAsia="x-none"/>
        </w:rPr>
        <w:t xml:space="preserve"> 2019</w:t>
      </w:r>
      <w:r>
        <w:rPr>
          <w:rFonts w:ascii="Arial" w:eastAsia="MS Mincho" w:hAnsi="Arial"/>
          <w:b/>
          <w:sz w:val="24"/>
          <w:szCs w:val="24"/>
          <w:lang w:val="en-GB" w:eastAsia="x-none"/>
        </w:rPr>
        <w:tab/>
      </w:r>
      <w:r w:rsidRPr="00877765">
        <w:rPr>
          <w:rFonts w:ascii="Arial" w:eastAsia="MS Mincho" w:hAnsi="Arial"/>
          <w:b/>
          <w:sz w:val="18"/>
          <w:szCs w:val="24"/>
          <w:lang w:val="en-GB" w:eastAsia="x-none"/>
        </w:rPr>
        <w:t>(resubmission of R2-1903234)</w:t>
      </w:r>
    </w:p>
    <w:p w14:paraId="41F9B491" w14:textId="49EFE19E" w:rsidR="0097167E" w:rsidRPr="00B922AF"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922AF" w:rsidRDefault="00A07E02" w:rsidP="00A07E02">
      <w:pPr>
        <w:pStyle w:val="3GPPHeader"/>
        <w:rPr>
          <w:rFonts w:ascii="Arial" w:hAnsi="Arial" w:cs="Arial"/>
          <w:color w:val="FF0000"/>
          <w:szCs w:val="24"/>
          <w:lang w:eastAsia="zh-TW"/>
        </w:rPr>
      </w:pPr>
    </w:p>
    <w:p w14:paraId="027912C8" w14:textId="4B6BEFFF" w:rsidR="00A07E02" w:rsidRPr="00B922AF" w:rsidRDefault="00A07E02" w:rsidP="00A07E02">
      <w:pPr>
        <w:pStyle w:val="3GPPHeader"/>
        <w:rPr>
          <w:rFonts w:ascii="Arial" w:hAnsi="Arial" w:cs="Arial"/>
          <w:szCs w:val="24"/>
        </w:rPr>
      </w:pPr>
      <w:r w:rsidRPr="00B922AF">
        <w:rPr>
          <w:rFonts w:ascii="Arial" w:hAnsi="Arial" w:cs="Arial"/>
          <w:szCs w:val="24"/>
        </w:rPr>
        <w:t>Agenda Item:</w:t>
      </w:r>
      <w:r w:rsidRPr="00B922AF">
        <w:rPr>
          <w:rFonts w:ascii="Arial" w:hAnsi="Arial" w:cs="Arial"/>
          <w:szCs w:val="24"/>
        </w:rPr>
        <w:tab/>
      </w:r>
      <w:r w:rsidR="00EB5C3A">
        <w:rPr>
          <w:rFonts w:ascii="Arial" w:hAnsi="Arial" w:cs="Arial"/>
          <w:szCs w:val="24"/>
        </w:rPr>
        <w:t>11.5.4</w:t>
      </w:r>
    </w:p>
    <w:p w14:paraId="79D236BA" w14:textId="77777777" w:rsidR="00A07E02" w:rsidRPr="00B922AF" w:rsidRDefault="00A07E02" w:rsidP="00A07E02">
      <w:pPr>
        <w:pStyle w:val="3GPPHeader"/>
        <w:rPr>
          <w:rFonts w:ascii="Arial" w:hAnsi="Arial" w:cs="Arial"/>
          <w:szCs w:val="24"/>
        </w:rPr>
      </w:pPr>
      <w:r w:rsidRPr="00B922AF">
        <w:rPr>
          <w:rFonts w:ascii="Arial" w:hAnsi="Arial" w:cs="Arial"/>
          <w:szCs w:val="24"/>
        </w:rPr>
        <w:t xml:space="preserve">Source: </w:t>
      </w:r>
      <w:r w:rsidRPr="00B922AF">
        <w:rPr>
          <w:rFonts w:ascii="Arial" w:hAnsi="Arial" w:cs="Arial"/>
          <w:szCs w:val="24"/>
        </w:rPr>
        <w:tab/>
        <w:t>MediaTek Inc.</w:t>
      </w:r>
    </w:p>
    <w:p w14:paraId="108A86FF" w14:textId="6B11B865" w:rsidR="00A07E02" w:rsidRPr="00B922AF" w:rsidRDefault="00FF0668" w:rsidP="00A07E02">
      <w:pPr>
        <w:pStyle w:val="3GPPHeaderArial"/>
        <w:tabs>
          <w:tab w:val="left" w:pos="1701"/>
        </w:tabs>
        <w:rPr>
          <w:b/>
          <w:sz w:val="24"/>
          <w:lang w:val="en-GB" w:eastAsia="zh-TW"/>
        </w:rPr>
      </w:pPr>
      <w:r w:rsidRPr="00B922AF">
        <w:rPr>
          <w:b/>
          <w:sz w:val="24"/>
          <w:lang w:val="en-GB"/>
        </w:rPr>
        <w:t xml:space="preserve">Title:  </w:t>
      </w:r>
      <w:r w:rsidRPr="00B922AF">
        <w:rPr>
          <w:b/>
          <w:sz w:val="24"/>
          <w:lang w:val="en-GB"/>
        </w:rPr>
        <w:tab/>
      </w:r>
      <w:r w:rsidR="00376507" w:rsidRPr="00B922AF">
        <w:rPr>
          <w:b/>
          <w:sz w:val="24"/>
          <w:lang w:val="en-GB"/>
        </w:rPr>
        <w:t>Support of delta signalling for UE capability identity</w:t>
      </w:r>
    </w:p>
    <w:p w14:paraId="2D698DC6" w14:textId="77777777" w:rsidR="00A07E02" w:rsidRPr="00B922AF" w:rsidRDefault="00A07E02" w:rsidP="00A07E02">
      <w:pPr>
        <w:pStyle w:val="3GPPHeaderArial"/>
        <w:tabs>
          <w:tab w:val="left" w:pos="1701"/>
        </w:tabs>
        <w:rPr>
          <w:b/>
          <w:sz w:val="24"/>
          <w:lang w:val="en-GB" w:eastAsia="zh-TW"/>
        </w:rPr>
      </w:pPr>
    </w:p>
    <w:p w14:paraId="4570B40E" w14:textId="77777777" w:rsidR="00A07E02" w:rsidRPr="00B922AF" w:rsidRDefault="00A07E02" w:rsidP="00A07E02">
      <w:pPr>
        <w:pStyle w:val="3GPPHeader"/>
        <w:rPr>
          <w:rFonts w:ascii="Arial" w:hAnsi="Arial" w:cs="Arial"/>
          <w:szCs w:val="24"/>
        </w:rPr>
      </w:pPr>
      <w:r w:rsidRPr="00B922AF">
        <w:rPr>
          <w:rFonts w:ascii="Arial" w:hAnsi="Arial" w:cs="Arial"/>
          <w:szCs w:val="24"/>
        </w:rPr>
        <w:t>Document for:</w:t>
      </w:r>
      <w:r w:rsidRPr="00B922AF">
        <w:rPr>
          <w:rFonts w:ascii="Arial" w:hAnsi="Arial" w:cs="Arial"/>
          <w:szCs w:val="24"/>
        </w:rPr>
        <w:tab/>
        <w:t>Discussion and decision</w:t>
      </w:r>
    </w:p>
    <w:p w14:paraId="0FB84FBC" w14:textId="77777777" w:rsidR="00A07E02" w:rsidRPr="00B922AF" w:rsidRDefault="00A07E02" w:rsidP="00A07E02">
      <w:pPr>
        <w:pStyle w:val="Heading1"/>
        <w:overflowPunct w:val="0"/>
        <w:autoSpaceDE w:val="0"/>
        <w:autoSpaceDN w:val="0"/>
        <w:adjustRightInd w:val="0"/>
        <w:rPr>
          <w:rFonts w:eastAsia="PMingLiU" w:cs="Arial"/>
        </w:rPr>
      </w:pPr>
      <w:r w:rsidRPr="00B922AF">
        <w:rPr>
          <w:rFonts w:eastAsia="PMingLiU" w:cs="Arial"/>
        </w:rPr>
        <w:t>Introduction</w:t>
      </w:r>
      <w:bookmarkStart w:id="3" w:name="OLE_LINK39"/>
      <w:bookmarkStart w:id="4" w:name="OLE_LINK38"/>
      <w:bookmarkStart w:id="5" w:name="OLE_LINK37"/>
    </w:p>
    <w:p w14:paraId="54A8544A" w14:textId="0BB7142A" w:rsidR="00202DDC" w:rsidRPr="00B922AF" w:rsidRDefault="001A1FCC" w:rsidP="00820C96">
      <w:pPr>
        <w:spacing w:after="120"/>
        <w:jc w:val="both"/>
        <w:rPr>
          <w:rFonts w:ascii="Arial" w:hAnsi="Arial" w:cs="Arial"/>
          <w:sz w:val="20"/>
          <w:szCs w:val="20"/>
          <w:lang w:val="en-GB"/>
        </w:rPr>
      </w:pPr>
      <w:r w:rsidRPr="00B922AF">
        <w:rPr>
          <w:rFonts w:ascii="Arial" w:hAnsi="Arial" w:cs="Arial"/>
          <w:sz w:val="20"/>
          <w:szCs w:val="20"/>
          <w:lang w:val="en-GB"/>
        </w:rPr>
        <w:t xml:space="preserve">This document </w:t>
      </w:r>
      <w:r w:rsidR="00211DDB" w:rsidRPr="00B922AF">
        <w:rPr>
          <w:rFonts w:ascii="Arial" w:hAnsi="Arial" w:cs="Arial"/>
          <w:sz w:val="20"/>
          <w:szCs w:val="20"/>
          <w:lang w:val="en-GB"/>
        </w:rPr>
        <w:t xml:space="preserve">discusses </w:t>
      </w:r>
      <w:r w:rsidR="00376507" w:rsidRPr="00B922AF">
        <w:rPr>
          <w:rFonts w:ascii="Arial" w:hAnsi="Arial" w:cs="Arial"/>
          <w:sz w:val="20"/>
          <w:szCs w:val="20"/>
          <w:lang w:val="en-GB"/>
        </w:rPr>
        <w:t>the potential use of delta signalling for the UE capability identity</w:t>
      </w:r>
      <w:r w:rsidR="00C049AF" w:rsidRPr="00B922AF">
        <w:rPr>
          <w:rFonts w:ascii="Arial" w:hAnsi="Arial" w:cs="Arial"/>
          <w:sz w:val="20"/>
          <w:szCs w:val="20"/>
          <w:lang w:val="en-GB"/>
        </w:rPr>
        <w:t>.</w:t>
      </w:r>
    </w:p>
    <w:p w14:paraId="2E0A3C55" w14:textId="48FA9AED" w:rsidR="00DF345D" w:rsidRPr="00B922AF" w:rsidRDefault="00202DDC" w:rsidP="00376507">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922AF">
        <w:rPr>
          <w:rFonts w:eastAsia="PMingLiU" w:cs="Arial"/>
        </w:rPr>
        <w:t>Discussio</w:t>
      </w:r>
      <w:r w:rsidR="00376507" w:rsidRPr="00B922AF">
        <w:rPr>
          <w:rFonts w:eastAsia="PMingLiU" w:cs="Arial"/>
        </w:rPr>
        <w:t>n</w:t>
      </w:r>
    </w:p>
    <w:p w14:paraId="00CF8998" w14:textId="201D55B1" w:rsidR="00F17D67" w:rsidRPr="00B922AF" w:rsidRDefault="00B922AF" w:rsidP="00DF345D">
      <w:pPr>
        <w:spacing w:after="240"/>
        <w:rPr>
          <w:lang w:val="en-GB"/>
        </w:rPr>
      </w:pPr>
      <w:r w:rsidRPr="00B922AF">
        <w:rPr>
          <w:lang w:val="en-GB"/>
        </w:rPr>
        <w:t>As discussed in [1], SA2 already evaluated delta signalling and considered it desirable ([2], section 8), so it seems somewhat redundant for RAN2 to discuss the use cases at length.  However, it is worth noting that there are multiple use cases:</w:t>
      </w:r>
    </w:p>
    <w:p w14:paraId="412E1661" w14:textId="636CED9C" w:rsidR="00B922AF" w:rsidRPr="00B922AF" w:rsidRDefault="00B922AF" w:rsidP="00B922AF">
      <w:pPr>
        <w:pStyle w:val="ListParagraph"/>
        <w:numPr>
          <w:ilvl w:val="0"/>
          <w:numId w:val="19"/>
        </w:numPr>
      </w:pPr>
      <w:r w:rsidRPr="00B922AF">
        <w:t>Change of capability: The UE can signal its original capability ID corresponding to the previous capability, along with a delta set indicating the changes.</w:t>
      </w:r>
    </w:p>
    <w:p w14:paraId="349C18B7" w14:textId="31A11BD0" w:rsidR="00B922AF" w:rsidRPr="00B922AF" w:rsidRDefault="00B922AF" w:rsidP="00B922AF">
      <w:pPr>
        <w:pStyle w:val="ListParagraph"/>
        <w:numPr>
          <w:ilvl w:val="0"/>
          <w:numId w:val="19"/>
        </w:numPr>
      </w:pPr>
      <w:r w:rsidRPr="00B922AF">
        <w:t>Variant capability, e.g. PLMN-specific settings: A UE equipped with a manufacturer-assigned capability ID can signal that capability ID, along with a delta set indicating the variances for the current environment (e.g. the serving PLMN).</w:t>
      </w:r>
    </w:p>
    <w:p w14:paraId="10AF56C9" w14:textId="74C14A83" w:rsidR="00B922AF" w:rsidRPr="00B922AF" w:rsidRDefault="00B922AF" w:rsidP="00B922AF">
      <w:pPr>
        <w:pStyle w:val="ListParagraph"/>
        <w:numPr>
          <w:ilvl w:val="0"/>
          <w:numId w:val="19"/>
        </w:numPr>
      </w:pPr>
      <w:r w:rsidRPr="00B922AF">
        <w:t>New UE models: A UE whose “native” manufacturer-assigned ID has not yet propagated to all databases could indicate its capability as a delta against a better-established model with similar capabilities.</w:t>
      </w:r>
    </w:p>
    <w:p w14:paraId="36547149" w14:textId="7EB27E0B" w:rsidR="00B922AF" w:rsidRPr="00B922AF" w:rsidRDefault="00B922AF" w:rsidP="00B922AF">
      <w:pPr>
        <w:pStyle w:val="ListParagraph"/>
        <w:numPr>
          <w:ilvl w:val="0"/>
          <w:numId w:val="19"/>
        </w:numPr>
      </w:pPr>
      <w:r w:rsidRPr="00B922AF">
        <w:t>Response to different filters: If the network uses filter A in one region of the network and assigns a corresponding PLMN-assigned capability ID, then uses filter B in another region of the network, the UE may be able to respond to filter B by sending the capability ID along with a delta that accounts for the differences between A and B.</w:t>
      </w:r>
    </w:p>
    <w:p w14:paraId="209A70FF" w14:textId="262425D0" w:rsidR="00B922AF" w:rsidRPr="00B922AF" w:rsidRDefault="00B922AF" w:rsidP="00B922AF">
      <w:pPr>
        <w:spacing w:after="240"/>
        <w:rPr>
          <w:lang w:val="en-GB"/>
        </w:rPr>
      </w:pPr>
      <w:r w:rsidRPr="00B922AF">
        <w:rPr>
          <w:lang w:val="en-GB"/>
        </w:rPr>
        <w:t xml:space="preserve">The RACS_RAN WID in [3] indicates that RAN2 will consider “simple” delta signalling, which inevitably raises the question of what is and is not “simple”.  At a minimum, it should be possible to agree that a set of flags indicating omission of support of individual RATs is adequately simple; the signalling impact is negligible and no significant implementation bookkeeping is needed to make the results consistent </w:t>
      </w:r>
      <w:r>
        <w:rPr>
          <w:lang w:val="en-GB"/>
        </w:rPr>
        <w:t>(as could be the case if e.g. the list of feature sets changed).</w:t>
      </w:r>
    </w:p>
    <w:p w14:paraId="69290D6F" w14:textId="64F4D73A" w:rsidR="00DF345D" w:rsidRDefault="00DF345D" w:rsidP="00DF345D">
      <w:pPr>
        <w:spacing w:after="240"/>
        <w:rPr>
          <w:lang w:val="en-GB"/>
        </w:rPr>
      </w:pPr>
      <w:r w:rsidRPr="00B922AF">
        <w:rPr>
          <w:b/>
          <w:lang w:val="en-GB"/>
        </w:rPr>
        <w:t>Proposal 1:</w:t>
      </w:r>
      <w:r w:rsidRPr="00B922AF">
        <w:rPr>
          <w:lang w:val="en-GB"/>
        </w:rPr>
        <w:t xml:space="preserve"> </w:t>
      </w:r>
      <w:r w:rsidR="00B922AF">
        <w:rPr>
          <w:lang w:val="en-GB"/>
        </w:rPr>
        <w:t>Flags indicating omission of support for individual RATs are a feasible form of delta signalling.</w:t>
      </w:r>
    </w:p>
    <w:p w14:paraId="3B0C52D2" w14:textId="7E063A5A" w:rsidR="00B922AF" w:rsidRDefault="00B922AF" w:rsidP="00DF345D">
      <w:pPr>
        <w:spacing w:after="240"/>
        <w:rPr>
          <w:lang w:val="en-GB"/>
        </w:rPr>
      </w:pPr>
      <w:r>
        <w:rPr>
          <w:lang w:val="en-GB"/>
        </w:rPr>
        <w:t>Similar reasoning applies to frequency ranges; the most likely use case would be to disable FR2, which can be done with a single flag in the signalling.  It could be discussed if there is any use case for a matching “disable FR1” flag.</w:t>
      </w:r>
    </w:p>
    <w:p w14:paraId="314EB282" w14:textId="4FF983E2" w:rsidR="00B922AF" w:rsidRDefault="00B922AF" w:rsidP="00DF345D">
      <w:pPr>
        <w:spacing w:after="240"/>
        <w:rPr>
          <w:lang w:val="en-GB"/>
        </w:rPr>
      </w:pPr>
      <w:r>
        <w:rPr>
          <w:b/>
          <w:lang w:val="en-GB"/>
        </w:rPr>
        <w:t>Proposal 2:</w:t>
      </w:r>
      <w:r>
        <w:rPr>
          <w:lang w:val="en-GB"/>
        </w:rPr>
        <w:t xml:space="preserve"> A flag indicating omission of support for FR2 is a feasible form of delta signalling.  FR1 can be discussed.</w:t>
      </w:r>
    </w:p>
    <w:p w14:paraId="1FF1BCB1" w14:textId="22235622" w:rsidR="00B922AF" w:rsidRDefault="00B922AF" w:rsidP="00DF345D">
      <w:pPr>
        <w:spacing w:after="240"/>
        <w:rPr>
          <w:lang w:val="en-GB"/>
        </w:rPr>
      </w:pPr>
      <w:r>
        <w:rPr>
          <w:lang w:val="en-GB"/>
        </w:rPr>
        <w:lastRenderedPageBreak/>
        <w:t>Going beyond this baseline would involve more signalling.  As noted in [4], the UE capabilities comprise four basic types of fields:</w:t>
      </w:r>
    </w:p>
    <w:p w14:paraId="5FD7B1EA" w14:textId="77777777" w:rsidR="00B922AF" w:rsidRPr="00043586" w:rsidRDefault="00B922AF" w:rsidP="00B922AF">
      <w:pPr>
        <w:pStyle w:val="ListParagraph"/>
        <w:numPr>
          <w:ilvl w:val="0"/>
          <w:numId w:val="20"/>
        </w:numPr>
      </w:pPr>
      <w:r w:rsidRPr="00043586">
        <w:t>Boolean indicators (“ENUMERATED {supported}” in ASN.1) where presence means support and absence means lack of support;</w:t>
      </w:r>
    </w:p>
    <w:p w14:paraId="70D13C0A" w14:textId="77777777" w:rsidR="00B922AF" w:rsidRPr="00043586" w:rsidRDefault="00B922AF" w:rsidP="00B922AF">
      <w:pPr>
        <w:pStyle w:val="ListParagraph"/>
        <w:numPr>
          <w:ilvl w:val="0"/>
          <w:numId w:val="20"/>
        </w:numPr>
      </w:pPr>
      <w:r w:rsidRPr="00043586">
        <w:t>Scalar or enumerated indicators where a maximum number of something, or one of several versions of the feature, is supported by the UE;</w:t>
      </w:r>
    </w:p>
    <w:p w14:paraId="25F94A43" w14:textId="77777777" w:rsidR="00B922AF" w:rsidRPr="00043586" w:rsidRDefault="00B922AF" w:rsidP="00B922AF">
      <w:pPr>
        <w:pStyle w:val="ListParagraph"/>
        <w:numPr>
          <w:ilvl w:val="0"/>
          <w:numId w:val="20"/>
        </w:numPr>
      </w:pPr>
      <w:r w:rsidRPr="00043586">
        <w:t xml:space="preserve">Bitmasks indicating a set of supported characteristics (e.g., the </w:t>
      </w:r>
      <w:proofErr w:type="spellStart"/>
      <w:r w:rsidRPr="00043586">
        <w:rPr>
          <w:i/>
        </w:rPr>
        <w:t>supportedGapPattern</w:t>
      </w:r>
      <w:proofErr w:type="spellEnd"/>
      <w:r w:rsidRPr="00043586">
        <w:t>);</w:t>
      </w:r>
    </w:p>
    <w:p w14:paraId="67A2C547" w14:textId="77777777" w:rsidR="00B922AF" w:rsidRPr="00043586" w:rsidRDefault="00B922AF" w:rsidP="00B922AF">
      <w:pPr>
        <w:pStyle w:val="ListParagraph"/>
        <w:numPr>
          <w:ilvl w:val="0"/>
          <w:numId w:val="20"/>
        </w:numPr>
      </w:pPr>
      <w:r w:rsidRPr="00043586">
        <w:t>Lists of supported characteristics (e.g., band combination lists).</w:t>
      </w:r>
    </w:p>
    <w:p w14:paraId="4CB71D45" w14:textId="595E32C7" w:rsidR="00B922AF" w:rsidRDefault="00B922AF" w:rsidP="00DF345D">
      <w:pPr>
        <w:spacing w:after="240"/>
        <w:rPr>
          <w:lang w:val="en-GB"/>
        </w:rPr>
      </w:pPr>
      <w:r>
        <w:rPr>
          <w:lang w:val="en-GB"/>
        </w:rPr>
        <w:t xml:space="preserve">Based on previous discussion, we understand that the strongest objection to delta signalling on grounds of complexity relates to the fields of type 4, for which </w:t>
      </w:r>
      <w:proofErr w:type="spellStart"/>
      <w:r>
        <w:rPr>
          <w:lang w:val="en-GB"/>
        </w:rPr>
        <w:t>ToAddMod</w:t>
      </w:r>
      <w:proofErr w:type="spellEnd"/>
      <w:r>
        <w:rPr>
          <w:lang w:val="en-GB"/>
        </w:rPr>
        <w:t>/</w:t>
      </w:r>
      <w:proofErr w:type="spellStart"/>
      <w:r>
        <w:rPr>
          <w:lang w:val="en-GB"/>
        </w:rPr>
        <w:t>ToRemove</w:t>
      </w:r>
      <w:proofErr w:type="spellEnd"/>
      <w:r>
        <w:rPr>
          <w:lang w:val="en-GB"/>
        </w:rPr>
        <w:t xml:space="preserve"> lists would need to be defined.  The other fields are relatively small in number, and as per the analysis of [4] it should be possible to use delta signalling at the list level—e.g., for delta signalling of the PDCP parameters, signal a version of the </w:t>
      </w:r>
      <w:r>
        <w:rPr>
          <w:i/>
          <w:lang w:val="en-GB"/>
        </w:rPr>
        <w:t>PDCP-Parameters</w:t>
      </w:r>
      <w:r>
        <w:rPr>
          <w:lang w:val="en-GB"/>
        </w:rPr>
        <w:t xml:space="preserve"> IE in which all fields are OPTIONAL, and each field is included if changed and omitted if unchanged.</w:t>
      </w:r>
    </w:p>
    <w:p w14:paraId="1CFE0DA5" w14:textId="7332922D" w:rsidR="00B922AF" w:rsidRDefault="00B922AF" w:rsidP="00DF345D">
      <w:pPr>
        <w:spacing w:after="240"/>
        <w:rPr>
          <w:lang w:val="en-GB"/>
        </w:rPr>
      </w:pPr>
      <w:r>
        <w:rPr>
          <w:b/>
          <w:lang w:val="en-GB"/>
        </w:rPr>
        <w:t>Proposal 3:</w:t>
      </w:r>
      <w:r>
        <w:rPr>
          <w:lang w:val="en-GB"/>
        </w:rPr>
        <w:t xml:space="preserve"> Capability fields that are not lists can be supported with delta signalling at the list level.</w:t>
      </w:r>
    </w:p>
    <w:p w14:paraId="2F5F39A1" w14:textId="418F116D" w:rsidR="00B922AF" w:rsidRDefault="00B922AF" w:rsidP="00DF345D">
      <w:pPr>
        <w:spacing w:after="240"/>
        <w:rPr>
          <w:lang w:val="en-GB"/>
        </w:rPr>
      </w:pPr>
      <w:r>
        <w:rPr>
          <w:lang w:val="en-GB"/>
        </w:rPr>
        <w:t xml:space="preserve">Finally, to support delta signalling for the lists that constitute most of the capability signalling, an approach was discussed in [1] using </w:t>
      </w:r>
      <w:proofErr w:type="spellStart"/>
      <w:r>
        <w:rPr>
          <w:lang w:val="en-GB"/>
        </w:rPr>
        <w:t>ToAd</w:t>
      </w:r>
      <w:r w:rsidR="00DC3D65">
        <w:rPr>
          <w:lang w:val="en-GB"/>
        </w:rPr>
        <w:t>dMod</w:t>
      </w:r>
      <w:proofErr w:type="spellEnd"/>
      <w:r w:rsidR="00DC3D65">
        <w:rPr>
          <w:lang w:val="en-GB"/>
        </w:rPr>
        <w:t>/</w:t>
      </w:r>
      <w:proofErr w:type="spellStart"/>
      <w:r w:rsidR="00DC3D65">
        <w:rPr>
          <w:lang w:val="en-GB"/>
        </w:rPr>
        <w:t>ToRemove</w:t>
      </w:r>
      <w:proofErr w:type="spellEnd"/>
      <w:r w:rsidR="00DC3D65">
        <w:rPr>
          <w:lang w:val="en-GB"/>
        </w:rPr>
        <w:t xml:space="preserve"> lists.  RAN2 need</w:t>
      </w:r>
      <w:r>
        <w:rPr>
          <w:lang w:val="en-GB"/>
        </w:rPr>
        <w:t xml:space="preserve"> to decide if this level of signalling is acceptable under the guidance of the WID.</w:t>
      </w:r>
    </w:p>
    <w:p w14:paraId="1E6D4950" w14:textId="244392F0" w:rsidR="00B922AF" w:rsidRPr="00B922AF" w:rsidRDefault="00B922AF" w:rsidP="00DF345D">
      <w:pPr>
        <w:spacing w:after="240"/>
        <w:rPr>
          <w:lang w:val="en-GB"/>
        </w:rPr>
      </w:pPr>
      <w:r>
        <w:rPr>
          <w:b/>
          <w:lang w:val="en-GB"/>
        </w:rPr>
        <w:t>Proposal 4:</w:t>
      </w:r>
      <w:r>
        <w:rPr>
          <w:lang w:val="en-GB"/>
        </w:rPr>
        <w:t xml:space="preserve"> Discuss whether delta signalling with </w:t>
      </w:r>
      <w:proofErr w:type="spellStart"/>
      <w:r>
        <w:rPr>
          <w:lang w:val="en-GB"/>
        </w:rPr>
        <w:t>ToAddMod</w:t>
      </w:r>
      <w:proofErr w:type="spellEnd"/>
      <w:r>
        <w:rPr>
          <w:lang w:val="en-GB"/>
        </w:rPr>
        <w:t>/</w:t>
      </w:r>
      <w:proofErr w:type="spellStart"/>
      <w:r>
        <w:rPr>
          <w:lang w:val="en-GB"/>
        </w:rPr>
        <w:t>ToRemove</w:t>
      </w:r>
      <w:proofErr w:type="spellEnd"/>
      <w:r>
        <w:rPr>
          <w:lang w:val="en-GB"/>
        </w:rPr>
        <w:t xml:space="preserve"> lists is simple enough to be specified in this work item.</w:t>
      </w:r>
    </w:p>
    <w:p w14:paraId="016302AC" w14:textId="5BC10B52" w:rsidR="00A17DB7" w:rsidRPr="00B922AF" w:rsidRDefault="001A1FCC" w:rsidP="00A17DB7">
      <w:pPr>
        <w:pStyle w:val="Heading1"/>
        <w:overflowPunct w:val="0"/>
        <w:autoSpaceDE w:val="0"/>
        <w:autoSpaceDN w:val="0"/>
        <w:adjustRightInd w:val="0"/>
        <w:rPr>
          <w:rFonts w:eastAsia="PMingLiU" w:cs="Arial"/>
        </w:rPr>
      </w:pPr>
      <w:r w:rsidRPr="00B922AF">
        <w:rPr>
          <w:rFonts w:eastAsia="PMingLiU" w:cs="Arial"/>
        </w:rPr>
        <w:t>Conc</w:t>
      </w:r>
      <w:r w:rsidR="00A17DB7" w:rsidRPr="00B922AF">
        <w:rPr>
          <w:rFonts w:eastAsia="PMingLiU" w:cs="Arial"/>
        </w:rPr>
        <w:t>l</w:t>
      </w:r>
      <w:r w:rsidRPr="00B922AF">
        <w:rPr>
          <w:rFonts w:eastAsia="PMingLiU" w:cs="Arial"/>
        </w:rPr>
        <w:t>usion</w:t>
      </w:r>
      <w:bookmarkEnd w:id="6"/>
      <w:bookmarkEnd w:id="7"/>
      <w:bookmarkEnd w:id="8"/>
      <w:bookmarkEnd w:id="9"/>
    </w:p>
    <w:bookmarkEnd w:id="0"/>
    <w:bookmarkEnd w:id="1"/>
    <w:p w14:paraId="73B531CE" w14:textId="0944B03D" w:rsidR="00F243A7" w:rsidRPr="00F243A7" w:rsidRDefault="00F243A7" w:rsidP="00F243A7">
      <w:pPr>
        <w:spacing w:after="240"/>
        <w:rPr>
          <w:lang w:val="en-GB"/>
        </w:rPr>
      </w:pPr>
      <w:r>
        <w:rPr>
          <w:lang w:val="en-GB"/>
        </w:rPr>
        <w:t>This document promulgated the following proposals:</w:t>
      </w:r>
    </w:p>
    <w:p w14:paraId="13E98177" w14:textId="77777777" w:rsidR="00F243A7" w:rsidRDefault="00F243A7" w:rsidP="00F243A7">
      <w:pPr>
        <w:spacing w:after="240"/>
        <w:rPr>
          <w:lang w:val="en-GB"/>
        </w:rPr>
      </w:pPr>
      <w:r w:rsidRPr="00B922AF">
        <w:rPr>
          <w:b/>
          <w:lang w:val="en-GB"/>
        </w:rPr>
        <w:t>Proposal 1:</w:t>
      </w:r>
      <w:r w:rsidRPr="00B922AF">
        <w:rPr>
          <w:lang w:val="en-GB"/>
        </w:rPr>
        <w:t xml:space="preserve"> </w:t>
      </w:r>
      <w:r>
        <w:rPr>
          <w:lang w:val="en-GB"/>
        </w:rPr>
        <w:t>Flags indicating omission of support for individual RATs are a feasible form of delta signalling.</w:t>
      </w:r>
    </w:p>
    <w:p w14:paraId="0018614A" w14:textId="77777777" w:rsidR="00F243A7" w:rsidRDefault="00F243A7" w:rsidP="00F243A7">
      <w:pPr>
        <w:spacing w:after="240"/>
        <w:rPr>
          <w:lang w:val="en-GB"/>
        </w:rPr>
      </w:pPr>
      <w:r>
        <w:rPr>
          <w:b/>
          <w:lang w:val="en-GB"/>
        </w:rPr>
        <w:t>Proposal 2:</w:t>
      </w:r>
      <w:r>
        <w:rPr>
          <w:lang w:val="en-GB"/>
        </w:rPr>
        <w:t xml:space="preserve"> A flag indicating omission of support for FR2 is a feasible form of delta signalling.  FR1 can be discussed.</w:t>
      </w:r>
    </w:p>
    <w:p w14:paraId="42590A0E" w14:textId="77777777" w:rsidR="00F243A7" w:rsidRDefault="00F243A7" w:rsidP="00F243A7">
      <w:pPr>
        <w:spacing w:after="240"/>
        <w:rPr>
          <w:lang w:val="en-GB"/>
        </w:rPr>
      </w:pPr>
      <w:r>
        <w:rPr>
          <w:b/>
          <w:lang w:val="en-GB"/>
        </w:rPr>
        <w:t>Proposal 3:</w:t>
      </w:r>
      <w:r>
        <w:rPr>
          <w:lang w:val="en-GB"/>
        </w:rPr>
        <w:t xml:space="preserve"> Capability fields that are not lists can be supported with delta signalling at the list level.</w:t>
      </w:r>
    </w:p>
    <w:p w14:paraId="6CE3A170" w14:textId="77777777" w:rsidR="00F243A7" w:rsidRPr="00B922AF" w:rsidRDefault="00F243A7" w:rsidP="00F243A7">
      <w:pPr>
        <w:spacing w:after="240"/>
        <w:rPr>
          <w:lang w:val="en-GB"/>
        </w:rPr>
      </w:pPr>
      <w:r>
        <w:rPr>
          <w:b/>
          <w:lang w:val="en-GB"/>
        </w:rPr>
        <w:t>Proposal 4:</w:t>
      </w:r>
      <w:r>
        <w:rPr>
          <w:lang w:val="en-GB"/>
        </w:rPr>
        <w:t xml:space="preserve"> Discuss whether delta signalling with </w:t>
      </w:r>
      <w:proofErr w:type="spellStart"/>
      <w:r>
        <w:rPr>
          <w:lang w:val="en-GB"/>
        </w:rPr>
        <w:t>ToAddMod</w:t>
      </w:r>
      <w:proofErr w:type="spellEnd"/>
      <w:r>
        <w:rPr>
          <w:lang w:val="en-GB"/>
        </w:rPr>
        <w:t>/</w:t>
      </w:r>
      <w:proofErr w:type="spellStart"/>
      <w:r>
        <w:rPr>
          <w:lang w:val="en-GB"/>
        </w:rPr>
        <w:t>ToRemove</w:t>
      </w:r>
      <w:proofErr w:type="spellEnd"/>
      <w:r>
        <w:rPr>
          <w:lang w:val="en-GB"/>
        </w:rPr>
        <w:t xml:space="preserve"> lists is simple enough to be specified in this work item.</w:t>
      </w:r>
    </w:p>
    <w:p w14:paraId="7F37F751" w14:textId="5735CD44" w:rsidR="00732182" w:rsidRPr="00B922AF" w:rsidRDefault="00732182" w:rsidP="00732182">
      <w:pPr>
        <w:pStyle w:val="Heading1"/>
        <w:overflowPunct w:val="0"/>
        <w:autoSpaceDE w:val="0"/>
        <w:autoSpaceDN w:val="0"/>
        <w:adjustRightInd w:val="0"/>
        <w:rPr>
          <w:rFonts w:eastAsia="PMingLiU" w:cs="Arial"/>
        </w:rPr>
      </w:pPr>
      <w:r w:rsidRPr="00B922AF">
        <w:rPr>
          <w:rFonts w:eastAsia="PMingLiU" w:cs="Arial"/>
        </w:rPr>
        <w:t>References</w:t>
      </w:r>
    </w:p>
    <w:p w14:paraId="2D48A6DA" w14:textId="2CCB60D2" w:rsidR="00732182" w:rsidRPr="00B922AF" w:rsidRDefault="001C15D5" w:rsidP="00732182">
      <w:pPr>
        <w:rPr>
          <w:lang w:val="en-GB" w:eastAsia="en-US"/>
        </w:rPr>
      </w:pPr>
      <w:r w:rsidRPr="00B922AF">
        <w:rPr>
          <w:lang w:val="en-GB" w:eastAsia="en-US"/>
        </w:rPr>
        <w:t>[1]</w:t>
      </w:r>
      <w:r w:rsidRPr="00B922AF">
        <w:rPr>
          <w:lang w:val="en-GB" w:eastAsia="en-US"/>
        </w:rPr>
        <w:tab/>
        <w:t>R2-19</w:t>
      </w:r>
      <w:r w:rsidR="00B922AF" w:rsidRPr="00B922AF">
        <w:rPr>
          <w:lang w:val="en-GB" w:eastAsia="en-US"/>
        </w:rPr>
        <w:t>00824, “Delta signalling for UE capability indication”, MediaTek Inc., RAN2#105</w:t>
      </w:r>
    </w:p>
    <w:p w14:paraId="3984FFF1" w14:textId="58815F8E" w:rsidR="00B922AF" w:rsidRPr="00B922AF" w:rsidRDefault="00B922AF" w:rsidP="00732182">
      <w:pPr>
        <w:rPr>
          <w:lang w:val="en-GB" w:eastAsia="en-US"/>
        </w:rPr>
      </w:pPr>
      <w:r w:rsidRPr="00B922AF">
        <w:rPr>
          <w:lang w:val="en-GB" w:eastAsia="en-US"/>
        </w:rPr>
        <w:t>[2]</w:t>
      </w:r>
      <w:r w:rsidRPr="00B922AF">
        <w:rPr>
          <w:lang w:val="en-GB" w:eastAsia="en-US"/>
        </w:rPr>
        <w:tab/>
        <w:t>TR 23.743</w:t>
      </w:r>
    </w:p>
    <w:p w14:paraId="3E5B881C" w14:textId="54AD5434" w:rsidR="00B922AF" w:rsidRDefault="00B922AF" w:rsidP="00732182">
      <w:pPr>
        <w:rPr>
          <w:lang w:val="en-GB" w:eastAsia="en-US"/>
        </w:rPr>
      </w:pPr>
      <w:r w:rsidRPr="00B922AF">
        <w:rPr>
          <w:lang w:val="en-GB" w:eastAsia="en-US"/>
        </w:rPr>
        <w:t>[3]</w:t>
      </w:r>
      <w:r w:rsidRPr="00B922AF">
        <w:rPr>
          <w:lang w:val="en-GB" w:eastAsia="en-US"/>
        </w:rPr>
        <w:tab/>
        <w:t>RP-190657, “New WI Proposal on optimisations on UE radio capability signalling – NR/E-UTRA Aspects”, MediaTek Inc., RAN#83</w:t>
      </w:r>
    </w:p>
    <w:p w14:paraId="40AC2208" w14:textId="7393AE8F" w:rsidR="00B922AF" w:rsidRPr="00B922AF" w:rsidRDefault="00B922AF" w:rsidP="00732182">
      <w:pPr>
        <w:rPr>
          <w:lang w:val="en-GB" w:eastAsia="en-US"/>
        </w:rPr>
      </w:pPr>
      <w:r>
        <w:rPr>
          <w:lang w:val="en-GB" w:eastAsia="en-US"/>
        </w:rPr>
        <w:t>[4]</w:t>
      </w:r>
      <w:r>
        <w:rPr>
          <w:lang w:val="en-GB" w:eastAsia="en-US"/>
        </w:rPr>
        <w:tab/>
        <w:t>R2-1900822, “</w:t>
      </w:r>
      <w:r w:rsidRPr="00B922AF">
        <w:rPr>
          <w:lang w:val="en-GB" w:eastAsia="en-US"/>
        </w:rPr>
        <w:t>Open issues on RACS study item after email discussion [104#34]</w:t>
      </w:r>
      <w:r>
        <w:rPr>
          <w:lang w:val="en-GB" w:eastAsia="en-US"/>
        </w:rPr>
        <w:t>”, MediaTek Inc., RAN2#105</w:t>
      </w:r>
    </w:p>
    <w:p w14:paraId="0EFFC6D5" w14:textId="77777777" w:rsidR="00211DDB" w:rsidRPr="00B922AF" w:rsidRDefault="00211DDB" w:rsidP="00BB7841">
      <w:pPr>
        <w:spacing w:after="240"/>
        <w:rPr>
          <w:lang w:val="en-GB"/>
        </w:rPr>
      </w:pPr>
    </w:p>
    <w:sectPr w:rsidR="00211DDB" w:rsidRPr="00B922AF"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C8E464" w14:textId="77777777" w:rsidR="00EB410F" w:rsidRDefault="00EB410F">
      <w:pPr>
        <w:pStyle w:val="TAL"/>
      </w:pPr>
      <w:r>
        <w:separator/>
      </w:r>
    </w:p>
  </w:endnote>
  <w:endnote w:type="continuationSeparator" w:id="0">
    <w:p w14:paraId="27DA9B98" w14:textId="77777777" w:rsidR="00EB410F" w:rsidRDefault="00EB410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8A01A3">
      <w:t>2</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44571C" w14:textId="77777777" w:rsidR="00EB410F" w:rsidRDefault="00EB410F">
      <w:pPr>
        <w:pStyle w:val="TAL"/>
      </w:pPr>
      <w:r>
        <w:separator/>
      </w:r>
    </w:p>
  </w:footnote>
  <w:footnote w:type="continuationSeparator" w:id="0">
    <w:p w14:paraId="4E04259E" w14:textId="77777777" w:rsidR="00EB410F" w:rsidRDefault="00EB410F">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4E9D2CA0"/>
    <w:multiLevelType w:val="hybridMultilevel"/>
    <w:tmpl w:val="F0EC1A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C3475F"/>
    <w:multiLevelType w:val="hybridMultilevel"/>
    <w:tmpl w:val="E4E82A72"/>
    <w:lvl w:ilvl="0" w:tplc="73FE3E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4"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13"/>
  </w:num>
  <w:num w:numId="4">
    <w:abstractNumId w:val="8"/>
  </w:num>
  <w:num w:numId="5">
    <w:abstractNumId w:val="5"/>
  </w:num>
  <w:num w:numId="6">
    <w:abstractNumId w:val="4"/>
  </w:num>
  <w:num w:numId="7">
    <w:abstractNumId w:val="18"/>
  </w:num>
  <w:num w:numId="8">
    <w:abstractNumId w:val="17"/>
  </w:num>
  <w:num w:numId="9">
    <w:abstractNumId w:val="0"/>
  </w:num>
  <w:num w:numId="10">
    <w:abstractNumId w:val="3"/>
  </w:num>
  <w:num w:numId="11">
    <w:abstractNumId w:val="11"/>
  </w:num>
  <w:num w:numId="12">
    <w:abstractNumId w:val="16"/>
  </w:num>
  <w:num w:numId="13">
    <w:abstractNumId w:val="15"/>
  </w:num>
  <w:num w:numId="14">
    <w:abstractNumId w:val="2"/>
  </w:num>
  <w:num w:numId="15">
    <w:abstractNumId w:val="10"/>
  </w:num>
  <w:num w:numId="16">
    <w:abstractNumId w:val="6"/>
  </w:num>
  <w:num w:numId="17">
    <w:abstractNumId w:val="14"/>
  </w:num>
  <w:num w:numId="18">
    <w:abstractNumId w:val="1"/>
  </w:num>
  <w:num w:numId="19">
    <w:abstractNumId w:val="12"/>
  </w:num>
  <w:num w:numId="2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4FC"/>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7F"/>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454"/>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77765"/>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1A3"/>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584"/>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1D5C"/>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2AF"/>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9B5"/>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A7F"/>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3D65"/>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6AF"/>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0F"/>
    <w:rsid w:val="00EB41BC"/>
    <w:rsid w:val="00EB4B20"/>
    <w:rsid w:val="00EB5B0D"/>
    <w:rsid w:val="00EB5B44"/>
    <w:rsid w:val="00EB5C3A"/>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A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BD31D3-AAB2-4B6E-BB64-AA1366678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740</Words>
  <Characters>4218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2007-12-21T03:58:00Z</cp:lastPrinted>
  <dcterms:created xsi:type="dcterms:W3CDTF">2019-05-03T02:38:00Z</dcterms:created>
  <dcterms:modified xsi:type="dcterms:W3CDTF">2019-05-03T02:38:00Z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