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7B4BB" w14:textId="46F9FD83" w:rsidR="004C1BC6" w:rsidRPr="00AE6567" w:rsidRDefault="004C1BC6" w:rsidP="004C1BC6">
      <w:pPr>
        <w:pStyle w:val="3GPPHeader"/>
        <w:spacing w:after="60"/>
        <w:rPr>
          <w:sz w:val="32"/>
          <w:szCs w:val="32"/>
          <w:highlight w:val="yellow"/>
          <w:lang w:val="en-US"/>
        </w:rPr>
      </w:pPr>
      <w:bookmarkStart w:id="0" w:name="_Hlk512852793"/>
      <w:r w:rsidRPr="00AE6567">
        <w:rPr>
          <w:lang w:val="en-US"/>
        </w:rPr>
        <w:t>3GPP TSG-RAN WG2 #105bis</w:t>
      </w:r>
      <w:r w:rsidRPr="00AE6567">
        <w:rPr>
          <w:lang w:val="en-US"/>
        </w:rPr>
        <w:tab/>
      </w:r>
      <w:r w:rsidRPr="00AE6567">
        <w:rPr>
          <w:sz w:val="32"/>
          <w:szCs w:val="32"/>
          <w:lang w:val="en-US"/>
        </w:rPr>
        <w:t xml:space="preserve">Tdoc </w:t>
      </w:r>
      <w:bookmarkStart w:id="1" w:name="_GoBack"/>
      <w:r w:rsidR="003D5BEC" w:rsidRPr="003D5BEC">
        <w:rPr>
          <w:sz w:val="32"/>
          <w:szCs w:val="32"/>
          <w:lang w:val="en-US"/>
        </w:rPr>
        <w:t>R2-1904732</w:t>
      </w:r>
      <w:bookmarkEnd w:id="1"/>
    </w:p>
    <w:p w14:paraId="639D41AC" w14:textId="4C01BB77" w:rsidR="004C1BC6" w:rsidRDefault="004C1BC6" w:rsidP="004C1BC6">
      <w:pPr>
        <w:pStyle w:val="3GPPHeader"/>
        <w:rPr>
          <w:lang w:val="en-US"/>
        </w:rPr>
      </w:pPr>
      <w:r w:rsidRPr="00AE6567">
        <w:rPr>
          <w:lang w:val="en-US"/>
        </w:rPr>
        <w:t>Xi’an, China, 08 Apr – 12 Apr 2019</w:t>
      </w:r>
      <w:r>
        <w:rPr>
          <w:lang w:val="en-US"/>
        </w:rPr>
        <w:t xml:space="preserve">                                              Revision of </w:t>
      </w:r>
      <w:r w:rsidR="00A36405">
        <w:rPr>
          <w:lang w:val="en-US"/>
        </w:rPr>
        <w:t>R2-</w:t>
      </w:r>
      <w:r>
        <w:rPr>
          <w:lang w:val="en-US"/>
        </w:rPr>
        <w:t>1901669</w:t>
      </w:r>
    </w:p>
    <w:p w14:paraId="0BD05C7B" w14:textId="346E761F" w:rsidR="008618A7" w:rsidRPr="002C34A9" w:rsidRDefault="008618A7" w:rsidP="008618A7">
      <w:pPr>
        <w:pStyle w:val="3GPPHeader"/>
        <w:rPr>
          <w:sz w:val="22"/>
          <w:szCs w:val="22"/>
          <w:lang w:val="en-US"/>
        </w:rPr>
      </w:pPr>
      <w:r w:rsidRPr="002C34A9">
        <w:rPr>
          <w:sz w:val="22"/>
          <w:szCs w:val="22"/>
          <w:lang w:val="en-US"/>
        </w:rPr>
        <w:t>Agenda Item:</w:t>
      </w:r>
      <w:r w:rsidRPr="002C34A9">
        <w:rPr>
          <w:sz w:val="22"/>
          <w:szCs w:val="22"/>
          <w:lang w:val="en-US"/>
        </w:rPr>
        <w:tab/>
      </w:r>
      <w:r w:rsidR="00287CFE" w:rsidRPr="00287CFE">
        <w:rPr>
          <w:sz w:val="22"/>
          <w:szCs w:val="22"/>
          <w:lang w:val="en-US"/>
        </w:rPr>
        <w:t>11.2.1.2</w:t>
      </w:r>
      <w:r w:rsidR="00287CFE" w:rsidRPr="002C34A9">
        <w:rPr>
          <w:lang w:val="en-US"/>
        </w:rPr>
        <w:tab/>
      </w:r>
    </w:p>
    <w:p w14:paraId="648DA1B3" w14:textId="77777777" w:rsidR="00E159AD" w:rsidRPr="00901182" w:rsidRDefault="00E159AD" w:rsidP="00E159AD">
      <w:pPr>
        <w:pStyle w:val="3GPPHeader"/>
        <w:rPr>
          <w:sz w:val="22"/>
          <w:szCs w:val="22"/>
          <w:lang w:val="en-US"/>
        </w:rPr>
      </w:pPr>
      <w:r w:rsidRPr="00901182">
        <w:rPr>
          <w:sz w:val="22"/>
          <w:szCs w:val="22"/>
          <w:lang w:val="en-US"/>
        </w:rPr>
        <w:t>Source:</w:t>
      </w:r>
      <w:r w:rsidRPr="00901182">
        <w:rPr>
          <w:sz w:val="22"/>
          <w:szCs w:val="22"/>
          <w:lang w:val="en-US"/>
        </w:rPr>
        <w:tab/>
        <w:t>Ericsson</w:t>
      </w:r>
    </w:p>
    <w:p w14:paraId="28814059" w14:textId="77777777" w:rsidR="00E159AD" w:rsidRPr="00901182" w:rsidRDefault="00E159AD" w:rsidP="00E159AD">
      <w:pPr>
        <w:pStyle w:val="3GPPHeader"/>
        <w:rPr>
          <w:sz w:val="22"/>
          <w:szCs w:val="22"/>
          <w:lang w:val="en-US"/>
        </w:rPr>
      </w:pPr>
      <w:r w:rsidRPr="00901182">
        <w:rPr>
          <w:sz w:val="22"/>
          <w:szCs w:val="22"/>
          <w:lang w:val="en-US"/>
        </w:rPr>
        <w:t>Title:</w:t>
      </w:r>
      <w:r w:rsidRPr="00901182">
        <w:rPr>
          <w:sz w:val="22"/>
          <w:szCs w:val="22"/>
          <w:lang w:val="en-US"/>
        </w:rPr>
        <w:tab/>
      </w:r>
      <w:r>
        <w:rPr>
          <w:sz w:val="22"/>
          <w:szCs w:val="22"/>
          <w:lang w:val="en-US"/>
        </w:rPr>
        <w:t>BSR/PHR report for NR-U</w:t>
      </w:r>
    </w:p>
    <w:p w14:paraId="018E5487" w14:textId="77777777" w:rsidR="00E159AD" w:rsidRPr="00901182" w:rsidRDefault="00E159AD" w:rsidP="00E159AD">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4D6961" w14:textId="77777777" w:rsidR="00E159AD" w:rsidRPr="00491842" w:rsidRDefault="00E159AD" w:rsidP="00E159AD">
      <w:pPr>
        <w:pStyle w:val="3GPPHeader"/>
        <w:spacing w:after="60"/>
      </w:pPr>
    </w:p>
    <w:p w14:paraId="50D079C4" w14:textId="77777777" w:rsidR="00E159AD" w:rsidRDefault="00E159AD" w:rsidP="00E159AD">
      <w:pPr>
        <w:pStyle w:val="Heading1"/>
        <w:rPr>
          <w:lang w:val="en-US"/>
        </w:rPr>
      </w:pPr>
      <w:r w:rsidRPr="00901182">
        <w:rPr>
          <w:lang w:val="en-US"/>
        </w:rPr>
        <w:t>Introduction</w:t>
      </w:r>
    </w:p>
    <w:p w14:paraId="68DC3D1A" w14:textId="2D07438C" w:rsidR="00E159AD" w:rsidRDefault="00E159AD" w:rsidP="00E159AD">
      <w:pPr>
        <w:rPr>
          <w:rFonts w:ascii="Times New Roman" w:hAnsi="Times New Roman"/>
          <w:lang w:eastAsia="ko-KR"/>
        </w:rPr>
      </w:pPr>
      <w:r>
        <w:rPr>
          <w:lang w:val="en-US" w:eastAsia="ja-JP"/>
        </w:rPr>
        <w:t>For NR-U</w:t>
      </w:r>
      <w:r w:rsidR="00306559">
        <w:rPr>
          <w:lang w:val="en-US" w:eastAsia="ja-JP"/>
        </w:rPr>
        <w:t xml:space="preserve"> WI</w:t>
      </w:r>
      <w:r>
        <w:rPr>
          <w:lang w:val="en-US" w:eastAsia="ja-JP"/>
        </w:rPr>
        <w:t xml:space="preserve">, </w:t>
      </w:r>
      <w:r>
        <w:rPr>
          <w:lang w:eastAsia="ja-JP"/>
        </w:rPr>
        <w:t xml:space="preserve">the scheduling aspects have been defined in the scope. </w:t>
      </w:r>
      <w:r>
        <w:rPr>
          <w:lang w:eastAsia="ko-KR"/>
        </w:rPr>
        <w:t xml:space="preserve">The Buffer Status reporting (BSR) procedure is used to provide the serving gNB with information about UL data volume in the MAC entity. With timely and accurate buffer status report, the gNB is able to perform effective scheduling between UEs. </w:t>
      </w:r>
    </w:p>
    <w:p w14:paraId="6420F3AC" w14:textId="48AE5A0D" w:rsidR="00E159AD" w:rsidRDefault="00E159AD" w:rsidP="00E159AD">
      <w:pPr>
        <w:rPr>
          <w:lang w:eastAsia="ja-JP"/>
        </w:rPr>
      </w:pPr>
      <w:r>
        <w:rPr>
          <w:lang w:eastAsia="x-none"/>
        </w:rPr>
        <w:t xml:space="preserve">In NR-U, a listen before talk (LBT) operation may need be performed prior to any transmission. It is necessary for RAN2 to study enhancements for BSR transmissions to combat with the LBT failures. In this paper, </w:t>
      </w:r>
      <w:r>
        <w:rPr>
          <w:lang w:val="en-US"/>
        </w:rPr>
        <w:t xml:space="preserve">we </w:t>
      </w:r>
      <w:r w:rsidR="00144293">
        <w:rPr>
          <w:lang w:val="en-US"/>
        </w:rPr>
        <w:t>analyses</w:t>
      </w:r>
      <w:r>
        <w:rPr>
          <w:lang w:val="en-US"/>
        </w:rPr>
        <w:t xml:space="preserve"> the potential impact of LBT on BSR procedures and propose corresponding solutions in this paper</w:t>
      </w:r>
      <w:r>
        <w:rPr>
          <w:lang w:eastAsia="ja-JP"/>
        </w:rPr>
        <w:t>.</w:t>
      </w:r>
    </w:p>
    <w:p w14:paraId="5F30F688" w14:textId="77777777" w:rsidR="00E159AD" w:rsidRDefault="00E159AD" w:rsidP="00E159AD">
      <w:pPr>
        <w:pStyle w:val="Heading1"/>
        <w:rPr>
          <w:lang w:val="en-US"/>
        </w:rPr>
      </w:pPr>
      <w:bookmarkStart w:id="2" w:name="_Ref525831879"/>
      <w:r>
        <w:rPr>
          <w:lang w:val="en-US"/>
        </w:rPr>
        <w:t>Discussions</w:t>
      </w:r>
      <w:bookmarkEnd w:id="2"/>
    </w:p>
    <w:p w14:paraId="746EB291" w14:textId="77777777" w:rsidR="00E159AD" w:rsidRDefault="00E159AD" w:rsidP="00E159AD">
      <w:pPr>
        <w:jc w:val="center"/>
        <w:rPr>
          <w:rFonts w:eastAsia="MS Mincho"/>
          <w:lang w:val="en-US"/>
        </w:rPr>
      </w:pPr>
    </w:p>
    <w:p w14:paraId="55C56BD8" w14:textId="77777777" w:rsidR="00E159AD" w:rsidRDefault="00E159AD" w:rsidP="00E159AD">
      <w:pPr>
        <w:jc w:val="center"/>
        <w:rPr>
          <w:rFonts w:eastAsia="MS Mincho"/>
          <w:lang w:val="en-US"/>
        </w:rPr>
      </w:pPr>
      <w:r>
        <w:rPr>
          <w:rFonts w:eastAsia="MS Mincho"/>
          <w:noProof/>
          <w:lang w:val="en-US"/>
        </w:rPr>
        <w:drawing>
          <wp:inline distT="0" distB="0" distL="0" distR="0" wp14:anchorId="269BC8CF" wp14:editId="417374FB">
            <wp:extent cx="3843469" cy="2677454"/>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6357" cy="2679466"/>
                    </a:xfrm>
                    <a:prstGeom prst="rect">
                      <a:avLst/>
                    </a:prstGeom>
                    <a:noFill/>
                  </pic:spPr>
                </pic:pic>
              </a:graphicData>
            </a:graphic>
          </wp:inline>
        </w:drawing>
      </w:r>
    </w:p>
    <w:p w14:paraId="11C73163" w14:textId="1FABFF40" w:rsidR="00E159AD" w:rsidRDefault="00E159AD" w:rsidP="00E159AD">
      <w:pPr>
        <w:pStyle w:val="Caption"/>
        <w:rPr>
          <w:rFonts w:eastAsia="MS Mincho"/>
          <w:lang w:val="en-US"/>
        </w:rPr>
      </w:pPr>
      <w:r>
        <w:rPr>
          <w:rFonts w:eastAsia="MS Mincho"/>
          <w:lang w:val="en-US"/>
        </w:rPr>
        <w:t xml:space="preserve">Figure 1. An example of BSR transmission in case </w:t>
      </w:r>
      <w:r w:rsidR="006361B1">
        <w:rPr>
          <w:rFonts w:eastAsia="MS Mincho"/>
          <w:lang w:val="en-US"/>
        </w:rPr>
        <w:t>an</w:t>
      </w:r>
      <w:r>
        <w:rPr>
          <w:rFonts w:eastAsia="MS Mincho"/>
          <w:lang w:val="en-US"/>
        </w:rPr>
        <w:t xml:space="preserve"> LBT is failed for the initial MAC PDU for the case of scheduled UL.</w:t>
      </w:r>
    </w:p>
    <w:p w14:paraId="21BE565E" w14:textId="37524AAC" w:rsidR="00E159AD" w:rsidRDefault="00E159AD" w:rsidP="00E159AD">
      <w:pPr>
        <w:rPr>
          <w:rFonts w:eastAsia="MS Mincho"/>
          <w:lang w:val="en-US"/>
        </w:rPr>
      </w:pPr>
      <w:r>
        <w:rPr>
          <w:rFonts w:eastAsia="MS Mincho"/>
          <w:lang w:val="en-US"/>
        </w:rPr>
        <w:t xml:space="preserve">The BSR transmission may experience </w:t>
      </w:r>
      <w:r w:rsidR="00C070D5">
        <w:rPr>
          <w:rFonts w:eastAsia="MS Mincho"/>
          <w:lang w:val="en-US"/>
        </w:rPr>
        <w:t>LBT failure so that the gNB can</w:t>
      </w:r>
      <w:r>
        <w:rPr>
          <w:rFonts w:eastAsia="MS Mincho"/>
          <w:lang w:val="en-US"/>
        </w:rPr>
        <w:t xml:space="preserve">not receive the report on time. An example is illustrated in Figure 1, for the case of scheduled UL. In this example, after sending the first grant to the UE, the gNB doesn’t receive the expected data within a given time period. Since the gNB cannot identify the reason on whether the UE has experienced </w:t>
      </w:r>
      <w:r w:rsidR="00286CE4">
        <w:rPr>
          <w:rFonts w:eastAsia="MS Mincho"/>
          <w:lang w:val="en-US"/>
        </w:rPr>
        <w:t>an</w:t>
      </w:r>
      <w:r>
        <w:rPr>
          <w:rFonts w:eastAsia="MS Mincho"/>
          <w:lang w:val="en-US"/>
        </w:rPr>
        <w:t xml:space="preserve"> LBT failure or the transmission is failed due to bad radio channel quality, the gNB would then send a second grant to trigger retransmission for the UE. While receiving the second grant, the UE may have more data arrived, meaning that the BSR MAC CE carried in the initial MAC PDU </w:t>
      </w:r>
      <w:r w:rsidRPr="00DA0532">
        <w:rPr>
          <w:rFonts w:eastAsia="MS Mincho"/>
          <w:lang w:val="en-US"/>
        </w:rPr>
        <w:t>(</w:t>
      </w:r>
      <w:r>
        <w:rPr>
          <w:rFonts w:eastAsia="MS Mincho"/>
          <w:lang w:val="en-US"/>
        </w:rPr>
        <w:t>which is corresponding to the first grant</w:t>
      </w:r>
      <w:r w:rsidRPr="00DA0532">
        <w:rPr>
          <w:rFonts w:eastAsia="MS Mincho"/>
          <w:lang w:val="en-US"/>
        </w:rPr>
        <w:t>)</w:t>
      </w:r>
      <w:r>
        <w:rPr>
          <w:rFonts w:eastAsia="MS Mincho"/>
          <w:lang w:val="en-US"/>
        </w:rPr>
        <w:t xml:space="preserve"> has been out of dated. Therefore, from gNB perspective, there might be uncertainty, since</w:t>
      </w:r>
      <w:r>
        <w:t xml:space="preserve"> new data can arrive in the UE between the point in time when a BSR is included in a MAC PDU and until the gNB has decoded the BSR.</w:t>
      </w:r>
    </w:p>
    <w:p w14:paraId="1E041EDB" w14:textId="27539F91" w:rsidR="00E159AD" w:rsidRDefault="00E159AD" w:rsidP="00E159AD">
      <w:r>
        <w:rPr>
          <w:rFonts w:eastAsia="MS Mincho"/>
          <w:lang w:val="en-US"/>
        </w:rPr>
        <w:lastRenderedPageBreak/>
        <w:t xml:space="preserve">When autonomous UL is performed such uncertainty is even more serious, since which HARQ process to transmit on a certain TTI is left to the UE implementation (i.e., it has been agreed in NR-U to remove the that </w:t>
      </w:r>
      <w:r>
        <w:t>dependency between a</w:t>
      </w:r>
      <w:r w:rsidRPr="007C7520">
        <w:t xml:space="preserve"> HARQ process </w:t>
      </w:r>
      <w:r>
        <w:t>and</w:t>
      </w:r>
      <w:r w:rsidRPr="007C7520">
        <w:t xml:space="preserve"> the timing</w:t>
      </w:r>
      <w:r>
        <w:t>)</w:t>
      </w:r>
      <w:r>
        <w:rPr>
          <w:rFonts w:eastAsia="MS Mincho"/>
          <w:lang w:val="en-US"/>
        </w:rPr>
        <w:t xml:space="preserve">. Therefore, </w:t>
      </w:r>
      <w:r>
        <w:t>if an initial UL transmission for a given HARQ process fails to be decoded, the eNB might not be able to determine when such UL transmission was initially generated, even if the following retransmission of the same HARQ process are correctly decoded by the gNB.</w:t>
      </w:r>
    </w:p>
    <w:p w14:paraId="1F206EB5" w14:textId="77777777" w:rsidR="00E159AD" w:rsidRDefault="00E159AD" w:rsidP="00E159AD">
      <w:r>
        <w:t>The same uncertainty applies also to PHR transmissions, since the PHR content at the time of the transmission might not really reflect the status at the time in which it was generated.</w:t>
      </w:r>
    </w:p>
    <w:p w14:paraId="3A43E39B" w14:textId="77777777" w:rsidR="00E159AD" w:rsidRDefault="00E159AD" w:rsidP="00E159AD">
      <w:pPr>
        <w:pStyle w:val="Observation"/>
        <w:rPr>
          <w:rFonts w:eastAsia="MS Mincho"/>
          <w:lang w:val="en-US"/>
        </w:rPr>
      </w:pPr>
      <w:bookmarkStart w:id="3" w:name="_Toc525831825"/>
      <w:bookmarkStart w:id="4" w:name="_Toc525831868"/>
      <w:bookmarkStart w:id="5" w:name="_Toc525831948"/>
      <w:bookmarkStart w:id="6" w:name="_Toc528690208"/>
      <w:bookmarkStart w:id="7" w:name="_Toc528690258"/>
      <w:bookmarkStart w:id="8" w:name="_Toc528690290"/>
      <w:bookmarkStart w:id="9" w:name="_Toc528749719"/>
      <w:bookmarkStart w:id="10" w:name="_Toc1035533"/>
      <w:r>
        <w:t>In unlicensed transmissions, there might be an uncertainty at the gNB side on when a BSR or PHR MAC CE was really generated. That could affect UL scheduling and link adaptation.</w:t>
      </w:r>
      <w:bookmarkEnd w:id="3"/>
      <w:bookmarkEnd w:id="4"/>
      <w:bookmarkEnd w:id="5"/>
      <w:bookmarkEnd w:id="6"/>
      <w:bookmarkEnd w:id="7"/>
      <w:bookmarkEnd w:id="8"/>
      <w:bookmarkEnd w:id="9"/>
      <w:bookmarkEnd w:id="10"/>
    </w:p>
    <w:p w14:paraId="597F8095" w14:textId="77777777" w:rsidR="00E159AD" w:rsidRDefault="00E159AD" w:rsidP="00E159AD">
      <w:pPr>
        <w:rPr>
          <w:rFonts w:eastAsia="MS Mincho"/>
          <w:lang w:val="en-US"/>
        </w:rPr>
      </w:pPr>
      <w:r>
        <w:rPr>
          <w:rFonts w:eastAsia="MS Mincho"/>
          <w:lang w:val="en-US"/>
        </w:rPr>
        <w:t>In LTE LAA, the similar issue has been discussed. RAN2 has already concluded that it is up to UE implementation to decide where the initial MAC PDU is to be repacked or the initial MAC PDU can be retransmitted without repacking.</w:t>
      </w:r>
    </w:p>
    <w:p w14:paraId="0B74B4B7" w14:textId="6259E5EA" w:rsidR="00E159AD" w:rsidRPr="002037B1" w:rsidRDefault="00E159AD" w:rsidP="00E159AD">
      <w:pPr>
        <w:pStyle w:val="Observation"/>
      </w:pPr>
      <w:bookmarkStart w:id="11" w:name="_Toc525831826"/>
      <w:bookmarkStart w:id="12" w:name="_Toc525831869"/>
      <w:bookmarkStart w:id="13" w:name="_Toc525831949"/>
      <w:bookmarkStart w:id="14" w:name="_Toc528690209"/>
      <w:bookmarkStart w:id="15" w:name="_Toc528690259"/>
      <w:bookmarkStart w:id="16" w:name="_Toc528690291"/>
      <w:bookmarkStart w:id="17" w:name="_Toc528749720"/>
      <w:bookmarkStart w:id="18" w:name="_Toc1035534"/>
      <w:r w:rsidRPr="002037B1">
        <w:t xml:space="preserve">In LTE LAA, RAN2 has concluded that it is up to UE implementation </w:t>
      </w:r>
      <w:r>
        <w:rPr>
          <w:lang w:val="en-US"/>
        </w:rPr>
        <w:t>to regenerate, when needed, a MAC PDU to include updated BSR and/or PHR MAC CEs in case this MAC PDU does not reach the eNB, e.g. due to LBT or HARQ feedback not received.</w:t>
      </w:r>
      <w:bookmarkEnd w:id="11"/>
      <w:bookmarkEnd w:id="12"/>
      <w:bookmarkEnd w:id="13"/>
      <w:bookmarkEnd w:id="14"/>
      <w:bookmarkEnd w:id="15"/>
      <w:bookmarkEnd w:id="16"/>
      <w:bookmarkEnd w:id="17"/>
      <w:bookmarkEnd w:id="18"/>
    </w:p>
    <w:p w14:paraId="61AA76C0" w14:textId="5C2DCD8B" w:rsidR="00E159AD" w:rsidRDefault="00E159AD" w:rsidP="00E159AD">
      <w:pPr>
        <w:rPr>
          <w:rFonts w:eastAsia="MS Mincho"/>
          <w:lang w:val="en-US"/>
        </w:rPr>
      </w:pPr>
      <w:r w:rsidRPr="00DA0532">
        <w:rPr>
          <w:rFonts w:eastAsia="MS Mincho"/>
          <w:lang w:val="en-US"/>
        </w:rPr>
        <w:t xml:space="preserve">Given </w:t>
      </w:r>
      <w:r>
        <w:rPr>
          <w:rFonts w:eastAsia="MS Mincho"/>
          <w:lang w:val="en-US"/>
        </w:rPr>
        <w:t>above analyses, NR-U can use the same rule as in LTE LAA to handle the BSR transmission as the baseline. In addition, RAN2 can study if some enhancements are needed. For example, if the UE has some high priority data that arrived in the UL buffer after the BSR was triggered, it might be beneficial to mandate the UE to provide an updated BSR to better reflect the new buffer status</w:t>
      </w:r>
      <w:r w:rsidR="00537532">
        <w:rPr>
          <w:rFonts w:eastAsia="MS Mincho"/>
          <w:lang w:val="en-US"/>
        </w:rPr>
        <w:t>, thereby aiding prompt gNB scheduling</w:t>
      </w:r>
      <w:r>
        <w:rPr>
          <w:rFonts w:eastAsia="MS Mincho"/>
          <w:lang w:val="en-US"/>
        </w:rPr>
        <w:t>.</w:t>
      </w:r>
    </w:p>
    <w:p w14:paraId="639A93B1" w14:textId="46CBA50B" w:rsidR="00E159AD" w:rsidRPr="00DA0532" w:rsidRDefault="00E159AD" w:rsidP="00E159AD">
      <w:pPr>
        <w:pStyle w:val="Proposal"/>
        <w:rPr>
          <w:lang w:val="en-US"/>
        </w:rPr>
      </w:pPr>
      <w:bookmarkStart w:id="19" w:name="_Toc525736615"/>
      <w:bookmarkStart w:id="20" w:name="_Toc525831827"/>
      <w:bookmarkStart w:id="21" w:name="_Toc525831870"/>
      <w:bookmarkStart w:id="22" w:name="_Toc525831950"/>
      <w:bookmarkStart w:id="23" w:name="_Toc528690210"/>
      <w:bookmarkStart w:id="24" w:name="_Toc528690260"/>
      <w:bookmarkStart w:id="25" w:name="_Toc528690292"/>
      <w:bookmarkStart w:id="26" w:name="_Toc528749721"/>
      <w:bookmarkStart w:id="27" w:name="_Toc1035535"/>
      <w:r>
        <w:rPr>
          <w:lang w:val="en-US"/>
        </w:rPr>
        <w:t>As the baseline option, as in LT</w:t>
      </w:r>
      <w:r w:rsidR="001A7F66">
        <w:rPr>
          <w:lang w:val="en-US"/>
        </w:rPr>
        <w:t>E</w:t>
      </w:r>
      <w:r>
        <w:rPr>
          <w:lang w:val="en-US"/>
        </w:rPr>
        <w:t>, it is up to UE implementation to regenerate the BSR/PHR to reflect new buffer/PHR status in case the UE experiences LBT failures during the BSR/PHR transmission.</w:t>
      </w:r>
      <w:bookmarkEnd w:id="19"/>
      <w:bookmarkEnd w:id="20"/>
      <w:bookmarkEnd w:id="21"/>
      <w:bookmarkEnd w:id="22"/>
      <w:bookmarkEnd w:id="23"/>
      <w:bookmarkEnd w:id="24"/>
      <w:bookmarkEnd w:id="25"/>
      <w:bookmarkEnd w:id="26"/>
      <w:bookmarkEnd w:id="27"/>
      <w:r w:rsidDel="003C1328">
        <w:t xml:space="preserve"> </w:t>
      </w:r>
    </w:p>
    <w:p w14:paraId="3C20D560" w14:textId="1BB0806C" w:rsidR="00E159AD" w:rsidRPr="00DA0532" w:rsidRDefault="008F5380" w:rsidP="00E159AD">
      <w:pPr>
        <w:pStyle w:val="Proposal"/>
        <w:rPr>
          <w:lang w:val="en-US"/>
        </w:rPr>
      </w:pPr>
      <w:bookmarkStart w:id="28" w:name="_Toc525736616"/>
      <w:bookmarkStart w:id="29" w:name="_Toc525831828"/>
      <w:bookmarkStart w:id="30" w:name="_Toc525831871"/>
      <w:bookmarkStart w:id="31" w:name="_Toc525831951"/>
      <w:bookmarkStart w:id="32" w:name="_Toc528690211"/>
      <w:bookmarkStart w:id="33" w:name="_Toc528690261"/>
      <w:bookmarkStart w:id="34" w:name="_Toc528690293"/>
      <w:bookmarkStart w:id="35" w:name="_Toc528749722"/>
      <w:bookmarkStart w:id="36" w:name="_Toc1035536"/>
      <w:r>
        <w:rPr>
          <w:lang w:val="en-US"/>
        </w:rPr>
        <w:t>I</w:t>
      </w:r>
      <w:r w:rsidR="00E159AD">
        <w:rPr>
          <w:lang w:val="en-US"/>
        </w:rPr>
        <w:t xml:space="preserve">n NR-U, RAN2 </w:t>
      </w:r>
      <w:r w:rsidR="004A53AF">
        <w:rPr>
          <w:lang w:val="en-US"/>
        </w:rPr>
        <w:t xml:space="preserve">to discuss </w:t>
      </w:r>
      <w:r w:rsidR="00E159AD">
        <w:rPr>
          <w:lang w:val="en-US"/>
        </w:rPr>
        <w:t>if some enhancements are needed to the conditions under which the UE shall regenerate the BSR/PHR content.</w:t>
      </w:r>
      <w:bookmarkEnd w:id="28"/>
      <w:bookmarkEnd w:id="29"/>
      <w:bookmarkEnd w:id="30"/>
      <w:bookmarkEnd w:id="31"/>
      <w:bookmarkEnd w:id="32"/>
      <w:bookmarkEnd w:id="33"/>
      <w:bookmarkEnd w:id="34"/>
      <w:bookmarkEnd w:id="35"/>
      <w:bookmarkEnd w:id="36"/>
      <w:r w:rsidR="00E159AD" w:rsidDel="003C1328">
        <w:t xml:space="preserve"> </w:t>
      </w:r>
    </w:p>
    <w:p w14:paraId="52A6A92D" w14:textId="77777777" w:rsidR="00E159AD" w:rsidRPr="00901182" w:rsidRDefault="00E159AD" w:rsidP="00E159AD">
      <w:pPr>
        <w:pStyle w:val="Heading1"/>
        <w:rPr>
          <w:lang w:val="en-US"/>
        </w:rPr>
      </w:pPr>
      <w:r w:rsidRPr="00901182">
        <w:rPr>
          <w:lang w:val="en-US"/>
        </w:rPr>
        <w:t>Conclusion</w:t>
      </w:r>
    </w:p>
    <w:p w14:paraId="740BFB0D" w14:textId="6DE6A241" w:rsidR="008317E0" w:rsidRPr="008317E0" w:rsidRDefault="008317E0" w:rsidP="008317E0">
      <w:pPr>
        <w:rPr>
          <w:rFonts w:asciiTheme="minorHAnsi" w:hAnsiTheme="minorHAnsi"/>
          <w:lang w:val="en-US" w:eastAsia="en-US"/>
        </w:rPr>
      </w:pPr>
      <w:r>
        <w:t xml:space="preserve">In section </w:t>
      </w:r>
      <w:r>
        <w:fldChar w:fldCharType="begin"/>
      </w:r>
      <w:r>
        <w:instrText xml:space="preserve"> REF _Ref525831879 \r \h </w:instrText>
      </w:r>
      <w:r>
        <w:fldChar w:fldCharType="separate"/>
      </w:r>
      <w:r w:rsidR="00862A27">
        <w:t>2</w:t>
      </w:r>
      <w:r>
        <w:fldChar w:fldCharType="end"/>
      </w:r>
      <w:r>
        <w:t xml:space="preserve"> we made the following observations:</w:t>
      </w:r>
    </w:p>
    <w:p w14:paraId="7F74C116" w14:textId="77777777" w:rsidR="00862A27" w:rsidRPr="00862A27" w:rsidRDefault="008317E0">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862A27" w:rsidRPr="00470966">
        <w:rPr>
          <w:rFonts w:eastAsia="MS Mincho"/>
        </w:rPr>
        <w:t>Observation 1</w:t>
      </w:r>
      <w:r w:rsidR="00862A27" w:rsidRPr="00862A27">
        <w:rPr>
          <w:rFonts w:asciiTheme="minorHAnsi" w:eastAsiaTheme="minorEastAsia" w:hAnsiTheme="minorHAnsi" w:cstheme="minorBidi"/>
          <w:b w:val="0"/>
          <w:sz w:val="22"/>
          <w:lang w:eastAsia="sv-SE"/>
        </w:rPr>
        <w:tab/>
      </w:r>
      <w:r w:rsidR="00862A27">
        <w:t>In unlicensed transmissions, there might be an uncertainty at the gNB side on when a BSR or PHR MAC CE was really generated. That could affect UL scheduling and link adaptation.</w:t>
      </w:r>
    </w:p>
    <w:p w14:paraId="3D205D5B" w14:textId="77777777" w:rsidR="00862A27" w:rsidRPr="00862A27" w:rsidRDefault="00862A27">
      <w:pPr>
        <w:pStyle w:val="TOC1"/>
        <w:rPr>
          <w:rFonts w:asciiTheme="minorHAnsi" w:eastAsiaTheme="minorEastAsia" w:hAnsiTheme="minorHAnsi" w:cstheme="minorBidi"/>
          <w:b w:val="0"/>
          <w:sz w:val="22"/>
          <w:lang w:eastAsia="sv-SE"/>
        </w:rPr>
      </w:pPr>
      <w:r>
        <w:t>Observation 2</w:t>
      </w:r>
      <w:r w:rsidRPr="00862A27">
        <w:rPr>
          <w:rFonts w:asciiTheme="minorHAnsi" w:eastAsiaTheme="minorEastAsia" w:hAnsiTheme="minorHAnsi" w:cstheme="minorBidi"/>
          <w:b w:val="0"/>
          <w:sz w:val="22"/>
          <w:lang w:eastAsia="sv-SE"/>
        </w:rPr>
        <w:tab/>
      </w:r>
      <w:r>
        <w:t xml:space="preserve">In LTE LAA, RAN2 has concluded that it is up to UE implementation </w:t>
      </w:r>
      <w:r w:rsidRPr="00470966">
        <w:t>to regenerate, when needed, a MAC PDU to include updated BSR and/or PHR MAC CEs in case this MAC PDU does not reach the eNB, e.g. due to LBT or HARQ feedback not received.</w:t>
      </w:r>
    </w:p>
    <w:p w14:paraId="70EC0573" w14:textId="0E4B7283" w:rsidR="008317E0" w:rsidRDefault="008317E0" w:rsidP="008317E0">
      <w:pPr>
        <w:pStyle w:val="BodyText"/>
        <w:rPr>
          <w:rFonts w:asciiTheme="minorHAnsi" w:eastAsiaTheme="minorHAnsi" w:hAnsiTheme="minorHAnsi" w:cstheme="minorBidi"/>
          <w:b/>
          <w:bCs/>
          <w:sz w:val="22"/>
          <w:highlight w:val="yellow"/>
          <w:lang w:eastAsia="en-US"/>
        </w:rPr>
      </w:pPr>
      <w:r>
        <w:rPr>
          <w:bCs/>
          <w:noProof/>
          <w:lang w:val="en-US"/>
        </w:rPr>
        <w:fldChar w:fldCharType="end"/>
      </w:r>
    </w:p>
    <w:p w14:paraId="299A08A3" w14:textId="28CC9447" w:rsidR="008317E0" w:rsidRDefault="008317E0" w:rsidP="008317E0">
      <w:r>
        <w:t xml:space="preserve">Based on the discussion in section </w:t>
      </w:r>
      <w:r>
        <w:fldChar w:fldCharType="begin"/>
      </w:r>
      <w:r>
        <w:instrText xml:space="preserve"> REF _Ref525831879 \r \h </w:instrText>
      </w:r>
      <w:r>
        <w:fldChar w:fldCharType="separate"/>
      </w:r>
      <w:r w:rsidR="00862A27">
        <w:t>2</w:t>
      </w:r>
      <w:r>
        <w:fldChar w:fldCharType="end"/>
      </w:r>
      <w:r>
        <w:t xml:space="preserve"> we propose the following:</w:t>
      </w:r>
    </w:p>
    <w:p w14:paraId="2D2FE06E" w14:textId="77777777" w:rsidR="00862A27" w:rsidRPr="00862A27" w:rsidRDefault="008317E0">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862A27" w:rsidRPr="001D4A07">
        <w:t>Proposal 1</w:t>
      </w:r>
      <w:r w:rsidR="00862A27" w:rsidRPr="00862A27">
        <w:rPr>
          <w:rFonts w:asciiTheme="minorHAnsi" w:eastAsiaTheme="minorEastAsia" w:hAnsiTheme="minorHAnsi" w:cstheme="minorBidi"/>
          <w:b w:val="0"/>
          <w:sz w:val="22"/>
          <w:lang w:eastAsia="sv-SE"/>
        </w:rPr>
        <w:tab/>
      </w:r>
      <w:r w:rsidR="00862A27" w:rsidRPr="001D4A07">
        <w:t>As the baseline option, as in LTE, it is up to UE implementation to regenerate the BSR/PHR to reflect new buffer/PHR status in case the UE experiences LBT failures during the BSR/PHR transmission.</w:t>
      </w:r>
    </w:p>
    <w:p w14:paraId="20C19B47" w14:textId="77777777" w:rsidR="00862A27" w:rsidRPr="00862A27" w:rsidRDefault="00862A27">
      <w:pPr>
        <w:pStyle w:val="TOC1"/>
        <w:rPr>
          <w:rFonts w:asciiTheme="minorHAnsi" w:eastAsiaTheme="minorEastAsia" w:hAnsiTheme="minorHAnsi" w:cstheme="minorBidi"/>
          <w:b w:val="0"/>
          <w:sz w:val="22"/>
          <w:lang w:eastAsia="sv-SE"/>
        </w:rPr>
      </w:pPr>
      <w:r w:rsidRPr="001D4A07">
        <w:t>Proposal 2</w:t>
      </w:r>
      <w:r w:rsidRPr="00862A27">
        <w:rPr>
          <w:rFonts w:asciiTheme="minorHAnsi" w:eastAsiaTheme="minorEastAsia" w:hAnsiTheme="minorHAnsi" w:cstheme="minorBidi"/>
          <w:b w:val="0"/>
          <w:sz w:val="22"/>
          <w:lang w:eastAsia="sv-SE"/>
        </w:rPr>
        <w:tab/>
      </w:r>
      <w:r w:rsidRPr="001D4A07">
        <w:t>In NR-U, RAN2 to discuss if some enhancements are needed to the conditions under which the UE shall regenerate the BSR/PHR content.</w:t>
      </w:r>
    </w:p>
    <w:p w14:paraId="45C048F9" w14:textId="17A281BD" w:rsidR="0024016C" w:rsidRPr="00F879B0" w:rsidRDefault="008317E0" w:rsidP="00862A27">
      <w:pPr>
        <w:pStyle w:val="Heading1"/>
        <w:numPr>
          <w:ilvl w:val="0"/>
          <w:numId w:val="0"/>
        </w:numPr>
        <w:rPr>
          <w:lang w:val="de-DE"/>
        </w:rPr>
      </w:pPr>
      <w:r>
        <w:rPr>
          <w:b/>
          <w:bCs/>
        </w:rPr>
        <w:fldChar w:fldCharType="end"/>
      </w:r>
      <w:bookmarkStart w:id="37" w:name="_Toc465844068"/>
      <w:bookmarkStart w:id="38" w:name="_Toc465844075"/>
      <w:bookmarkStart w:id="39" w:name="_Toc465844076"/>
      <w:bookmarkStart w:id="40" w:name="_Toc465844077"/>
      <w:bookmarkStart w:id="41" w:name="_Toc465844078"/>
      <w:bookmarkStart w:id="42" w:name="_Toc465844079"/>
      <w:bookmarkEnd w:id="0"/>
      <w:bookmarkEnd w:id="37"/>
      <w:bookmarkEnd w:id="38"/>
      <w:bookmarkEnd w:id="39"/>
      <w:bookmarkEnd w:id="40"/>
      <w:bookmarkEnd w:id="41"/>
      <w:bookmarkEnd w:id="42"/>
    </w:p>
    <w:sectPr w:rsidR="0024016C" w:rsidRPr="00F879B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1509E" w14:textId="77777777" w:rsidR="00007D1B" w:rsidRDefault="00007D1B">
      <w:pPr>
        <w:spacing w:after="0"/>
      </w:pPr>
      <w:r>
        <w:separator/>
      </w:r>
    </w:p>
  </w:endnote>
  <w:endnote w:type="continuationSeparator" w:id="0">
    <w:p w14:paraId="7A3D3E8E" w14:textId="77777777" w:rsidR="00007D1B" w:rsidRDefault="00007D1B">
      <w:pPr>
        <w:spacing w:after="0"/>
      </w:pPr>
      <w:r>
        <w:continuationSeparator/>
      </w:r>
    </w:p>
  </w:endnote>
  <w:endnote w:type="continuationNotice" w:id="1">
    <w:p w14:paraId="7D6C8DED" w14:textId="77777777" w:rsidR="00007D1B" w:rsidRDefault="00007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04BA0" w14:textId="77777777" w:rsidR="00007D1B" w:rsidRDefault="00007D1B">
      <w:pPr>
        <w:spacing w:after="0"/>
      </w:pPr>
      <w:r>
        <w:separator/>
      </w:r>
    </w:p>
  </w:footnote>
  <w:footnote w:type="continuationSeparator" w:id="0">
    <w:p w14:paraId="5838E620" w14:textId="77777777" w:rsidR="00007D1B" w:rsidRDefault="00007D1B">
      <w:pPr>
        <w:spacing w:after="0"/>
      </w:pPr>
      <w:r>
        <w:continuationSeparator/>
      </w:r>
    </w:p>
  </w:footnote>
  <w:footnote w:type="continuationNotice" w:id="1">
    <w:p w14:paraId="72CD47E1" w14:textId="77777777" w:rsidR="00007D1B" w:rsidRDefault="00007D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0A57CE"/>
    <w:multiLevelType w:val="hybridMultilevel"/>
    <w:tmpl w:val="9A645B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A0D22"/>
    <w:multiLevelType w:val="hybridMultilevel"/>
    <w:tmpl w:val="03CADC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5"/>
  </w:num>
  <w:num w:numId="6">
    <w:abstractNumId w:val="11"/>
  </w:num>
  <w:num w:numId="7">
    <w:abstractNumId w:val="12"/>
  </w:num>
  <w:num w:numId="8">
    <w:abstractNumId w:val="9"/>
  </w:num>
  <w:num w:numId="9">
    <w:abstractNumId w:val="7"/>
  </w:num>
  <w:num w:numId="10">
    <w:abstractNumId w:val="9"/>
  </w:num>
  <w:num w:numId="11">
    <w:abstractNumId w:val="9"/>
  </w:num>
  <w:num w:numId="12">
    <w:abstractNumId w:val="9"/>
    <w:lvlOverride w:ilvl="0">
      <w:startOverride w:val="1"/>
    </w:lvlOverride>
  </w:num>
  <w:num w:numId="13">
    <w:abstractNumId w:val="13"/>
  </w:num>
  <w:num w:numId="14">
    <w:abstractNumId w:val="6"/>
  </w:num>
  <w:num w:numId="15">
    <w:abstractNumId w:val="4"/>
  </w:num>
  <w:num w:numId="16">
    <w:abstractNumId w:val="2"/>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3E8"/>
    <w:rsid w:val="00001B89"/>
    <w:rsid w:val="00003B35"/>
    <w:rsid w:val="00007697"/>
    <w:rsid w:val="00007D1B"/>
    <w:rsid w:val="0001057B"/>
    <w:rsid w:val="0001514B"/>
    <w:rsid w:val="00030EE7"/>
    <w:rsid w:val="00034708"/>
    <w:rsid w:val="000379FF"/>
    <w:rsid w:val="00041C84"/>
    <w:rsid w:val="00044D45"/>
    <w:rsid w:val="00045D07"/>
    <w:rsid w:val="00046786"/>
    <w:rsid w:val="00050D60"/>
    <w:rsid w:val="00054E7A"/>
    <w:rsid w:val="00060A87"/>
    <w:rsid w:val="00071B1C"/>
    <w:rsid w:val="00073D40"/>
    <w:rsid w:val="00081D9F"/>
    <w:rsid w:val="00083B1C"/>
    <w:rsid w:val="00094D35"/>
    <w:rsid w:val="00095242"/>
    <w:rsid w:val="000A4992"/>
    <w:rsid w:val="000B6512"/>
    <w:rsid w:val="000C0B87"/>
    <w:rsid w:val="000C10AF"/>
    <w:rsid w:val="000C36C4"/>
    <w:rsid w:val="000C4869"/>
    <w:rsid w:val="000C5515"/>
    <w:rsid w:val="000C73FF"/>
    <w:rsid w:val="000D3330"/>
    <w:rsid w:val="000D7ACD"/>
    <w:rsid w:val="000E09A3"/>
    <w:rsid w:val="000E2F56"/>
    <w:rsid w:val="000E4C3F"/>
    <w:rsid w:val="000E71DC"/>
    <w:rsid w:val="000F0DF5"/>
    <w:rsid w:val="000F1BB3"/>
    <w:rsid w:val="000F381D"/>
    <w:rsid w:val="000F4496"/>
    <w:rsid w:val="000F4A88"/>
    <w:rsid w:val="00100090"/>
    <w:rsid w:val="00100756"/>
    <w:rsid w:val="001009E3"/>
    <w:rsid w:val="001021C5"/>
    <w:rsid w:val="00102ADF"/>
    <w:rsid w:val="00103825"/>
    <w:rsid w:val="00105301"/>
    <w:rsid w:val="00105838"/>
    <w:rsid w:val="00110B6F"/>
    <w:rsid w:val="0011417D"/>
    <w:rsid w:val="00122A06"/>
    <w:rsid w:val="0012587C"/>
    <w:rsid w:val="00127734"/>
    <w:rsid w:val="00127A9D"/>
    <w:rsid w:val="00133454"/>
    <w:rsid w:val="00134978"/>
    <w:rsid w:val="0013541C"/>
    <w:rsid w:val="00136333"/>
    <w:rsid w:val="00142626"/>
    <w:rsid w:val="00144293"/>
    <w:rsid w:val="00146BF4"/>
    <w:rsid w:val="0015156A"/>
    <w:rsid w:val="00151C45"/>
    <w:rsid w:val="00157B0E"/>
    <w:rsid w:val="00163A23"/>
    <w:rsid w:val="001666BB"/>
    <w:rsid w:val="001723F2"/>
    <w:rsid w:val="00175099"/>
    <w:rsid w:val="001807A6"/>
    <w:rsid w:val="0018557B"/>
    <w:rsid w:val="001855A4"/>
    <w:rsid w:val="00190787"/>
    <w:rsid w:val="00196913"/>
    <w:rsid w:val="00197D8A"/>
    <w:rsid w:val="001A7F66"/>
    <w:rsid w:val="001B2659"/>
    <w:rsid w:val="001B29BD"/>
    <w:rsid w:val="001B435A"/>
    <w:rsid w:val="001B4EDF"/>
    <w:rsid w:val="001B5920"/>
    <w:rsid w:val="001C2828"/>
    <w:rsid w:val="001C3E65"/>
    <w:rsid w:val="001C5113"/>
    <w:rsid w:val="001D026F"/>
    <w:rsid w:val="001E2131"/>
    <w:rsid w:val="001E270B"/>
    <w:rsid w:val="001E630C"/>
    <w:rsid w:val="001F36F1"/>
    <w:rsid w:val="001F5D64"/>
    <w:rsid w:val="001F6E2B"/>
    <w:rsid w:val="00203669"/>
    <w:rsid w:val="002037BD"/>
    <w:rsid w:val="00210394"/>
    <w:rsid w:val="00213D5F"/>
    <w:rsid w:val="00216405"/>
    <w:rsid w:val="0022075A"/>
    <w:rsid w:val="00220B6E"/>
    <w:rsid w:val="002228BE"/>
    <w:rsid w:val="00227139"/>
    <w:rsid w:val="00230E68"/>
    <w:rsid w:val="00231028"/>
    <w:rsid w:val="00233C44"/>
    <w:rsid w:val="002343E5"/>
    <w:rsid w:val="00237BFD"/>
    <w:rsid w:val="0024016C"/>
    <w:rsid w:val="00243847"/>
    <w:rsid w:val="00246759"/>
    <w:rsid w:val="00246D8F"/>
    <w:rsid w:val="002473A8"/>
    <w:rsid w:val="00250C0D"/>
    <w:rsid w:val="00255EAF"/>
    <w:rsid w:val="00260E9E"/>
    <w:rsid w:val="002636F4"/>
    <w:rsid w:val="002644EB"/>
    <w:rsid w:val="00266308"/>
    <w:rsid w:val="00267A79"/>
    <w:rsid w:val="002727BA"/>
    <w:rsid w:val="00274268"/>
    <w:rsid w:val="00275AAA"/>
    <w:rsid w:val="002808B8"/>
    <w:rsid w:val="00282659"/>
    <w:rsid w:val="00284EB9"/>
    <w:rsid w:val="00286CE4"/>
    <w:rsid w:val="00287490"/>
    <w:rsid w:val="00287CFE"/>
    <w:rsid w:val="00290A77"/>
    <w:rsid w:val="00292B5F"/>
    <w:rsid w:val="002973A5"/>
    <w:rsid w:val="00297C6C"/>
    <w:rsid w:val="002A56D6"/>
    <w:rsid w:val="002A6EC1"/>
    <w:rsid w:val="002B36AD"/>
    <w:rsid w:val="002B39FB"/>
    <w:rsid w:val="002B6DF4"/>
    <w:rsid w:val="002C34A9"/>
    <w:rsid w:val="002C5AFE"/>
    <w:rsid w:val="002C6334"/>
    <w:rsid w:val="002C6B36"/>
    <w:rsid w:val="002C7B14"/>
    <w:rsid w:val="002D2134"/>
    <w:rsid w:val="002D333C"/>
    <w:rsid w:val="002D44F6"/>
    <w:rsid w:val="002E0C27"/>
    <w:rsid w:val="002E17E7"/>
    <w:rsid w:val="002E3375"/>
    <w:rsid w:val="002F33F3"/>
    <w:rsid w:val="00300AE8"/>
    <w:rsid w:val="00302BB4"/>
    <w:rsid w:val="0030340C"/>
    <w:rsid w:val="003057A7"/>
    <w:rsid w:val="003059A5"/>
    <w:rsid w:val="00306559"/>
    <w:rsid w:val="003065DE"/>
    <w:rsid w:val="00317AB0"/>
    <w:rsid w:val="0032181B"/>
    <w:rsid w:val="0032193D"/>
    <w:rsid w:val="00322AEB"/>
    <w:rsid w:val="00324E47"/>
    <w:rsid w:val="0032538E"/>
    <w:rsid w:val="003275F6"/>
    <w:rsid w:val="00327DDF"/>
    <w:rsid w:val="0033179F"/>
    <w:rsid w:val="00332838"/>
    <w:rsid w:val="00333110"/>
    <w:rsid w:val="00333AEC"/>
    <w:rsid w:val="00334C73"/>
    <w:rsid w:val="0033528E"/>
    <w:rsid w:val="00336AED"/>
    <w:rsid w:val="00337C73"/>
    <w:rsid w:val="00340BEF"/>
    <w:rsid w:val="00340C41"/>
    <w:rsid w:val="0034483D"/>
    <w:rsid w:val="003450F3"/>
    <w:rsid w:val="00346BCC"/>
    <w:rsid w:val="00351F98"/>
    <w:rsid w:val="003520EA"/>
    <w:rsid w:val="00353D64"/>
    <w:rsid w:val="003541C6"/>
    <w:rsid w:val="00354865"/>
    <w:rsid w:val="00356952"/>
    <w:rsid w:val="00364354"/>
    <w:rsid w:val="00364862"/>
    <w:rsid w:val="00365410"/>
    <w:rsid w:val="00367AFC"/>
    <w:rsid w:val="00374FAB"/>
    <w:rsid w:val="00376C88"/>
    <w:rsid w:val="0038194C"/>
    <w:rsid w:val="00383CCC"/>
    <w:rsid w:val="003853E4"/>
    <w:rsid w:val="00397632"/>
    <w:rsid w:val="003A2A66"/>
    <w:rsid w:val="003B5795"/>
    <w:rsid w:val="003B6C15"/>
    <w:rsid w:val="003C1328"/>
    <w:rsid w:val="003C1556"/>
    <w:rsid w:val="003C16D7"/>
    <w:rsid w:val="003C419A"/>
    <w:rsid w:val="003C5340"/>
    <w:rsid w:val="003C75F9"/>
    <w:rsid w:val="003D0E30"/>
    <w:rsid w:val="003D5BEC"/>
    <w:rsid w:val="003D5CF3"/>
    <w:rsid w:val="003D77AE"/>
    <w:rsid w:val="003E0EB9"/>
    <w:rsid w:val="003E2AA8"/>
    <w:rsid w:val="003F0B17"/>
    <w:rsid w:val="003F69C3"/>
    <w:rsid w:val="003F6EB9"/>
    <w:rsid w:val="00402745"/>
    <w:rsid w:val="00402D69"/>
    <w:rsid w:val="00402E9A"/>
    <w:rsid w:val="00404E1B"/>
    <w:rsid w:val="00406FC6"/>
    <w:rsid w:val="00407176"/>
    <w:rsid w:val="004120AB"/>
    <w:rsid w:val="004139C8"/>
    <w:rsid w:val="00413EA6"/>
    <w:rsid w:val="0041586D"/>
    <w:rsid w:val="00416B79"/>
    <w:rsid w:val="00421196"/>
    <w:rsid w:val="004344B7"/>
    <w:rsid w:val="00442A5B"/>
    <w:rsid w:val="00442EC8"/>
    <w:rsid w:val="00447FB3"/>
    <w:rsid w:val="00451D6C"/>
    <w:rsid w:val="0045320F"/>
    <w:rsid w:val="004547D0"/>
    <w:rsid w:val="00460FCA"/>
    <w:rsid w:val="00465789"/>
    <w:rsid w:val="0046669A"/>
    <w:rsid w:val="004674B4"/>
    <w:rsid w:val="00467C61"/>
    <w:rsid w:val="00472E77"/>
    <w:rsid w:val="00475CC2"/>
    <w:rsid w:val="00482FDE"/>
    <w:rsid w:val="00485035"/>
    <w:rsid w:val="00486646"/>
    <w:rsid w:val="00486795"/>
    <w:rsid w:val="0049578D"/>
    <w:rsid w:val="0049748E"/>
    <w:rsid w:val="004A3C3A"/>
    <w:rsid w:val="004A53AF"/>
    <w:rsid w:val="004B04F8"/>
    <w:rsid w:val="004B2D33"/>
    <w:rsid w:val="004B4233"/>
    <w:rsid w:val="004B4D0D"/>
    <w:rsid w:val="004B68AD"/>
    <w:rsid w:val="004C10F2"/>
    <w:rsid w:val="004C1BC6"/>
    <w:rsid w:val="004C3124"/>
    <w:rsid w:val="004C3556"/>
    <w:rsid w:val="004C4AE4"/>
    <w:rsid w:val="004D2AAE"/>
    <w:rsid w:val="004D375D"/>
    <w:rsid w:val="004D3BCA"/>
    <w:rsid w:val="004D49DF"/>
    <w:rsid w:val="004D5A5A"/>
    <w:rsid w:val="004D793B"/>
    <w:rsid w:val="004E02DB"/>
    <w:rsid w:val="004E1FB5"/>
    <w:rsid w:val="004E3E68"/>
    <w:rsid w:val="004E4D21"/>
    <w:rsid w:val="004E6201"/>
    <w:rsid w:val="004F3817"/>
    <w:rsid w:val="004F5BC3"/>
    <w:rsid w:val="004F7B89"/>
    <w:rsid w:val="00506C90"/>
    <w:rsid w:val="00507F43"/>
    <w:rsid w:val="005150B4"/>
    <w:rsid w:val="00522963"/>
    <w:rsid w:val="0052565C"/>
    <w:rsid w:val="005257F7"/>
    <w:rsid w:val="00527F96"/>
    <w:rsid w:val="00537532"/>
    <w:rsid w:val="005411C2"/>
    <w:rsid w:val="00555F62"/>
    <w:rsid w:val="00566217"/>
    <w:rsid w:val="00570D60"/>
    <w:rsid w:val="00571391"/>
    <w:rsid w:val="0057452E"/>
    <w:rsid w:val="0057460E"/>
    <w:rsid w:val="00575916"/>
    <w:rsid w:val="00586B38"/>
    <w:rsid w:val="005905B6"/>
    <w:rsid w:val="0059080A"/>
    <w:rsid w:val="00592962"/>
    <w:rsid w:val="005A1A67"/>
    <w:rsid w:val="005A6A30"/>
    <w:rsid w:val="005B124B"/>
    <w:rsid w:val="005B2111"/>
    <w:rsid w:val="005B32F5"/>
    <w:rsid w:val="005B5894"/>
    <w:rsid w:val="005C2E20"/>
    <w:rsid w:val="005C7965"/>
    <w:rsid w:val="005D3EFD"/>
    <w:rsid w:val="005D61F3"/>
    <w:rsid w:val="005E5471"/>
    <w:rsid w:val="005E7071"/>
    <w:rsid w:val="005F1A18"/>
    <w:rsid w:val="005F4AA0"/>
    <w:rsid w:val="005F51AD"/>
    <w:rsid w:val="005F5674"/>
    <w:rsid w:val="005F56CD"/>
    <w:rsid w:val="005F5AF9"/>
    <w:rsid w:val="005F7D75"/>
    <w:rsid w:val="006129E6"/>
    <w:rsid w:val="006140C6"/>
    <w:rsid w:val="0062612F"/>
    <w:rsid w:val="00626476"/>
    <w:rsid w:val="0062668D"/>
    <w:rsid w:val="0063158F"/>
    <w:rsid w:val="006317C5"/>
    <w:rsid w:val="00632C1A"/>
    <w:rsid w:val="00633AAF"/>
    <w:rsid w:val="00634D4C"/>
    <w:rsid w:val="006361B1"/>
    <w:rsid w:val="006400D8"/>
    <w:rsid w:val="00641AB1"/>
    <w:rsid w:val="00642EE1"/>
    <w:rsid w:val="0066234E"/>
    <w:rsid w:val="0066566B"/>
    <w:rsid w:val="0066779B"/>
    <w:rsid w:val="006768E7"/>
    <w:rsid w:val="00677802"/>
    <w:rsid w:val="00677C54"/>
    <w:rsid w:val="006810EB"/>
    <w:rsid w:val="0068212F"/>
    <w:rsid w:val="00682D35"/>
    <w:rsid w:val="00683621"/>
    <w:rsid w:val="00683890"/>
    <w:rsid w:val="00691D71"/>
    <w:rsid w:val="00692318"/>
    <w:rsid w:val="006925D9"/>
    <w:rsid w:val="00695909"/>
    <w:rsid w:val="0069778A"/>
    <w:rsid w:val="006A0310"/>
    <w:rsid w:val="006A0422"/>
    <w:rsid w:val="006A49BB"/>
    <w:rsid w:val="006B0D57"/>
    <w:rsid w:val="006B33F3"/>
    <w:rsid w:val="006B5EC1"/>
    <w:rsid w:val="006C01F9"/>
    <w:rsid w:val="006C0A9E"/>
    <w:rsid w:val="006C1FD2"/>
    <w:rsid w:val="006C6053"/>
    <w:rsid w:val="006C7295"/>
    <w:rsid w:val="006D7439"/>
    <w:rsid w:val="006E163D"/>
    <w:rsid w:val="006E1A37"/>
    <w:rsid w:val="006E5567"/>
    <w:rsid w:val="006E74F4"/>
    <w:rsid w:val="006F089E"/>
    <w:rsid w:val="006F19C8"/>
    <w:rsid w:val="006F470B"/>
    <w:rsid w:val="006F6466"/>
    <w:rsid w:val="007208E9"/>
    <w:rsid w:val="00721852"/>
    <w:rsid w:val="00724915"/>
    <w:rsid w:val="00726599"/>
    <w:rsid w:val="00732EDA"/>
    <w:rsid w:val="00733C14"/>
    <w:rsid w:val="00733F1A"/>
    <w:rsid w:val="0073520A"/>
    <w:rsid w:val="0074796C"/>
    <w:rsid w:val="007535B6"/>
    <w:rsid w:val="007646A2"/>
    <w:rsid w:val="00766CE2"/>
    <w:rsid w:val="00767172"/>
    <w:rsid w:val="0077389D"/>
    <w:rsid w:val="007762F4"/>
    <w:rsid w:val="0077645F"/>
    <w:rsid w:val="00783AD2"/>
    <w:rsid w:val="00784611"/>
    <w:rsid w:val="00790249"/>
    <w:rsid w:val="00790D2C"/>
    <w:rsid w:val="007956B7"/>
    <w:rsid w:val="0079636D"/>
    <w:rsid w:val="007A089A"/>
    <w:rsid w:val="007A1B5B"/>
    <w:rsid w:val="007A43E1"/>
    <w:rsid w:val="007A579B"/>
    <w:rsid w:val="007A6403"/>
    <w:rsid w:val="007A68D5"/>
    <w:rsid w:val="007B0CD8"/>
    <w:rsid w:val="007B42EF"/>
    <w:rsid w:val="007B4319"/>
    <w:rsid w:val="007B638F"/>
    <w:rsid w:val="007B6E1C"/>
    <w:rsid w:val="007C0461"/>
    <w:rsid w:val="007C06D6"/>
    <w:rsid w:val="007C311C"/>
    <w:rsid w:val="007D4B23"/>
    <w:rsid w:val="007D74D4"/>
    <w:rsid w:val="007E0E3E"/>
    <w:rsid w:val="007E291F"/>
    <w:rsid w:val="007E2959"/>
    <w:rsid w:val="007E4743"/>
    <w:rsid w:val="007E7C58"/>
    <w:rsid w:val="007F3C4C"/>
    <w:rsid w:val="007F4B86"/>
    <w:rsid w:val="007F5F73"/>
    <w:rsid w:val="007F7CEE"/>
    <w:rsid w:val="00800F2C"/>
    <w:rsid w:val="00802A6A"/>
    <w:rsid w:val="00804EEB"/>
    <w:rsid w:val="00806150"/>
    <w:rsid w:val="008107D9"/>
    <w:rsid w:val="00815835"/>
    <w:rsid w:val="00816B24"/>
    <w:rsid w:val="008174F1"/>
    <w:rsid w:val="00827C42"/>
    <w:rsid w:val="00827E21"/>
    <w:rsid w:val="00830DA8"/>
    <w:rsid w:val="00831353"/>
    <w:rsid w:val="008317E0"/>
    <w:rsid w:val="0083779A"/>
    <w:rsid w:val="00842335"/>
    <w:rsid w:val="00843162"/>
    <w:rsid w:val="0085227D"/>
    <w:rsid w:val="00857707"/>
    <w:rsid w:val="00860F74"/>
    <w:rsid w:val="008618A7"/>
    <w:rsid w:val="00862159"/>
    <w:rsid w:val="00862A27"/>
    <w:rsid w:val="008642B8"/>
    <w:rsid w:val="00864B5F"/>
    <w:rsid w:val="00865E6D"/>
    <w:rsid w:val="0087171B"/>
    <w:rsid w:val="008773FC"/>
    <w:rsid w:val="008823E1"/>
    <w:rsid w:val="008900A8"/>
    <w:rsid w:val="00891087"/>
    <w:rsid w:val="0089161E"/>
    <w:rsid w:val="00897FD5"/>
    <w:rsid w:val="008A18CF"/>
    <w:rsid w:val="008A7004"/>
    <w:rsid w:val="008A796A"/>
    <w:rsid w:val="008B1168"/>
    <w:rsid w:val="008B3A0B"/>
    <w:rsid w:val="008B6426"/>
    <w:rsid w:val="008C15CF"/>
    <w:rsid w:val="008C6A16"/>
    <w:rsid w:val="008C7F1D"/>
    <w:rsid w:val="008D5126"/>
    <w:rsid w:val="008D5E65"/>
    <w:rsid w:val="008D7F7C"/>
    <w:rsid w:val="008E1EFF"/>
    <w:rsid w:val="008E44C8"/>
    <w:rsid w:val="008E4B42"/>
    <w:rsid w:val="008E5E29"/>
    <w:rsid w:val="008F1267"/>
    <w:rsid w:val="008F1BB3"/>
    <w:rsid w:val="008F1FB1"/>
    <w:rsid w:val="008F3E84"/>
    <w:rsid w:val="008F5380"/>
    <w:rsid w:val="008F7B33"/>
    <w:rsid w:val="00901106"/>
    <w:rsid w:val="009026FD"/>
    <w:rsid w:val="009108B0"/>
    <w:rsid w:val="00910FBF"/>
    <w:rsid w:val="00912E03"/>
    <w:rsid w:val="00915DAB"/>
    <w:rsid w:val="0092168B"/>
    <w:rsid w:val="00922A7C"/>
    <w:rsid w:val="009237DB"/>
    <w:rsid w:val="00934374"/>
    <w:rsid w:val="00936BF9"/>
    <w:rsid w:val="0093709F"/>
    <w:rsid w:val="0094137A"/>
    <w:rsid w:val="00946E79"/>
    <w:rsid w:val="00950B3D"/>
    <w:rsid w:val="009546F5"/>
    <w:rsid w:val="009566CB"/>
    <w:rsid w:val="00963084"/>
    <w:rsid w:val="00963742"/>
    <w:rsid w:val="00963D07"/>
    <w:rsid w:val="00965BC6"/>
    <w:rsid w:val="0096628B"/>
    <w:rsid w:val="00970833"/>
    <w:rsid w:val="00971546"/>
    <w:rsid w:val="00982A65"/>
    <w:rsid w:val="00986A35"/>
    <w:rsid w:val="009916A5"/>
    <w:rsid w:val="00991FDE"/>
    <w:rsid w:val="009923F7"/>
    <w:rsid w:val="0099483A"/>
    <w:rsid w:val="00995A63"/>
    <w:rsid w:val="00995F42"/>
    <w:rsid w:val="009974BF"/>
    <w:rsid w:val="009A0AD6"/>
    <w:rsid w:val="009A2024"/>
    <w:rsid w:val="009A59C3"/>
    <w:rsid w:val="009A7BEE"/>
    <w:rsid w:val="009B1529"/>
    <w:rsid w:val="009B570B"/>
    <w:rsid w:val="009C3DDD"/>
    <w:rsid w:val="009C3E8F"/>
    <w:rsid w:val="009C4CC3"/>
    <w:rsid w:val="009D5361"/>
    <w:rsid w:val="009D6CD9"/>
    <w:rsid w:val="009D7AA5"/>
    <w:rsid w:val="009E5271"/>
    <w:rsid w:val="009F163B"/>
    <w:rsid w:val="009F4D5C"/>
    <w:rsid w:val="009F5D75"/>
    <w:rsid w:val="009F703D"/>
    <w:rsid w:val="00A0102B"/>
    <w:rsid w:val="00A04969"/>
    <w:rsid w:val="00A05AD3"/>
    <w:rsid w:val="00A12922"/>
    <w:rsid w:val="00A15641"/>
    <w:rsid w:val="00A20FD6"/>
    <w:rsid w:val="00A22933"/>
    <w:rsid w:val="00A239EC"/>
    <w:rsid w:val="00A25A25"/>
    <w:rsid w:val="00A31575"/>
    <w:rsid w:val="00A32154"/>
    <w:rsid w:val="00A344D3"/>
    <w:rsid w:val="00A36405"/>
    <w:rsid w:val="00A45553"/>
    <w:rsid w:val="00A52B76"/>
    <w:rsid w:val="00A56737"/>
    <w:rsid w:val="00A57D1C"/>
    <w:rsid w:val="00A64273"/>
    <w:rsid w:val="00A71607"/>
    <w:rsid w:val="00A75538"/>
    <w:rsid w:val="00A852CE"/>
    <w:rsid w:val="00A9043F"/>
    <w:rsid w:val="00A94DE5"/>
    <w:rsid w:val="00AA3344"/>
    <w:rsid w:val="00AA4893"/>
    <w:rsid w:val="00AA794D"/>
    <w:rsid w:val="00AB0092"/>
    <w:rsid w:val="00AB0CFC"/>
    <w:rsid w:val="00AB18F9"/>
    <w:rsid w:val="00AB21DD"/>
    <w:rsid w:val="00AC1608"/>
    <w:rsid w:val="00AC286C"/>
    <w:rsid w:val="00AC2BE9"/>
    <w:rsid w:val="00AC6A44"/>
    <w:rsid w:val="00AD0792"/>
    <w:rsid w:val="00AD42D9"/>
    <w:rsid w:val="00AD6497"/>
    <w:rsid w:val="00AD6E43"/>
    <w:rsid w:val="00AD7FAD"/>
    <w:rsid w:val="00AE624D"/>
    <w:rsid w:val="00AF0E2C"/>
    <w:rsid w:val="00AF2816"/>
    <w:rsid w:val="00AF754E"/>
    <w:rsid w:val="00B03D6A"/>
    <w:rsid w:val="00B079CA"/>
    <w:rsid w:val="00B10A1E"/>
    <w:rsid w:val="00B10EAD"/>
    <w:rsid w:val="00B1214B"/>
    <w:rsid w:val="00B14225"/>
    <w:rsid w:val="00B1646E"/>
    <w:rsid w:val="00B21697"/>
    <w:rsid w:val="00B31222"/>
    <w:rsid w:val="00B33EB8"/>
    <w:rsid w:val="00B3684A"/>
    <w:rsid w:val="00B42AE3"/>
    <w:rsid w:val="00B45CC3"/>
    <w:rsid w:val="00B47711"/>
    <w:rsid w:val="00B47FFC"/>
    <w:rsid w:val="00B508E1"/>
    <w:rsid w:val="00B56B00"/>
    <w:rsid w:val="00B611B7"/>
    <w:rsid w:val="00B612D6"/>
    <w:rsid w:val="00B70A6C"/>
    <w:rsid w:val="00B7261D"/>
    <w:rsid w:val="00B72D14"/>
    <w:rsid w:val="00B80220"/>
    <w:rsid w:val="00B82CF3"/>
    <w:rsid w:val="00B92A7E"/>
    <w:rsid w:val="00B9507A"/>
    <w:rsid w:val="00B950CC"/>
    <w:rsid w:val="00B96521"/>
    <w:rsid w:val="00BA015A"/>
    <w:rsid w:val="00BA04B4"/>
    <w:rsid w:val="00BA1BFA"/>
    <w:rsid w:val="00BA2E03"/>
    <w:rsid w:val="00BA4507"/>
    <w:rsid w:val="00BA5501"/>
    <w:rsid w:val="00BA6A30"/>
    <w:rsid w:val="00BB0CC5"/>
    <w:rsid w:val="00BB1177"/>
    <w:rsid w:val="00BB5C12"/>
    <w:rsid w:val="00BB651F"/>
    <w:rsid w:val="00BC02E7"/>
    <w:rsid w:val="00BC1899"/>
    <w:rsid w:val="00BC216A"/>
    <w:rsid w:val="00BC7EB3"/>
    <w:rsid w:val="00BD2227"/>
    <w:rsid w:val="00BD48DE"/>
    <w:rsid w:val="00BD5A2C"/>
    <w:rsid w:val="00BD6EAD"/>
    <w:rsid w:val="00BE4CE7"/>
    <w:rsid w:val="00BE5A32"/>
    <w:rsid w:val="00BE6E8B"/>
    <w:rsid w:val="00BF6927"/>
    <w:rsid w:val="00C06976"/>
    <w:rsid w:val="00C06FAE"/>
    <w:rsid w:val="00C070D5"/>
    <w:rsid w:val="00C130C4"/>
    <w:rsid w:val="00C14904"/>
    <w:rsid w:val="00C16175"/>
    <w:rsid w:val="00C16B19"/>
    <w:rsid w:val="00C16DFE"/>
    <w:rsid w:val="00C236F1"/>
    <w:rsid w:val="00C26E08"/>
    <w:rsid w:val="00C30ECD"/>
    <w:rsid w:val="00C32052"/>
    <w:rsid w:val="00C32548"/>
    <w:rsid w:val="00C34ABE"/>
    <w:rsid w:val="00C35DA0"/>
    <w:rsid w:val="00C36DEE"/>
    <w:rsid w:val="00C41606"/>
    <w:rsid w:val="00C457C8"/>
    <w:rsid w:val="00C45B7D"/>
    <w:rsid w:val="00C45BFF"/>
    <w:rsid w:val="00C50005"/>
    <w:rsid w:val="00C51455"/>
    <w:rsid w:val="00C51692"/>
    <w:rsid w:val="00C53527"/>
    <w:rsid w:val="00C55B27"/>
    <w:rsid w:val="00C5651D"/>
    <w:rsid w:val="00C60A5A"/>
    <w:rsid w:val="00C61CAE"/>
    <w:rsid w:val="00C6452E"/>
    <w:rsid w:val="00C659E5"/>
    <w:rsid w:val="00C66934"/>
    <w:rsid w:val="00C67648"/>
    <w:rsid w:val="00C67A10"/>
    <w:rsid w:val="00C67C72"/>
    <w:rsid w:val="00C7654B"/>
    <w:rsid w:val="00C81D2A"/>
    <w:rsid w:val="00C84049"/>
    <w:rsid w:val="00C91055"/>
    <w:rsid w:val="00C925C5"/>
    <w:rsid w:val="00C92F89"/>
    <w:rsid w:val="00C94714"/>
    <w:rsid w:val="00C97D96"/>
    <w:rsid w:val="00CA06B5"/>
    <w:rsid w:val="00CA2FBB"/>
    <w:rsid w:val="00CA40C9"/>
    <w:rsid w:val="00CB72C6"/>
    <w:rsid w:val="00CC4273"/>
    <w:rsid w:val="00CC4EEC"/>
    <w:rsid w:val="00CC52CB"/>
    <w:rsid w:val="00CC5550"/>
    <w:rsid w:val="00CC6022"/>
    <w:rsid w:val="00CD7127"/>
    <w:rsid w:val="00CE6711"/>
    <w:rsid w:val="00CF4A73"/>
    <w:rsid w:val="00D00C74"/>
    <w:rsid w:val="00D014CB"/>
    <w:rsid w:val="00D042E3"/>
    <w:rsid w:val="00D11990"/>
    <w:rsid w:val="00D11B48"/>
    <w:rsid w:val="00D12243"/>
    <w:rsid w:val="00D140CA"/>
    <w:rsid w:val="00D17B88"/>
    <w:rsid w:val="00D238C1"/>
    <w:rsid w:val="00D245E0"/>
    <w:rsid w:val="00D2601A"/>
    <w:rsid w:val="00D410A1"/>
    <w:rsid w:val="00D44159"/>
    <w:rsid w:val="00D457AE"/>
    <w:rsid w:val="00D504F5"/>
    <w:rsid w:val="00D54070"/>
    <w:rsid w:val="00D54310"/>
    <w:rsid w:val="00D60525"/>
    <w:rsid w:val="00D62EE1"/>
    <w:rsid w:val="00D62FE8"/>
    <w:rsid w:val="00D655A2"/>
    <w:rsid w:val="00D667CB"/>
    <w:rsid w:val="00D67E94"/>
    <w:rsid w:val="00D717D6"/>
    <w:rsid w:val="00D73898"/>
    <w:rsid w:val="00D74596"/>
    <w:rsid w:val="00D80BE4"/>
    <w:rsid w:val="00D82262"/>
    <w:rsid w:val="00D82328"/>
    <w:rsid w:val="00D824A8"/>
    <w:rsid w:val="00D85D78"/>
    <w:rsid w:val="00D85E8A"/>
    <w:rsid w:val="00D92CCA"/>
    <w:rsid w:val="00D94230"/>
    <w:rsid w:val="00DA0532"/>
    <w:rsid w:val="00DA1683"/>
    <w:rsid w:val="00DA70DC"/>
    <w:rsid w:val="00DB00FC"/>
    <w:rsid w:val="00DB077D"/>
    <w:rsid w:val="00DB3574"/>
    <w:rsid w:val="00DB396A"/>
    <w:rsid w:val="00DB3988"/>
    <w:rsid w:val="00DB4D60"/>
    <w:rsid w:val="00DB5450"/>
    <w:rsid w:val="00DB6713"/>
    <w:rsid w:val="00DC0749"/>
    <w:rsid w:val="00DC2E2B"/>
    <w:rsid w:val="00DC4FFE"/>
    <w:rsid w:val="00DD027F"/>
    <w:rsid w:val="00DD0DF4"/>
    <w:rsid w:val="00DD2520"/>
    <w:rsid w:val="00DD2AD8"/>
    <w:rsid w:val="00DD5E97"/>
    <w:rsid w:val="00DD6519"/>
    <w:rsid w:val="00DD7439"/>
    <w:rsid w:val="00DE67FE"/>
    <w:rsid w:val="00DE7B11"/>
    <w:rsid w:val="00DF0B4B"/>
    <w:rsid w:val="00DF1B4E"/>
    <w:rsid w:val="00DF4E7C"/>
    <w:rsid w:val="00DF60A7"/>
    <w:rsid w:val="00E0337D"/>
    <w:rsid w:val="00E10BE2"/>
    <w:rsid w:val="00E11EEC"/>
    <w:rsid w:val="00E12072"/>
    <w:rsid w:val="00E12E79"/>
    <w:rsid w:val="00E15985"/>
    <w:rsid w:val="00E159AD"/>
    <w:rsid w:val="00E159FA"/>
    <w:rsid w:val="00E172E6"/>
    <w:rsid w:val="00E20732"/>
    <w:rsid w:val="00E20EB5"/>
    <w:rsid w:val="00E22618"/>
    <w:rsid w:val="00E230AA"/>
    <w:rsid w:val="00E23DB8"/>
    <w:rsid w:val="00E25B79"/>
    <w:rsid w:val="00E26F43"/>
    <w:rsid w:val="00E30456"/>
    <w:rsid w:val="00E351AD"/>
    <w:rsid w:val="00E369B4"/>
    <w:rsid w:val="00E378B3"/>
    <w:rsid w:val="00E44A8D"/>
    <w:rsid w:val="00E47051"/>
    <w:rsid w:val="00E5059F"/>
    <w:rsid w:val="00E52150"/>
    <w:rsid w:val="00E53927"/>
    <w:rsid w:val="00E53BE7"/>
    <w:rsid w:val="00E568D3"/>
    <w:rsid w:val="00E57121"/>
    <w:rsid w:val="00E60298"/>
    <w:rsid w:val="00E6311F"/>
    <w:rsid w:val="00E67C4C"/>
    <w:rsid w:val="00E71978"/>
    <w:rsid w:val="00E74691"/>
    <w:rsid w:val="00E8271F"/>
    <w:rsid w:val="00E859C0"/>
    <w:rsid w:val="00E949A5"/>
    <w:rsid w:val="00E96D99"/>
    <w:rsid w:val="00E96E3E"/>
    <w:rsid w:val="00EA3094"/>
    <w:rsid w:val="00EB1579"/>
    <w:rsid w:val="00EB2820"/>
    <w:rsid w:val="00EB4F16"/>
    <w:rsid w:val="00EC362C"/>
    <w:rsid w:val="00EC4685"/>
    <w:rsid w:val="00ED09D2"/>
    <w:rsid w:val="00ED5E21"/>
    <w:rsid w:val="00ED5FF6"/>
    <w:rsid w:val="00EE2BBF"/>
    <w:rsid w:val="00EE331C"/>
    <w:rsid w:val="00EF12C2"/>
    <w:rsid w:val="00EF7935"/>
    <w:rsid w:val="00F0324E"/>
    <w:rsid w:val="00F04708"/>
    <w:rsid w:val="00F05DB9"/>
    <w:rsid w:val="00F06578"/>
    <w:rsid w:val="00F07591"/>
    <w:rsid w:val="00F134EF"/>
    <w:rsid w:val="00F13AC9"/>
    <w:rsid w:val="00F2169F"/>
    <w:rsid w:val="00F22345"/>
    <w:rsid w:val="00F25148"/>
    <w:rsid w:val="00F30FB3"/>
    <w:rsid w:val="00F31475"/>
    <w:rsid w:val="00F360D0"/>
    <w:rsid w:val="00F36ED5"/>
    <w:rsid w:val="00F42EDB"/>
    <w:rsid w:val="00F455CA"/>
    <w:rsid w:val="00F55412"/>
    <w:rsid w:val="00F5556E"/>
    <w:rsid w:val="00F645C3"/>
    <w:rsid w:val="00F64910"/>
    <w:rsid w:val="00F679E3"/>
    <w:rsid w:val="00F709BA"/>
    <w:rsid w:val="00F738D2"/>
    <w:rsid w:val="00F73D6F"/>
    <w:rsid w:val="00F73E69"/>
    <w:rsid w:val="00F75B22"/>
    <w:rsid w:val="00F76398"/>
    <w:rsid w:val="00F76E04"/>
    <w:rsid w:val="00F80289"/>
    <w:rsid w:val="00F879B0"/>
    <w:rsid w:val="00F916DB"/>
    <w:rsid w:val="00F91A1D"/>
    <w:rsid w:val="00F922E9"/>
    <w:rsid w:val="00F96474"/>
    <w:rsid w:val="00FA0687"/>
    <w:rsid w:val="00FA1F8F"/>
    <w:rsid w:val="00FA53DA"/>
    <w:rsid w:val="00FB0D4B"/>
    <w:rsid w:val="00FB0F81"/>
    <w:rsid w:val="00FB4F39"/>
    <w:rsid w:val="00FE3290"/>
    <w:rsid w:val="00FE5477"/>
    <w:rsid w:val="00FF6A41"/>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EE331C"/>
    <w:rPr>
      <w:lang w:val="en-GB"/>
    </w:rPr>
  </w:style>
  <w:style w:type="paragraph" w:customStyle="1" w:styleId="B1">
    <w:name w:val="B1"/>
    <w:basedOn w:val="Normal"/>
    <w:link w:val="B1Char"/>
    <w:qFormat/>
    <w:rsid w:val="00EE331C"/>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paragraph" w:customStyle="1" w:styleId="IvDInstructiontext">
    <w:name w:val="IvD Instructiontext"/>
    <w:basedOn w:val="BodyText"/>
    <w:link w:val="IvDInstructiontextChar"/>
    <w:uiPriority w:val="99"/>
    <w:qFormat/>
    <w:rsid w:val="001F5D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F5D64"/>
    <w:rPr>
      <w:rFonts w:ascii="Arial" w:eastAsia="Times New Roman" w:hAnsi="Arial" w:cs="Times New Roman"/>
      <w:i/>
      <w:color w:val="7F7F7F" w:themeColor="text1" w:themeTint="80"/>
      <w:spacing w:val="2"/>
      <w:sz w:val="18"/>
      <w:szCs w:val="18"/>
      <w:lang w:val="en-US"/>
    </w:rPr>
  </w:style>
  <w:style w:type="character" w:customStyle="1" w:styleId="CRCoverPageZchn">
    <w:name w:val="CR Cover Page Zchn"/>
    <w:link w:val="CRCoverPage"/>
    <w:locked/>
    <w:rsid w:val="005905B6"/>
    <w:rPr>
      <w:rFonts w:ascii="Arial" w:hAnsi="Arial" w:cs="Arial"/>
      <w:lang w:val="en-GB"/>
    </w:rPr>
  </w:style>
  <w:style w:type="paragraph" w:customStyle="1" w:styleId="CRCoverPage">
    <w:name w:val="CR Cover Page"/>
    <w:link w:val="CRCoverPageZchn"/>
    <w:rsid w:val="005905B6"/>
    <w:pPr>
      <w:spacing w:after="120" w:line="240" w:lineRule="auto"/>
    </w:pPr>
    <w:rPr>
      <w:rFonts w:ascii="Arial" w:hAnsi="Arial" w:cs="Arial"/>
      <w:lang w:val="en-GB"/>
    </w:rPr>
  </w:style>
  <w:style w:type="paragraph" w:customStyle="1" w:styleId="B5">
    <w:name w:val="B5"/>
    <w:basedOn w:val="List5"/>
    <w:link w:val="B5Char"/>
    <w:rsid w:val="00965BC6"/>
    <w:pPr>
      <w:spacing w:after="180"/>
      <w:ind w:left="1702" w:hanging="284"/>
      <w:contextualSpacing w:val="0"/>
      <w:jc w:val="left"/>
    </w:pPr>
    <w:rPr>
      <w:lang w:eastAsia="en-US"/>
    </w:rPr>
  </w:style>
  <w:style w:type="character" w:customStyle="1" w:styleId="B5Char">
    <w:name w:val="B5 Char"/>
    <w:link w:val="B5"/>
    <w:rsid w:val="00965BC6"/>
    <w:rPr>
      <w:rFonts w:ascii="Arial" w:eastAsia="Times New Roman" w:hAnsi="Arial" w:cs="Times New Roman"/>
      <w:sz w:val="20"/>
      <w:szCs w:val="20"/>
      <w:lang w:val="en-GB"/>
    </w:rPr>
  </w:style>
  <w:style w:type="paragraph" w:styleId="List5">
    <w:name w:val="List 5"/>
    <w:basedOn w:val="Normal"/>
    <w:uiPriority w:val="99"/>
    <w:semiHidden/>
    <w:unhideWhenUsed/>
    <w:rsid w:val="00965BC6"/>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4066">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83389891">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74089740">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51885530">
      <w:bodyDiv w:val="1"/>
      <w:marLeft w:val="0"/>
      <w:marRight w:val="0"/>
      <w:marTop w:val="0"/>
      <w:marBottom w:val="0"/>
      <w:divBdr>
        <w:top w:val="none" w:sz="0" w:space="0" w:color="auto"/>
        <w:left w:val="none" w:sz="0" w:space="0" w:color="auto"/>
        <w:bottom w:val="none" w:sz="0" w:space="0" w:color="auto"/>
        <w:right w:val="none" w:sz="0" w:space="0" w:color="auto"/>
      </w:divBdr>
    </w:div>
    <w:div w:id="571548854">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597518320">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21295394">
      <w:bodyDiv w:val="1"/>
      <w:marLeft w:val="0"/>
      <w:marRight w:val="0"/>
      <w:marTop w:val="0"/>
      <w:marBottom w:val="0"/>
      <w:divBdr>
        <w:top w:val="none" w:sz="0" w:space="0" w:color="auto"/>
        <w:left w:val="none" w:sz="0" w:space="0" w:color="auto"/>
        <w:bottom w:val="none" w:sz="0" w:space="0" w:color="auto"/>
        <w:right w:val="none" w:sz="0" w:space="0" w:color="auto"/>
      </w:divBdr>
    </w:div>
    <w:div w:id="725764916">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00035942">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6947647">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92201281">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5632487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09006696">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5NUHHDQN7SK2-1476151046-43707</_dlc_DocId>
    <_dlc_DocIdUrl xmlns="f166a696-7b5b-4ccd-9f0c-ffde0cceec81">
      <Url>https://ericsson.sharepoint.com/sites/star/_layouts/15/DocIdRedir.aspx?ID=5NUHHDQN7SK2-1476151046-43707</Url>
      <Description>5NUHHDQN7SK2-1476151046-43707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FCFEF-0E4D-4DA9-835D-8F4590BC99C9}">
  <ds:schemaRefs>
    <ds:schemaRef ds:uri="http://schemas.microsoft.com/sharepoint/v3/contenttype/forms"/>
  </ds:schemaRefs>
</ds:datastoreItem>
</file>

<file path=customXml/itemProps2.xml><?xml version="1.0" encoding="utf-8"?>
<ds:datastoreItem xmlns:ds="http://schemas.openxmlformats.org/officeDocument/2006/customXml" ds:itemID="{84EC6727-F445-4CA0-A6F7-818F9A73DBD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CF958FED-C286-42BC-8D35-BCED5C949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045B6-C537-48CD-A681-A9FC00175917}">
  <ds:schemaRefs>
    <ds:schemaRef ds:uri="Microsoft.SharePoint.Taxonomy.ContentTypeSync"/>
  </ds:schemaRefs>
</ds:datastoreItem>
</file>

<file path=customXml/itemProps5.xml><?xml version="1.0" encoding="utf-8"?>
<ds:datastoreItem xmlns:ds="http://schemas.openxmlformats.org/officeDocument/2006/customXml" ds:itemID="{6A35A66C-B556-4F7B-8C35-3D788A7C90B8}">
  <ds:schemaRefs>
    <ds:schemaRef ds:uri="http://schemas.microsoft.com/sharepoint/events"/>
  </ds:schemaRefs>
</ds:datastoreItem>
</file>

<file path=customXml/itemProps6.xml><?xml version="1.0" encoding="utf-8"?>
<ds:datastoreItem xmlns:ds="http://schemas.openxmlformats.org/officeDocument/2006/customXml" ds:itemID="{135E4508-5448-479E-A90A-C3E764BA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2019-03-19T10:31:00Z</dcterms:created>
  <dcterms:modified xsi:type="dcterms:W3CDTF">2019-03-29T00:59:00Z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08762397-b888-4cbd-b2e2-a70899bbccd5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