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014AC77"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00E67A80">
        <w:rPr>
          <w:sz w:val="24"/>
          <w:lang w:val="en-GB" w:eastAsia="zh-CN"/>
        </w:rPr>
        <w:t>bis</w:t>
      </w:r>
      <w:r w:rsidRPr="00EE6198">
        <w:rPr>
          <w:sz w:val="24"/>
          <w:lang w:val="en-GB" w:eastAsia="zh-CN"/>
        </w:rPr>
        <w:tab/>
      </w:r>
      <w:r w:rsidR="004E150B" w:rsidRPr="004E150B">
        <w:rPr>
          <w:sz w:val="24"/>
          <w:lang w:val="en-GB" w:eastAsia="zh-CN"/>
        </w:rPr>
        <w:t>R2-1903658</w:t>
      </w:r>
    </w:p>
    <w:p w14:paraId="7D109D32" w14:textId="77777777" w:rsidR="00B24821" w:rsidRPr="00B24821" w:rsidRDefault="00B24821" w:rsidP="00B24821">
      <w:pPr>
        <w:pStyle w:val="Header"/>
        <w:tabs>
          <w:tab w:val="right" w:pos="9639"/>
        </w:tabs>
        <w:rPr>
          <w:sz w:val="24"/>
          <w:lang w:val="en-GB" w:eastAsia="ko-KR"/>
        </w:rPr>
      </w:pPr>
      <w:r w:rsidRPr="00B24821">
        <w:rPr>
          <w:sz w:val="24"/>
          <w:lang w:val="en-GB" w:eastAsia="ko-KR"/>
        </w:rPr>
        <w:t>Xi'an, China, 8</w:t>
      </w:r>
      <w:r w:rsidRPr="00B24821">
        <w:rPr>
          <w:sz w:val="24"/>
          <w:vertAlign w:val="superscript"/>
          <w:lang w:val="en-GB" w:eastAsia="ko-KR"/>
        </w:rPr>
        <w:t>th</w:t>
      </w:r>
      <w:r w:rsidRPr="00B24821">
        <w:rPr>
          <w:sz w:val="24"/>
          <w:lang w:val="en-GB" w:eastAsia="ko-KR"/>
        </w:rPr>
        <w:t xml:space="preserve"> – 12</w:t>
      </w:r>
      <w:r w:rsidRPr="00B24821">
        <w:rPr>
          <w:sz w:val="24"/>
          <w:vertAlign w:val="superscript"/>
          <w:lang w:val="en-GB" w:eastAsia="ko-KR"/>
        </w:rPr>
        <w:t>th</w:t>
      </w:r>
      <w:r w:rsidRPr="00B24821">
        <w:rPr>
          <w:sz w:val="24"/>
          <w:lang w:val="en-GB" w:eastAsia="ko-KR"/>
        </w:rPr>
        <w:t xml:space="preserve"> April 2019</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54AB41F0"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24821">
        <w:rPr>
          <w:rFonts w:eastAsia="SimSun" w:cs="Arial"/>
          <w:b/>
          <w:bCs/>
          <w:sz w:val="24"/>
          <w:lang w:val="en-US"/>
        </w:rPr>
        <w:t>11.4.4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54DB5F2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DC097B" w:rsidRPr="00DC097B">
        <w:rPr>
          <w:rFonts w:ascii="Arial" w:hAnsi="Arial" w:cs="Arial"/>
          <w:b/>
          <w:bCs/>
          <w:sz w:val="24"/>
        </w:rPr>
        <w:t xml:space="preserve">On groupcast </w:t>
      </w:r>
      <w:r w:rsidR="00BE00A3">
        <w:rPr>
          <w:rFonts w:ascii="Arial" w:hAnsi="Arial" w:cs="Arial"/>
          <w:b/>
          <w:bCs/>
          <w:sz w:val="24"/>
        </w:rPr>
        <w:t>operation</w:t>
      </w:r>
      <w:r w:rsidR="00DC097B" w:rsidRPr="00DC097B">
        <w:rPr>
          <w:rFonts w:ascii="Arial" w:hAnsi="Arial" w:cs="Arial"/>
          <w:b/>
          <w:bCs/>
          <w:sz w:val="24"/>
        </w:rPr>
        <w:t xml:space="preserve"> over NR sidelink</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7BE39749" w:rsidR="007356BA"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At the last RAN2 meeting, </w:t>
      </w:r>
      <w:r w:rsidR="00DC097B">
        <w:rPr>
          <w:rFonts w:ascii="Times New Roman" w:hAnsi="Times New Roman"/>
          <w:sz w:val="20"/>
          <w:szCs w:val="20"/>
          <w:lang w:eastAsia="zh-CN"/>
        </w:rPr>
        <w:t>the following agreement were made regarding support of groupca</w:t>
      </w:r>
      <w:r w:rsidR="000B32EB">
        <w:rPr>
          <w:rFonts w:ascii="Times New Roman" w:hAnsi="Times New Roman"/>
          <w:sz w:val="20"/>
          <w:szCs w:val="20"/>
          <w:lang w:eastAsia="zh-CN"/>
        </w:rPr>
        <w:t xml:space="preserve">st operation over NR sidelink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B32EB" w:rsidRPr="000B32EB">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EA885CC"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sz w:val="20"/>
          <w:szCs w:val="24"/>
          <w:lang w:val="en-GB" w:eastAsia="en-GB"/>
        </w:rPr>
        <w:t>Agreements on groupcast:</w:t>
      </w:r>
    </w:p>
    <w:p w14:paraId="72219AB4"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sz w:val="20"/>
          <w:szCs w:val="24"/>
          <w:lang w:val="en-GB" w:eastAsia="en-GB"/>
        </w:rPr>
        <w:t xml:space="preserve">1: </w:t>
      </w:r>
      <w:r w:rsidRPr="00DC097B">
        <w:rPr>
          <w:rFonts w:ascii="Arial" w:eastAsia="MS Mincho" w:hAnsi="Arial"/>
          <w:noProof/>
          <w:sz w:val="20"/>
          <w:szCs w:val="24"/>
          <w:lang w:val="en-GB" w:eastAsia="en-GB"/>
        </w:rPr>
        <w:t xml:space="preserve">No need of 1:M PC5 RRC connection establishment and RLM/RLF declaration among group members for groupcast. </w:t>
      </w:r>
      <w:r w:rsidRPr="00F37C22">
        <w:rPr>
          <w:rFonts w:ascii="Arial" w:eastAsia="MS Mincho" w:hAnsi="Arial"/>
          <w:noProof/>
          <w:sz w:val="20"/>
          <w:szCs w:val="24"/>
          <w:highlight w:val="yellow"/>
          <w:lang w:val="en-GB" w:eastAsia="en-GB"/>
        </w:rPr>
        <w:t>Need of RRC signaling in groupcast manner is to be discussed in WI phase.</w:t>
      </w:r>
    </w:p>
    <w:p w14:paraId="0E38E30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2: No any groupcast-specific RLM design which is different from the unicast-specific RLM procedures to be considered, from RAN2 point of view.</w:t>
      </w:r>
    </w:p>
    <w:p w14:paraId="376B46B6"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3: Any UEs configured to receive a group destination Layer 2 ID shall be allowed to receive the groupcast transmission, in regardless of whether it is within or out of the “minimum communication range”.</w:t>
      </w:r>
    </w:p>
    <w:p w14:paraId="2984778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4: Handling of “minimum communication range” in AS layer control of QoS for unicast/groupcast (if needed) is to be discussed in WI phase.</w:t>
      </w:r>
    </w:p>
    <w:p w14:paraId="59EB4858"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noProof/>
          <w:sz w:val="20"/>
          <w:szCs w:val="24"/>
          <w:lang w:val="en-GB" w:eastAsia="en-GB"/>
        </w:rPr>
        <w:t>5: RLC UM mode is used for groupcast. RLC AM mode for groupcast is not supported.</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2CCF37EB" w:rsidR="00E67A80" w:rsidRPr="00C11F0A"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While a good deal of progress was made in the last meeting, some key issues such as groupcast connection establishment, exchange of SLRB configuration and UE sidelink capabilities still need further discussion</w:t>
      </w:r>
      <w:r w:rsidR="00E67A80">
        <w:rPr>
          <w:rFonts w:ascii="Times New Roman" w:hAnsi="Times New Roman"/>
          <w:sz w:val="20"/>
          <w:szCs w:val="20"/>
          <w:lang w:eastAsia="ja-JP"/>
        </w:rPr>
        <w:t>.</w:t>
      </w:r>
      <w:r>
        <w:rPr>
          <w:rFonts w:ascii="Times New Roman" w:hAnsi="Times New Roman"/>
          <w:sz w:val="20"/>
          <w:szCs w:val="20"/>
          <w:lang w:eastAsia="ja-JP"/>
        </w:rPr>
        <w:t xml:space="preserve"> In this paper, we delve into these key issues and present our view.</w:t>
      </w:r>
    </w:p>
    <w:p w14:paraId="63BA8D55" w14:textId="7D06DBFC" w:rsidR="00100A13" w:rsidRPr="00EA68B2" w:rsidRDefault="000760CC" w:rsidP="00934A52">
      <w:pPr>
        <w:pStyle w:val="Tdoc"/>
      </w:pPr>
      <w:r>
        <w:t>Discussion</w:t>
      </w:r>
    </w:p>
    <w:p w14:paraId="768091D5" w14:textId="069C02DE" w:rsidR="00A3213E" w:rsidRPr="00A3213E" w:rsidRDefault="00DC097B"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PC5 </w:t>
      </w:r>
      <w:r w:rsidR="004E55A4">
        <w:rPr>
          <w:rFonts w:ascii="Arial" w:eastAsia="MS Mincho" w:hAnsi="Arial" w:cs="Arial"/>
          <w:bCs/>
          <w:sz w:val="26"/>
          <w:szCs w:val="26"/>
          <w:lang w:val="en-GB" w:eastAsia="en-GB"/>
        </w:rPr>
        <w:t>control signalling for groupcast</w:t>
      </w:r>
    </w:p>
    <w:p w14:paraId="5424CCC2" w14:textId="77777777" w:rsidR="00A3213E" w:rsidRDefault="00A3213E" w:rsidP="00305CD5">
      <w:pPr>
        <w:rPr>
          <w:rFonts w:ascii="Times New Roman" w:hAnsi="Times New Roman"/>
          <w:sz w:val="20"/>
          <w:lang w:val="en-GB" w:eastAsia="zh-CN"/>
        </w:rPr>
      </w:pPr>
    </w:p>
    <w:p w14:paraId="5509755C" w14:textId="2A26A3F7" w:rsidR="00E67A80" w:rsidRDefault="00DC097B" w:rsidP="00E67A80">
      <w:pPr>
        <w:rPr>
          <w:rFonts w:ascii="Times New Roman" w:hAnsi="Times New Roman"/>
          <w:sz w:val="20"/>
          <w:lang w:val="en-GB" w:eastAsia="zh-CN"/>
        </w:rPr>
      </w:pPr>
      <w:r>
        <w:rPr>
          <w:rFonts w:ascii="Times New Roman" w:hAnsi="Times New Roman"/>
          <w:sz w:val="20"/>
          <w:lang w:val="en-GB" w:eastAsia="zh-CN"/>
        </w:rPr>
        <w:t xml:space="preserve">After extended discussion, it was agreed last meeting that there is no need for any 1:M PC5 RRC connection establishment </w:t>
      </w:r>
      <w:r w:rsidRPr="00DC097B">
        <w:rPr>
          <w:rFonts w:ascii="Times New Roman" w:hAnsi="Times New Roman"/>
          <w:b/>
          <w:sz w:val="20"/>
          <w:lang w:val="en-GB" w:eastAsia="zh-CN"/>
        </w:rPr>
        <w:t>for groupcast</w:t>
      </w:r>
      <w:r>
        <w:rPr>
          <w:rFonts w:ascii="Times New Roman" w:hAnsi="Times New Roman"/>
          <w:sz w:val="20"/>
          <w:lang w:val="en-GB" w:eastAsia="zh-CN"/>
        </w:rPr>
        <w:t xml:space="preserve"> operation</w:t>
      </w:r>
      <w:r w:rsidR="000F00FC">
        <w:rPr>
          <w:rFonts w:ascii="Times New Roman" w:hAnsi="Times New Roman"/>
          <w:sz w:val="20"/>
          <w:lang w:val="en-GB" w:eastAsia="zh-CN"/>
        </w:rPr>
        <w:t>.</w:t>
      </w:r>
      <w:r>
        <w:rPr>
          <w:rFonts w:ascii="Times New Roman" w:hAnsi="Times New Roman"/>
          <w:sz w:val="20"/>
          <w:lang w:val="en-GB" w:eastAsia="zh-CN"/>
        </w:rPr>
        <w:t xml:space="preserve"> This implies that a given UE, let’s say UE A, does not need to send RRC signalling to UEs within a group (let’s say UE B and UE C) in order to subsequently perform groupcast transmissions. Similarly, it was also agreed that there is no group-wide RLM/RLF declaration. In case the link quality degrades between a subset of UEs within the group, it is the responsibility of the upper layer to perform necessary keep-alive s</w:t>
      </w:r>
      <w:r w:rsidR="00C40041">
        <w:rPr>
          <w:rFonts w:ascii="Times New Roman" w:hAnsi="Times New Roman"/>
          <w:sz w:val="20"/>
          <w:lang w:val="en-GB" w:eastAsia="zh-CN"/>
        </w:rPr>
        <w:t>ignalling for proper operation.</w:t>
      </w:r>
    </w:p>
    <w:p w14:paraId="5F112C96" w14:textId="77777777" w:rsidR="00DC097B" w:rsidRDefault="00DC097B" w:rsidP="00E67A80">
      <w:pPr>
        <w:rPr>
          <w:rFonts w:ascii="Times New Roman" w:hAnsi="Times New Roman"/>
          <w:sz w:val="20"/>
          <w:lang w:val="en-GB" w:eastAsia="zh-CN"/>
        </w:rPr>
      </w:pPr>
    </w:p>
    <w:p w14:paraId="30E8574D" w14:textId="16AAFD36" w:rsidR="00DC097B" w:rsidRDefault="00DC097B" w:rsidP="00E67A80">
      <w:pPr>
        <w:rPr>
          <w:rFonts w:ascii="Times New Roman" w:hAnsi="Times New Roman"/>
          <w:sz w:val="20"/>
          <w:lang w:val="en-GB" w:eastAsia="zh-CN"/>
        </w:rPr>
      </w:pPr>
      <w:r>
        <w:rPr>
          <w:rFonts w:ascii="Times New Roman" w:hAnsi="Times New Roman"/>
          <w:sz w:val="20"/>
          <w:lang w:val="en-GB" w:eastAsia="zh-CN"/>
        </w:rPr>
        <w:t xml:space="preserve">However, as per the first agreement, there is still some ambiguity when it comes to connection establishment for UEs within a group. In </w:t>
      </w:r>
      <w:r w:rsidR="00AE5AC2">
        <w:rPr>
          <w:rFonts w:ascii="Times New Roman" w:hAnsi="Times New Roman"/>
          <w:sz w:val="20"/>
          <w:lang w:val="en-GB" w:eastAsia="zh-CN"/>
        </w:rPr>
        <w:t>essence</w:t>
      </w:r>
      <w:r>
        <w:rPr>
          <w:rFonts w:ascii="Times New Roman" w:hAnsi="Times New Roman"/>
          <w:sz w:val="20"/>
          <w:lang w:val="en-GB" w:eastAsia="zh-CN"/>
        </w:rPr>
        <w:t>, from the scenario in the figure above, we have the following three potential cases:</w:t>
      </w:r>
    </w:p>
    <w:p w14:paraId="48A1F945" w14:textId="7AB03F1D"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unicast transmissions</w:t>
      </w:r>
    </w:p>
    <w:p w14:paraId="72B944B9" w14:textId="7B2025A1"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groupcast transmissions</w:t>
      </w:r>
    </w:p>
    <w:p w14:paraId="6CCDC6C2" w14:textId="7B0ABE94"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collectively for the purpose of performing groupcast transmissions</w:t>
      </w:r>
    </w:p>
    <w:p w14:paraId="2CC3A505" w14:textId="15D4A904" w:rsidR="00EF0145" w:rsidRDefault="00AE5AC2" w:rsidP="00AE5AC2">
      <w:pPr>
        <w:rPr>
          <w:rFonts w:ascii="Times New Roman" w:hAnsi="Times New Roman"/>
          <w:sz w:val="20"/>
          <w:lang w:val="en-GB" w:eastAsia="zh-CN"/>
        </w:rPr>
      </w:pPr>
      <w:r>
        <w:rPr>
          <w:rFonts w:ascii="Times New Roman" w:hAnsi="Times New Roman"/>
          <w:sz w:val="20"/>
          <w:lang w:val="en-GB" w:eastAsia="zh-CN"/>
        </w:rPr>
        <w:t>From the above discussion, case 1 is nothing different from the ‘normal’ unicast case, where any two members of a group can perform unicast transmissions to ea</w:t>
      </w:r>
      <w:r w:rsidR="00B24821">
        <w:rPr>
          <w:rFonts w:ascii="Times New Roman" w:hAnsi="Times New Roman"/>
          <w:sz w:val="20"/>
          <w:lang w:val="en-GB" w:eastAsia="zh-CN"/>
        </w:rPr>
        <w:t xml:space="preserve">ch other whilst being part of the </w:t>
      </w:r>
      <w:r>
        <w:rPr>
          <w:rFonts w:ascii="Times New Roman" w:hAnsi="Times New Roman"/>
          <w:sz w:val="20"/>
          <w:lang w:val="en-GB" w:eastAsia="zh-CN"/>
        </w:rPr>
        <w:t xml:space="preserve">group. The need for supporting PC5 RRC connection establishment in this case was not resolved in the SI phase and will be discussed in the WI stage. Case </w:t>
      </w:r>
      <w:r w:rsidR="00681CCA">
        <w:rPr>
          <w:rFonts w:ascii="Times New Roman" w:hAnsi="Times New Roman"/>
          <w:sz w:val="20"/>
          <w:lang w:val="en-GB" w:eastAsia="zh-CN"/>
        </w:rPr>
        <w:t>3</w:t>
      </w:r>
      <w:r>
        <w:rPr>
          <w:rFonts w:ascii="Times New Roman" w:hAnsi="Times New Roman"/>
          <w:sz w:val="20"/>
          <w:lang w:val="en-GB" w:eastAsia="zh-CN"/>
        </w:rPr>
        <w:t xml:space="preserve"> corresponds to what was discussed earlier and as we elaborated earlier, it has been ruled out as per RAN2 agreement</w:t>
      </w:r>
      <w:r w:rsidR="00B24821">
        <w:rPr>
          <w:rFonts w:ascii="Times New Roman" w:hAnsi="Times New Roman"/>
          <w:sz w:val="20"/>
          <w:lang w:val="en-GB" w:eastAsia="zh-CN"/>
        </w:rPr>
        <w:t>s</w:t>
      </w:r>
      <w:r>
        <w:rPr>
          <w:rFonts w:ascii="Times New Roman" w:hAnsi="Times New Roman"/>
          <w:sz w:val="20"/>
          <w:lang w:val="en-GB" w:eastAsia="zh-CN"/>
        </w:rPr>
        <w:t xml:space="preserve">. </w:t>
      </w:r>
      <w:r>
        <w:rPr>
          <w:rFonts w:ascii="Times New Roman" w:hAnsi="Times New Roman"/>
          <w:sz w:val="20"/>
          <w:lang w:val="en-GB" w:eastAsia="zh-CN"/>
        </w:rPr>
        <w:lastRenderedPageBreak/>
        <w:t xml:space="preserve">Then, case </w:t>
      </w:r>
      <w:r w:rsidR="00681CCA">
        <w:rPr>
          <w:rFonts w:ascii="Times New Roman" w:hAnsi="Times New Roman"/>
          <w:sz w:val="20"/>
          <w:lang w:val="en-GB" w:eastAsia="zh-CN"/>
        </w:rPr>
        <w:t>2</w:t>
      </w:r>
      <w:r>
        <w:rPr>
          <w:rFonts w:ascii="Times New Roman" w:hAnsi="Times New Roman"/>
          <w:sz w:val="20"/>
          <w:lang w:val="en-GB" w:eastAsia="zh-CN"/>
        </w:rPr>
        <w:t xml:space="preserve"> is still unresolved and </w:t>
      </w:r>
      <w:r w:rsidR="00B24821">
        <w:rPr>
          <w:rFonts w:ascii="Times New Roman" w:hAnsi="Times New Roman"/>
          <w:sz w:val="20"/>
          <w:lang w:val="en-GB" w:eastAsia="zh-CN"/>
        </w:rPr>
        <w:t>corresponds to UE A sending a</w:t>
      </w:r>
      <w:r w:rsidR="001C60FD">
        <w:rPr>
          <w:rFonts w:ascii="Times New Roman" w:hAnsi="Times New Roman"/>
          <w:sz w:val="20"/>
          <w:lang w:val="en-GB" w:eastAsia="zh-CN"/>
        </w:rPr>
        <w:t xml:space="preserve"> </w:t>
      </w:r>
      <w:r w:rsidR="00681CCA">
        <w:rPr>
          <w:rFonts w:ascii="Times New Roman" w:hAnsi="Times New Roman"/>
          <w:sz w:val="20"/>
          <w:lang w:val="en-GB" w:eastAsia="zh-CN"/>
        </w:rPr>
        <w:t xml:space="preserve">1:1 </w:t>
      </w:r>
      <w:r w:rsidR="001C60FD">
        <w:rPr>
          <w:rFonts w:ascii="Times New Roman" w:hAnsi="Times New Roman"/>
          <w:sz w:val="20"/>
          <w:lang w:val="en-GB" w:eastAsia="zh-CN"/>
        </w:rPr>
        <w:t xml:space="preserve">RRC </w:t>
      </w:r>
      <w:r w:rsidR="00B24821">
        <w:rPr>
          <w:rFonts w:ascii="Times New Roman" w:hAnsi="Times New Roman"/>
          <w:sz w:val="20"/>
          <w:lang w:val="en-GB" w:eastAsia="zh-CN"/>
        </w:rPr>
        <w:t xml:space="preserve">connection establishment </w:t>
      </w:r>
      <w:r w:rsidR="001C60FD">
        <w:rPr>
          <w:rFonts w:ascii="Times New Roman" w:hAnsi="Times New Roman"/>
          <w:sz w:val="20"/>
          <w:lang w:val="en-GB" w:eastAsia="zh-CN"/>
        </w:rPr>
        <w:t xml:space="preserve">request message </w:t>
      </w:r>
      <w:r w:rsidR="00B24821">
        <w:rPr>
          <w:rFonts w:ascii="Times New Roman" w:hAnsi="Times New Roman"/>
          <w:sz w:val="20"/>
          <w:lang w:val="en-GB" w:eastAsia="zh-CN"/>
        </w:rPr>
        <w:t xml:space="preserve">over sidelink </w:t>
      </w:r>
      <w:r w:rsidR="001C60FD">
        <w:rPr>
          <w:rFonts w:ascii="Times New Roman" w:hAnsi="Times New Roman"/>
          <w:sz w:val="20"/>
          <w:lang w:val="en-GB" w:eastAsia="zh-CN"/>
        </w:rPr>
        <w:t xml:space="preserve">to UE B and C in </w:t>
      </w:r>
      <w:r w:rsidR="00681CCA">
        <w:rPr>
          <w:rFonts w:ascii="Times New Roman" w:hAnsi="Times New Roman"/>
          <w:sz w:val="20"/>
          <w:lang w:val="en-GB" w:eastAsia="zh-CN"/>
        </w:rPr>
        <w:t>individually</w:t>
      </w:r>
      <w:r w:rsidR="001C60FD">
        <w:rPr>
          <w:rFonts w:ascii="Times New Roman" w:hAnsi="Times New Roman"/>
          <w:sz w:val="20"/>
          <w:lang w:val="en-GB" w:eastAsia="zh-CN"/>
        </w:rPr>
        <w:t xml:space="preserve">. This corresponds to entirely new behaviour, which </w:t>
      </w:r>
      <w:r w:rsidR="00681CCA">
        <w:rPr>
          <w:rFonts w:ascii="Times New Roman" w:hAnsi="Times New Roman"/>
          <w:sz w:val="20"/>
          <w:lang w:val="en-GB" w:eastAsia="zh-CN"/>
        </w:rPr>
        <w:t>does not seem needed, especially given that the need for group leader visibility at the AS layer is not clear</w:t>
      </w:r>
      <w:r w:rsidR="001C60FD">
        <w:rPr>
          <w:rFonts w:ascii="Times New Roman" w:hAnsi="Times New Roman"/>
          <w:sz w:val="20"/>
          <w:lang w:val="en-GB" w:eastAsia="zh-CN"/>
        </w:rPr>
        <w:t xml:space="preserve">. </w:t>
      </w:r>
      <w:r w:rsidR="00681CCA">
        <w:rPr>
          <w:rFonts w:ascii="Times New Roman" w:hAnsi="Times New Roman"/>
          <w:sz w:val="20"/>
          <w:lang w:val="en-GB" w:eastAsia="zh-CN"/>
        </w:rPr>
        <w:t xml:space="preserve">While </w:t>
      </w:r>
      <w:r w:rsidR="00B24821">
        <w:rPr>
          <w:rFonts w:ascii="Times New Roman" w:hAnsi="Times New Roman"/>
          <w:sz w:val="20"/>
          <w:lang w:val="en-GB" w:eastAsia="zh-CN"/>
        </w:rPr>
        <w:t>companies</w:t>
      </w:r>
      <w:r w:rsidR="001C60FD">
        <w:rPr>
          <w:rFonts w:ascii="Times New Roman" w:hAnsi="Times New Roman"/>
          <w:sz w:val="20"/>
          <w:lang w:val="en-GB" w:eastAsia="zh-CN"/>
        </w:rPr>
        <w:t xml:space="preserve"> are not </w:t>
      </w:r>
      <w:r w:rsidR="001A79BD">
        <w:rPr>
          <w:rFonts w:ascii="Times New Roman" w:hAnsi="Times New Roman"/>
          <w:sz w:val="20"/>
          <w:lang w:val="en-GB" w:eastAsia="zh-CN"/>
        </w:rPr>
        <w:t>entirely</w:t>
      </w:r>
      <w:r w:rsidR="001C60FD">
        <w:rPr>
          <w:rFonts w:ascii="Times New Roman" w:hAnsi="Times New Roman"/>
          <w:sz w:val="20"/>
          <w:lang w:val="en-GB" w:eastAsia="zh-CN"/>
        </w:rPr>
        <w:t xml:space="preserve"> sold on the need for RRC connection establishment for the case of unicast (quoting reasons such as added complexity and the exchange of necessary configuration of SLRB already possible without such functionality), case </w:t>
      </w:r>
      <w:r w:rsidR="00681CCA">
        <w:rPr>
          <w:rFonts w:ascii="Times New Roman" w:hAnsi="Times New Roman"/>
          <w:sz w:val="20"/>
          <w:lang w:val="en-GB" w:eastAsia="zh-CN"/>
        </w:rPr>
        <w:t>2</w:t>
      </w:r>
      <w:r w:rsidR="001C60FD">
        <w:rPr>
          <w:rFonts w:ascii="Times New Roman" w:hAnsi="Times New Roman"/>
          <w:sz w:val="20"/>
          <w:lang w:val="en-GB" w:eastAsia="zh-CN"/>
        </w:rPr>
        <w:t xml:space="preserve"> </w:t>
      </w:r>
      <w:r w:rsidR="00681CCA">
        <w:rPr>
          <w:rFonts w:ascii="Times New Roman" w:hAnsi="Times New Roman"/>
          <w:sz w:val="20"/>
          <w:lang w:val="en-GB" w:eastAsia="zh-CN"/>
        </w:rPr>
        <w:t>can be ruled out anyway, given that there</w:t>
      </w:r>
      <w:r w:rsidR="001C60FD">
        <w:rPr>
          <w:rFonts w:ascii="Times New Roman" w:hAnsi="Times New Roman"/>
          <w:sz w:val="20"/>
          <w:lang w:val="en-GB" w:eastAsia="zh-CN"/>
        </w:rPr>
        <w:t xml:space="preserve"> was no clear benefit identified in online discussio</w:t>
      </w:r>
      <w:r w:rsidR="00534DC6">
        <w:rPr>
          <w:rFonts w:ascii="Times New Roman" w:hAnsi="Times New Roman"/>
          <w:sz w:val="20"/>
          <w:lang w:val="en-GB" w:eastAsia="zh-CN"/>
        </w:rPr>
        <w:t>ns f</w:t>
      </w:r>
      <w:r w:rsidR="001C60FD">
        <w:rPr>
          <w:rFonts w:ascii="Times New Roman" w:hAnsi="Times New Roman"/>
          <w:sz w:val="20"/>
          <w:lang w:val="en-GB" w:eastAsia="zh-CN"/>
        </w:rPr>
        <w:t>o</w:t>
      </w:r>
      <w:r w:rsidR="00534DC6">
        <w:rPr>
          <w:rFonts w:ascii="Times New Roman" w:hAnsi="Times New Roman"/>
          <w:sz w:val="20"/>
          <w:lang w:val="en-GB" w:eastAsia="zh-CN"/>
        </w:rPr>
        <w:t>r</w:t>
      </w:r>
      <w:r w:rsidR="001C60FD">
        <w:rPr>
          <w:rFonts w:ascii="Times New Roman" w:hAnsi="Times New Roman"/>
          <w:sz w:val="20"/>
          <w:lang w:val="en-GB" w:eastAsia="zh-CN"/>
        </w:rPr>
        <w:t xml:space="preserve"> supporting such “</w:t>
      </w:r>
      <w:r w:rsidR="00681CCA">
        <w:rPr>
          <w:rFonts w:ascii="Times New Roman" w:hAnsi="Times New Roman"/>
          <w:sz w:val="20"/>
          <w:lang w:val="en-GB" w:eastAsia="zh-CN"/>
        </w:rPr>
        <w:t xml:space="preserve">1:1 </w:t>
      </w:r>
      <w:r w:rsidR="001C60FD">
        <w:rPr>
          <w:rFonts w:ascii="Times New Roman" w:hAnsi="Times New Roman"/>
          <w:sz w:val="20"/>
          <w:lang w:val="en-GB" w:eastAsia="zh-CN"/>
        </w:rPr>
        <w:t>group based” RRC connection management over PC5.</w:t>
      </w:r>
      <w:r w:rsidR="00EF0145">
        <w:rPr>
          <w:rFonts w:ascii="Times New Roman" w:hAnsi="Times New Roman"/>
          <w:sz w:val="20"/>
          <w:lang w:val="en-GB" w:eastAsia="zh-CN"/>
        </w:rPr>
        <w:t xml:space="preserve"> </w:t>
      </w:r>
    </w:p>
    <w:p w14:paraId="771CBCA4" w14:textId="77777777" w:rsidR="00C40041" w:rsidRDefault="00C40041" w:rsidP="00AE5AC2">
      <w:pPr>
        <w:rPr>
          <w:rFonts w:ascii="Times New Roman" w:hAnsi="Times New Roman"/>
          <w:sz w:val="20"/>
          <w:lang w:val="en-GB" w:eastAsia="zh-CN"/>
        </w:rPr>
      </w:pPr>
    </w:p>
    <w:p w14:paraId="40D8D299" w14:textId="43013F8C" w:rsidR="00DC097B" w:rsidRPr="00AE5AC2" w:rsidRDefault="00B24821" w:rsidP="00AE5AC2">
      <w:pPr>
        <w:rPr>
          <w:rFonts w:ascii="Times New Roman" w:hAnsi="Times New Roman"/>
          <w:sz w:val="20"/>
          <w:lang w:val="en-GB" w:eastAsia="zh-CN"/>
        </w:rPr>
      </w:pPr>
      <w:r>
        <w:rPr>
          <w:rFonts w:ascii="Times New Roman" w:hAnsi="Times New Roman"/>
          <w:sz w:val="20"/>
          <w:lang w:val="en-GB" w:eastAsia="zh-CN"/>
        </w:rPr>
        <w:t>A somewhat related</w:t>
      </w:r>
      <w:r w:rsidR="00EF0145">
        <w:rPr>
          <w:rFonts w:ascii="Times New Roman" w:hAnsi="Times New Roman"/>
          <w:sz w:val="20"/>
          <w:lang w:val="en-GB" w:eastAsia="zh-CN"/>
        </w:rPr>
        <w:t xml:space="preserve"> observation regarding sidelink design for groupcast </w:t>
      </w:r>
      <w:r>
        <w:rPr>
          <w:rFonts w:ascii="Times New Roman" w:hAnsi="Times New Roman"/>
          <w:sz w:val="20"/>
          <w:lang w:val="en-GB" w:eastAsia="zh-CN"/>
        </w:rPr>
        <w:t xml:space="preserve">based on the discussions so far </w:t>
      </w:r>
      <w:r w:rsidR="00EF0145">
        <w:rPr>
          <w:rFonts w:ascii="Times New Roman" w:hAnsi="Times New Roman"/>
          <w:sz w:val="20"/>
          <w:lang w:val="en-GB" w:eastAsia="zh-CN"/>
        </w:rPr>
        <w:t xml:space="preserve">which is worth mentioning here is that there are marked similarities between groupcast and broadcast </w:t>
      </w:r>
      <w:r>
        <w:rPr>
          <w:rFonts w:ascii="Times New Roman" w:hAnsi="Times New Roman"/>
          <w:sz w:val="20"/>
          <w:lang w:val="en-GB" w:eastAsia="zh-CN"/>
        </w:rPr>
        <w:t xml:space="preserve">sidelink </w:t>
      </w:r>
      <w:r w:rsidR="00EF0145">
        <w:rPr>
          <w:rFonts w:ascii="Times New Roman" w:hAnsi="Times New Roman"/>
          <w:sz w:val="20"/>
          <w:lang w:val="en-GB" w:eastAsia="zh-CN"/>
        </w:rPr>
        <w:t xml:space="preserve">operation. Some of these include use of per-packet QoS framework, no consideration of minimum communication range in filtering the set of receivers (i.e. all UEs can receive transmissions based on L2 destination ID) and no RLC AM support. This seems to echo the general understanding among companies that the mechanisms being considered for unicast operation may generally not be valid/applicable for groupcast operation. Therefore, while PC5 RRC connection establishment for unicast might require further consideration, we do not think RRC connection management over PC5 </w:t>
      </w:r>
      <w:r w:rsidR="00020FF1">
        <w:rPr>
          <w:rFonts w:ascii="Times New Roman" w:hAnsi="Times New Roman"/>
          <w:sz w:val="20"/>
          <w:lang w:val="en-GB" w:eastAsia="zh-CN"/>
        </w:rPr>
        <w:t xml:space="preserve">for groupcast </w:t>
      </w:r>
      <w:r w:rsidR="00EF0145">
        <w:rPr>
          <w:rFonts w:ascii="Times New Roman" w:hAnsi="Times New Roman"/>
          <w:sz w:val="20"/>
          <w:lang w:val="en-GB" w:eastAsia="zh-CN"/>
        </w:rPr>
        <w:t>should be supported.</w:t>
      </w:r>
    </w:p>
    <w:p w14:paraId="7058AFBB" w14:textId="77777777" w:rsidR="00E67A80" w:rsidRPr="00E67A80" w:rsidRDefault="00E67A80" w:rsidP="00E67A80">
      <w:pPr>
        <w:rPr>
          <w:rFonts w:ascii="Times New Roman" w:hAnsi="Times New Roman"/>
          <w:sz w:val="20"/>
          <w:lang w:val="en-GB" w:eastAsia="zh-CN"/>
        </w:rPr>
      </w:pPr>
    </w:p>
    <w:p w14:paraId="7C21A3BF" w14:textId="2847AB09" w:rsidR="00F22C9F" w:rsidRDefault="00EF0145"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0B32EB">
        <w:rPr>
          <w:rFonts w:ascii="Times New Roman" w:eastAsia="Times New Roman" w:hAnsi="Times New Roman"/>
          <w:b/>
          <w:bCs/>
          <w:sz w:val="20"/>
          <w:szCs w:val="20"/>
          <w:u w:val="single"/>
          <w:lang w:val="en-GB" w:eastAsia="zh-CN"/>
        </w:rPr>
        <w:t xml:space="preserve"> 1</w:t>
      </w:r>
      <w:r w:rsidR="00F22C9F">
        <w:rPr>
          <w:rFonts w:ascii="Times New Roman" w:eastAsia="Times New Roman" w:hAnsi="Times New Roman"/>
          <w:b/>
          <w:bCs/>
          <w:sz w:val="20"/>
          <w:szCs w:val="20"/>
          <w:u w:val="single"/>
          <w:lang w:val="en-GB" w:eastAsia="zh-CN"/>
        </w:rPr>
        <w:t>:</w:t>
      </w:r>
      <w:r w:rsidR="00F22C9F">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are marked similarities in groupcast and broadcast design for NR sidelink, including support of per-packet QoS, no support of 1:M PC5 RRC connection establishment, no filtering of receiver UEs (except based on L2 Destination IDs) and no support for RLC AM</w:t>
      </w:r>
      <w:r w:rsidR="00F22C9F">
        <w:rPr>
          <w:rFonts w:ascii="Times New Roman" w:eastAsia="Times New Roman" w:hAnsi="Times New Roman"/>
          <w:bCs/>
          <w:i/>
          <w:sz w:val="20"/>
          <w:szCs w:val="20"/>
          <w:lang w:val="en-GB" w:eastAsia="zh-CN"/>
        </w:rPr>
        <w:t>.</w:t>
      </w:r>
    </w:p>
    <w:p w14:paraId="6D225D77" w14:textId="77777777" w:rsidR="00EF0145" w:rsidRDefault="00EF0145" w:rsidP="00773DDF">
      <w:pPr>
        <w:ind w:left="1350" w:hanging="1350"/>
        <w:rPr>
          <w:rFonts w:ascii="Times New Roman" w:eastAsia="Times New Roman" w:hAnsi="Times New Roman"/>
          <w:bCs/>
          <w:i/>
          <w:sz w:val="20"/>
          <w:szCs w:val="20"/>
          <w:lang w:val="en-GB" w:eastAsia="zh-CN"/>
        </w:rPr>
      </w:pPr>
    </w:p>
    <w:p w14:paraId="41D8DDCE" w14:textId="21EFC723"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1479A">
        <w:rPr>
          <w:rFonts w:ascii="Times New Roman" w:eastAsia="Times New Roman" w:hAnsi="Times New Roman"/>
          <w:bCs/>
          <w:i/>
          <w:sz w:val="20"/>
          <w:szCs w:val="20"/>
          <w:lang w:val="en-GB" w:eastAsia="zh-CN"/>
        </w:rPr>
        <w:t xml:space="preserve">RAN2 agrees to not support </w:t>
      </w:r>
      <w:r w:rsidR="00D51486">
        <w:rPr>
          <w:rFonts w:ascii="Times New Roman" w:eastAsia="Times New Roman" w:hAnsi="Times New Roman"/>
          <w:bCs/>
          <w:i/>
          <w:sz w:val="20"/>
          <w:szCs w:val="20"/>
          <w:lang w:val="en-GB" w:eastAsia="zh-CN"/>
        </w:rPr>
        <w:t xml:space="preserve">any </w:t>
      </w:r>
      <w:r w:rsidR="00B1479A">
        <w:rPr>
          <w:rFonts w:ascii="Times New Roman" w:eastAsia="Times New Roman" w:hAnsi="Times New Roman"/>
          <w:bCs/>
          <w:i/>
          <w:sz w:val="20"/>
          <w:szCs w:val="20"/>
          <w:lang w:val="en-GB" w:eastAsia="zh-CN"/>
        </w:rPr>
        <w:t xml:space="preserve">groupcast based RRC connection establishment for NR </w:t>
      </w:r>
      <w:r w:rsidR="00020FF1">
        <w:rPr>
          <w:rFonts w:ascii="Times New Roman" w:eastAsia="Times New Roman" w:hAnsi="Times New Roman"/>
          <w:bCs/>
          <w:i/>
          <w:sz w:val="20"/>
          <w:szCs w:val="20"/>
          <w:lang w:val="en-GB" w:eastAsia="zh-CN"/>
        </w:rPr>
        <w:t xml:space="preserve">V2X </w:t>
      </w:r>
      <w:r w:rsidR="00B1479A">
        <w:rPr>
          <w:rFonts w:ascii="Times New Roman" w:eastAsia="Times New Roman" w:hAnsi="Times New Roman"/>
          <w:bCs/>
          <w:i/>
          <w:sz w:val="20"/>
          <w:szCs w:val="20"/>
          <w:lang w:val="en-GB" w:eastAsia="zh-CN"/>
        </w:rPr>
        <w:t>sidelink operation</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044E9A17" w:rsidR="0016703F" w:rsidRPr="00100A13" w:rsidRDefault="00B1479A"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UE sidelink capability exchange</w:t>
      </w:r>
      <w:r w:rsidR="00D90B79">
        <w:rPr>
          <w:rFonts w:ascii="Arial" w:eastAsia="MS Mincho" w:hAnsi="Arial" w:cs="Arial"/>
          <w:bCs/>
          <w:sz w:val="26"/>
          <w:szCs w:val="26"/>
          <w:lang w:val="en-GB" w:eastAsia="en-GB"/>
        </w:rPr>
        <w:t xml:space="preserve"> for groupcast</w:t>
      </w:r>
    </w:p>
    <w:p w14:paraId="7708A9B7" w14:textId="77777777" w:rsidR="0016703F" w:rsidRDefault="0016703F" w:rsidP="0016703F">
      <w:pPr>
        <w:rPr>
          <w:rFonts w:ascii="Times New Roman" w:hAnsi="Times New Roman"/>
          <w:sz w:val="20"/>
          <w:lang w:val="en-GB" w:eastAsia="zh-CN"/>
        </w:rPr>
      </w:pPr>
    </w:p>
    <w:p w14:paraId="16881E8E" w14:textId="1FBC51A2" w:rsidR="00B1479A" w:rsidRDefault="00B1479A" w:rsidP="0016703F">
      <w:pPr>
        <w:rPr>
          <w:rFonts w:ascii="Times New Roman" w:hAnsi="Times New Roman"/>
          <w:sz w:val="20"/>
          <w:lang w:val="en-GB" w:eastAsia="zh-CN"/>
        </w:rPr>
      </w:pPr>
      <w:r>
        <w:rPr>
          <w:rFonts w:ascii="Times New Roman" w:hAnsi="Times New Roman"/>
          <w:sz w:val="20"/>
          <w:lang w:val="en-GB" w:eastAsia="zh-CN"/>
        </w:rPr>
        <w:t>A related aspect to groupcast operation is the exchange of sidelink UE capabilities between the group members. While it has been agreed that this exchange takes place during or after the connection is established in the case of unicast, it is not clear whether the same behaviour applies for the case of groupcast as well. Before deciding on this a</w:t>
      </w:r>
      <w:r w:rsidR="00B24821">
        <w:rPr>
          <w:rFonts w:ascii="Times New Roman" w:hAnsi="Times New Roman"/>
          <w:sz w:val="20"/>
          <w:lang w:val="en-GB" w:eastAsia="zh-CN"/>
        </w:rPr>
        <w:t xml:space="preserve">spect, we should first discuss </w:t>
      </w:r>
      <w:r>
        <w:rPr>
          <w:rFonts w:ascii="Times New Roman" w:hAnsi="Times New Roman"/>
          <w:sz w:val="20"/>
          <w:lang w:val="en-GB" w:eastAsia="zh-CN"/>
        </w:rPr>
        <w:t>typical scenario</w:t>
      </w:r>
      <w:r w:rsidR="00B24821">
        <w:rPr>
          <w:rFonts w:ascii="Times New Roman" w:hAnsi="Times New Roman"/>
          <w:sz w:val="20"/>
          <w:lang w:val="en-GB" w:eastAsia="zh-CN"/>
        </w:rPr>
        <w:t>s</w:t>
      </w:r>
      <w:r>
        <w:rPr>
          <w:rFonts w:ascii="Times New Roman" w:hAnsi="Times New Roman"/>
          <w:sz w:val="20"/>
          <w:lang w:val="en-GB" w:eastAsia="zh-CN"/>
        </w:rPr>
        <w:t xml:space="preserve"> where this exchange might be required. As discussed in </w:t>
      </w:r>
      <w:sdt>
        <w:sdtPr>
          <w:rPr>
            <w:rFonts w:ascii="Times New Roman" w:hAnsi="Times New Roman"/>
            <w:sz w:val="20"/>
            <w:lang w:val="en-GB" w:eastAsia="zh-CN"/>
          </w:rPr>
          <w:id w:val="-1917230868"/>
          <w:citation/>
        </w:sdtPr>
        <w:sdtEndPr/>
        <w:sdtContent>
          <w:r w:rsidR="000B32EB">
            <w:rPr>
              <w:rFonts w:ascii="Times New Roman" w:hAnsi="Times New Roman"/>
              <w:sz w:val="20"/>
              <w:lang w:val="en-GB" w:eastAsia="zh-CN"/>
            </w:rPr>
            <w:fldChar w:fldCharType="begin"/>
          </w:r>
          <w:r w:rsidR="000B32EB">
            <w:rPr>
              <w:rFonts w:ascii="Times New Roman" w:hAnsi="Times New Roman"/>
              <w:sz w:val="20"/>
              <w:lang w:eastAsia="zh-CN"/>
            </w:rPr>
            <w:instrText xml:space="preserve"> CITATION 105groupcastQC \l 1033 </w:instrText>
          </w:r>
          <w:r w:rsidR="000B32EB">
            <w:rPr>
              <w:rFonts w:ascii="Times New Roman" w:hAnsi="Times New Roman"/>
              <w:sz w:val="20"/>
              <w:lang w:val="en-GB" w:eastAsia="zh-CN"/>
            </w:rPr>
            <w:fldChar w:fldCharType="separate"/>
          </w:r>
          <w:r w:rsidR="000B32EB" w:rsidRPr="000B32EB">
            <w:rPr>
              <w:rFonts w:ascii="Times New Roman" w:hAnsi="Times New Roman"/>
              <w:noProof/>
              <w:sz w:val="20"/>
              <w:lang w:eastAsia="zh-CN"/>
            </w:rPr>
            <w:t>[2]</w:t>
          </w:r>
          <w:r w:rsidR="000B32EB">
            <w:rPr>
              <w:rFonts w:ascii="Times New Roman" w:hAnsi="Times New Roman"/>
              <w:sz w:val="20"/>
              <w:lang w:val="en-GB" w:eastAsia="zh-CN"/>
            </w:rPr>
            <w:fldChar w:fldCharType="end"/>
          </w:r>
        </w:sdtContent>
      </w:sdt>
      <w:r>
        <w:rPr>
          <w:rFonts w:ascii="Times New Roman" w:hAnsi="Times New Roman"/>
          <w:sz w:val="20"/>
          <w:lang w:val="en-GB" w:eastAsia="zh-CN"/>
        </w:rPr>
        <w:t>, two main cases were identified for groupcast operation</w:t>
      </w:r>
      <w:r w:rsidR="0016703F">
        <w:rPr>
          <w:rFonts w:ascii="Times New Roman" w:hAnsi="Times New Roman"/>
          <w:sz w:val="20"/>
          <w:lang w:val="en-GB" w:eastAsia="zh-CN"/>
        </w:rPr>
        <w:t>:</w:t>
      </w:r>
      <w:r>
        <w:rPr>
          <w:rFonts w:ascii="Times New Roman" w:hAnsi="Times New Roman"/>
          <w:sz w:val="20"/>
          <w:lang w:val="en-GB" w:eastAsia="zh-CN"/>
        </w:rPr>
        <w:t xml:space="preserve"> platooning and advanced driving. In our view, one of the key differences between the two is the lifetime and the composition of the group itself. For platooning, it is foreseen that the group is expected to last for the entirety of a trip and the group composition, including the group leader can be assumed to be somewhat semi-static. So, it is worthwhile to consider if some assumptions can be made in terms of the capabilities of the UEs in the </w:t>
      </w:r>
      <w:r w:rsidR="00286B58">
        <w:rPr>
          <w:rFonts w:ascii="Times New Roman" w:hAnsi="Times New Roman"/>
          <w:sz w:val="20"/>
          <w:lang w:val="en-GB" w:eastAsia="zh-CN"/>
        </w:rPr>
        <w:t>group, for instance:</w:t>
      </w:r>
    </w:p>
    <w:p w14:paraId="11C8FED5" w14:textId="70F713AC" w:rsidR="00B1479A" w:rsidRDefault="00B1479A"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Can the sidelink capabilities of the member UEs be assumed to be somewhat similar?</w:t>
      </w:r>
    </w:p>
    <w:p w14:paraId="51BA95A2" w14:textId="3F898A89" w:rsidR="00B1479A" w:rsidRPr="00B1479A" w:rsidRDefault="00D714C5"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it only the platoon leader which is required to be aware of the capabilities of the member UEs, or all member UEs need to be aware of this information?</w:t>
      </w:r>
    </w:p>
    <w:p w14:paraId="1A94821D" w14:textId="10858140" w:rsidR="00D714C5" w:rsidRDefault="00D714C5" w:rsidP="0016703F">
      <w:pPr>
        <w:rPr>
          <w:rFonts w:ascii="Times New Roman" w:hAnsi="Times New Roman"/>
          <w:sz w:val="20"/>
          <w:lang w:val="en-GB" w:eastAsia="zh-CN"/>
        </w:rPr>
      </w:pPr>
      <w:r>
        <w:rPr>
          <w:rFonts w:ascii="Times New Roman" w:hAnsi="Times New Roman"/>
          <w:sz w:val="20"/>
          <w:lang w:val="en-GB" w:eastAsia="zh-CN"/>
        </w:rPr>
        <w:t>As evident from the above, there are some key issues that need to be resolved before the sidelink capability exchange design is finalized, at least for the platooning use case. Depending on how often this information needs to be exchanged (</w:t>
      </w:r>
      <w:r w:rsidR="00B24821">
        <w:rPr>
          <w:rFonts w:ascii="Times New Roman" w:hAnsi="Times New Roman"/>
          <w:sz w:val="20"/>
          <w:lang w:val="en-GB" w:eastAsia="zh-CN"/>
        </w:rPr>
        <w:t>e.g</w:t>
      </w:r>
      <w:r>
        <w:rPr>
          <w:rFonts w:ascii="Times New Roman" w:hAnsi="Times New Roman"/>
          <w:sz w:val="20"/>
          <w:lang w:val="en-GB" w:eastAsia="zh-CN"/>
        </w:rPr>
        <w:t>. when</w:t>
      </w:r>
      <w:r w:rsidR="00B24821">
        <w:rPr>
          <w:rFonts w:ascii="Times New Roman" w:hAnsi="Times New Roman"/>
          <w:sz w:val="20"/>
          <w:lang w:val="en-GB" w:eastAsia="zh-CN"/>
        </w:rPr>
        <w:t>ever</w:t>
      </w:r>
      <w:r>
        <w:rPr>
          <w:rFonts w:ascii="Times New Roman" w:hAnsi="Times New Roman"/>
          <w:sz w:val="20"/>
          <w:lang w:val="en-GB" w:eastAsia="zh-CN"/>
        </w:rPr>
        <w:t xml:space="preserve"> a new UE joins the group), a simple mechanism whereby the incoming UE informs the platoon members of its capabilities (</w:t>
      </w:r>
      <w:r w:rsidR="00B24821">
        <w:rPr>
          <w:rFonts w:ascii="Times New Roman" w:hAnsi="Times New Roman"/>
          <w:sz w:val="20"/>
          <w:lang w:val="en-GB" w:eastAsia="zh-CN"/>
        </w:rPr>
        <w:t xml:space="preserve">e.g. </w:t>
      </w:r>
      <w:r>
        <w:rPr>
          <w:rFonts w:ascii="Times New Roman" w:hAnsi="Times New Roman"/>
          <w:sz w:val="20"/>
          <w:lang w:val="en-GB" w:eastAsia="zh-CN"/>
        </w:rPr>
        <w:t xml:space="preserve">by transmitting the </w:t>
      </w:r>
      <w:r w:rsidR="00B24821">
        <w:rPr>
          <w:rFonts w:ascii="Times New Roman" w:hAnsi="Times New Roman"/>
          <w:sz w:val="20"/>
          <w:lang w:val="en-GB" w:eastAsia="zh-CN"/>
        </w:rPr>
        <w:t xml:space="preserve">RRC </w:t>
      </w:r>
      <w:r w:rsidRPr="00D714C5">
        <w:rPr>
          <w:rFonts w:ascii="Times New Roman" w:hAnsi="Times New Roman"/>
          <w:i/>
          <w:sz w:val="20"/>
          <w:lang w:val="en-GB" w:eastAsia="zh-CN"/>
        </w:rPr>
        <w:t>SL-CapabilityInformation</w:t>
      </w:r>
      <w:r>
        <w:rPr>
          <w:rFonts w:ascii="Times New Roman" w:hAnsi="Times New Roman"/>
          <w:sz w:val="20"/>
          <w:lang w:val="en-GB" w:eastAsia="zh-CN"/>
        </w:rPr>
        <w:t xml:space="preserve"> message in a groupcast fashion</w:t>
      </w:r>
      <w:r w:rsidR="00B24821">
        <w:rPr>
          <w:rFonts w:ascii="Times New Roman" w:hAnsi="Times New Roman"/>
          <w:sz w:val="20"/>
          <w:lang w:val="en-GB" w:eastAsia="zh-CN"/>
        </w:rPr>
        <w:t>, addressed to the group ID</w:t>
      </w:r>
      <w:r>
        <w:rPr>
          <w:rFonts w:ascii="Times New Roman" w:hAnsi="Times New Roman"/>
          <w:sz w:val="20"/>
          <w:lang w:val="en-GB" w:eastAsia="zh-CN"/>
        </w:rPr>
        <w:t>) can be considered. The platoon leader can then consider this information before accepting or rejecting the request from the incoming UE to join the platoon. Alternatively, if the capabilities within the platoon are assumed to be somewhat similar, this information can be made available to all UEs beforehand (e.g. through pre-configuration) and subsequently, there is no need to exchange any capability related information during the lifetime of the platoon.</w:t>
      </w:r>
      <w:r w:rsidR="00B24821">
        <w:rPr>
          <w:rFonts w:ascii="Times New Roman" w:hAnsi="Times New Roman"/>
          <w:sz w:val="20"/>
          <w:lang w:val="en-GB" w:eastAsia="zh-CN"/>
        </w:rPr>
        <w:t xml:space="preserve"> The platoon leader can also include this information about supported capabilities within the platoon in the periodic advertisement messages.</w:t>
      </w:r>
    </w:p>
    <w:p w14:paraId="4E504BEE" w14:textId="77777777" w:rsidR="00D714C5" w:rsidRDefault="00D714C5" w:rsidP="0016703F">
      <w:pPr>
        <w:rPr>
          <w:rFonts w:ascii="Times New Roman" w:hAnsi="Times New Roman"/>
          <w:sz w:val="20"/>
          <w:lang w:val="en-GB" w:eastAsia="zh-CN"/>
        </w:rPr>
      </w:pPr>
    </w:p>
    <w:p w14:paraId="66E4FB55" w14:textId="791CDDFA"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On the other hand, for the advanced driving use case, the platoon composition can vary quite dynamically, since any vehicular UE might be requesting to join or leave a group at any time. </w:t>
      </w:r>
      <w:r w:rsidR="00B24821">
        <w:rPr>
          <w:rFonts w:ascii="Times New Roman" w:hAnsi="Times New Roman"/>
          <w:sz w:val="20"/>
          <w:lang w:val="en-GB" w:eastAsia="zh-CN"/>
        </w:rPr>
        <w:t>Moreover</w:t>
      </w:r>
      <w:r>
        <w:rPr>
          <w:rFonts w:ascii="Times New Roman" w:hAnsi="Times New Roman"/>
          <w:sz w:val="20"/>
          <w:lang w:val="en-GB" w:eastAsia="zh-CN"/>
        </w:rPr>
        <w:t>, the notion of a well-defined leader is not so clear</w:t>
      </w:r>
      <w:r w:rsidR="00B24821">
        <w:rPr>
          <w:rFonts w:ascii="Times New Roman" w:hAnsi="Times New Roman"/>
          <w:sz w:val="20"/>
          <w:lang w:val="en-GB" w:eastAsia="zh-CN"/>
        </w:rPr>
        <w:t>, since any UE can assume this role</w:t>
      </w:r>
      <w:r>
        <w:rPr>
          <w:rFonts w:ascii="Times New Roman" w:hAnsi="Times New Roman"/>
          <w:sz w:val="20"/>
          <w:lang w:val="en-GB" w:eastAsia="zh-CN"/>
        </w:rPr>
        <w:t xml:space="preserve">. So, in this case, making assumptions about the set of capabilities for member UEs at any given time will not be straight-forward. Based on this, it seems beneficial to consider some default capability set which is assumed </w:t>
      </w:r>
      <w:r w:rsidR="00B24821">
        <w:rPr>
          <w:rFonts w:ascii="Times New Roman" w:hAnsi="Times New Roman"/>
          <w:sz w:val="20"/>
          <w:lang w:val="en-GB" w:eastAsia="zh-CN"/>
        </w:rPr>
        <w:t xml:space="preserve">to be supported </w:t>
      </w:r>
      <w:r>
        <w:rPr>
          <w:rFonts w:ascii="Times New Roman" w:hAnsi="Times New Roman"/>
          <w:sz w:val="20"/>
          <w:lang w:val="en-GB" w:eastAsia="zh-CN"/>
        </w:rPr>
        <w:t>for a group to operate. Specifically, when a UE request</w:t>
      </w:r>
      <w:r w:rsidR="00B24821">
        <w:rPr>
          <w:rFonts w:ascii="Times New Roman" w:hAnsi="Times New Roman"/>
          <w:sz w:val="20"/>
          <w:lang w:val="en-GB" w:eastAsia="zh-CN"/>
        </w:rPr>
        <w:t>s</w:t>
      </w:r>
      <w:r>
        <w:rPr>
          <w:rFonts w:ascii="Times New Roman" w:hAnsi="Times New Roman"/>
          <w:sz w:val="20"/>
          <w:lang w:val="en-GB" w:eastAsia="zh-CN"/>
        </w:rPr>
        <w:t xml:space="preserve"> to join such a group, it can be assumed that it supports this set of capabilities for successful groupcast operation. This reduces the signalling exchange that would otherwise potentially need to take place (in a groupcast manner) every time a new UE joins a group. </w:t>
      </w:r>
    </w:p>
    <w:p w14:paraId="100B34FB" w14:textId="77777777" w:rsidR="00D714C5" w:rsidRDefault="00D714C5" w:rsidP="0016703F">
      <w:pPr>
        <w:rPr>
          <w:rFonts w:ascii="Times New Roman" w:hAnsi="Times New Roman"/>
          <w:sz w:val="20"/>
          <w:lang w:val="en-GB" w:eastAsia="zh-CN"/>
        </w:rPr>
      </w:pPr>
    </w:p>
    <w:p w14:paraId="18FC31AA" w14:textId="6DAAB689" w:rsidR="00D714C5" w:rsidRDefault="00D714C5" w:rsidP="0016703F">
      <w:pPr>
        <w:rPr>
          <w:rFonts w:ascii="Times New Roman" w:hAnsi="Times New Roman"/>
          <w:sz w:val="20"/>
          <w:lang w:val="en-GB" w:eastAsia="zh-CN"/>
        </w:rPr>
      </w:pPr>
      <w:r>
        <w:rPr>
          <w:rFonts w:ascii="Times New Roman" w:hAnsi="Times New Roman"/>
          <w:sz w:val="20"/>
          <w:lang w:val="en-GB" w:eastAsia="zh-CN"/>
        </w:rPr>
        <w:t xml:space="preserve">In our view, </w:t>
      </w:r>
      <w:r w:rsidR="00B24821">
        <w:rPr>
          <w:rFonts w:ascii="Times New Roman" w:hAnsi="Times New Roman"/>
          <w:sz w:val="20"/>
          <w:lang w:val="en-GB" w:eastAsia="zh-CN"/>
        </w:rPr>
        <w:t xml:space="preserve">while RAN1 still need to decide on the list of features and capabilities to be defined for NR V2X, from RAN2 perspective, </w:t>
      </w:r>
      <w:r>
        <w:rPr>
          <w:rFonts w:ascii="Times New Roman" w:hAnsi="Times New Roman"/>
          <w:sz w:val="20"/>
          <w:lang w:val="en-GB" w:eastAsia="zh-CN"/>
        </w:rPr>
        <w:t>the use of a default set of capabilities (known to all UEs within the group) seems preferable in terms of reducing signalling overhead among the group as well as being suited to both the use cases discussed above. Note that this set can either be applicable to all NR V2X groupcast services or it can be service specific. So, whenever a new UE intends to join the group, it can be aware of the set of capabilities that are necessary to be supported within this group. Of course, this does not preclude the exchange of capability information after the UE joins a group (i.e. on top of the default set).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602F088B"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24821">
        <w:rPr>
          <w:rFonts w:ascii="Times New Roman" w:eastAsia="Times New Roman" w:hAnsi="Times New Roman"/>
          <w:bCs/>
          <w:i/>
          <w:sz w:val="20"/>
          <w:szCs w:val="20"/>
          <w:lang w:val="en-GB" w:eastAsia="zh-CN"/>
        </w:rPr>
        <w:t>RAN2 to consider support of</w:t>
      </w:r>
      <w:r>
        <w:rPr>
          <w:rFonts w:ascii="Times New Roman" w:eastAsia="Times New Roman" w:hAnsi="Times New Roman"/>
          <w:bCs/>
          <w:i/>
          <w:sz w:val="20"/>
          <w:szCs w:val="20"/>
          <w:lang w:val="en-GB" w:eastAsia="zh-CN"/>
        </w:rPr>
        <w:t xml:space="preserve"> default set of SL capabilities for groupcast operation. FFS whether the default set can be service specific and how it is indicated.</w:t>
      </w:r>
    </w:p>
    <w:p w14:paraId="0751770D" w14:textId="0767A241"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15368606"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0"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40041">
        <w:rPr>
          <w:rFonts w:ascii="Times New Roman" w:eastAsia="Times New Roman" w:hAnsi="Times New Roman"/>
          <w:bCs/>
          <w:sz w:val="20"/>
          <w:szCs w:val="20"/>
          <w:lang w:val="en-GB" w:eastAsia="zh-CN"/>
        </w:rPr>
        <w:t xml:space="preserve">groupcast operation over sidelink, specifically need for groupcast connection establishment and sidelink capability exchange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107FBD4" w14:textId="299C0486" w:rsidR="00701D37" w:rsidRDefault="00701D37" w:rsidP="00701D3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are marked similarities in groupcast and broadcast design for NR sidelink, including support of per-packet QoS, no support of 1:M PC5 RRC connection establishment, no filtering of receiver UEs (except based on L2 Destination IDs) and no support for RLC AM.</w:t>
      </w:r>
      <w:bookmarkStart w:id="1" w:name="_GoBack"/>
      <w:bookmarkEnd w:id="1"/>
    </w:p>
    <w:p w14:paraId="7A54A4F1" w14:textId="77777777" w:rsidR="00701D37" w:rsidRPr="00B1479A" w:rsidRDefault="00701D37" w:rsidP="00701D3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to not support any groupcast based RRC connection establishment for NR V2X sidelink operation.</w:t>
      </w:r>
    </w:p>
    <w:p w14:paraId="1C48A2D8" w14:textId="77777777" w:rsidR="00701D37" w:rsidRPr="00B1479A" w:rsidRDefault="00701D37" w:rsidP="00701D3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consider support of default set of SL capabilities for groupcast operation. FFS whether the default set can be service specific and how it is indicated.</w:t>
      </w:r>
    </w:p>
    <w:sdt>
      <w:sdtPr>
        <w:rPr>
          <w:rFonts w:ascii="Calibri" w:eastAsia="SimSun" w:hAnsi="Calibri"/>
          <w:noProof w:val="0"/>
          <w:sz w:val="22"/>
          <w:szCs w:val="22"/>
          <w:lang w:eastAsia="en-US"/>
        </w:rPr>
        <w:id w:val="70091276"/>
        <w:docPartObj>
          <w:docPartGallery w:val="Bibliographies"/>
          <w:docPartUnique/>
        </w:docPartObj>
      </w:sdtPr>
      <w:sdtEndPr/>
      <w:sdtContent>
        <w:p w14:paraId="5715B685" w14:textId="24C83047" w:rsidR="000B32EB" w:rsidRPr="000B32EB" w:rsidRDefault="0063286E" w:rsidP="000B32EB">
          <w:pPr>
            <w:pStyle w:val="Tdoc"/>
          </w:pPr>
          <w:r>
            <w:t>References</w:t>
          </w:r>
          <w:r w:rsidR="000A472B">
            <w:rPr>
              <w:rFonts w:eastAsia="Times New Roman"/>
            </w:rPr>
            <w:fldChar w:fldCharType="begin"/>
          </w:r>
          <w:r w:rsidR="000A472B" w:rsidRPr="000B32EB">
            <w:rPr>
              <w:rFonts w:eastAsia="Times New Roman"/>
            </w:rPr>
            <w:instrText xml:space="preserve"> BIBLIOGRAPHY  \l 1033 </w:instrText>
          </w:r>
          <w:r w:rsidR="000A472B">
            <w:rPr>
              <w:rFonts w:eastAsia="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B32EB" w14:paraId="09E1D28C" w14:textId="77777777" w:rsidTr="000B32EB">
            <w:trPr>
              <w:divId w:val="1131898881"/>
              <w:tblCellSpacing w:w="15" w:type="dxa"/>
            </w:trPr>
            <w:tc>
              <w:tcPr>
                <w:tcW w:w="50" w:type="pct"/>
                <w:hideMark/>
              </w:tcPr>
              <w:p w14:paraId="5C96991D" w14:textId="77777777" w:rsidR="000B32EB" w:rsidRDefault="000B32EB">
                <w:pPr>
                  <w:pStyle w:val="Bibliography"/>
                  <w:rPr>
                    <w:noProof/>
                    <w:sz w:val="24"/>
                    <w:szCs w:val="24"/>
                  </w:rPr>
                </w:pPr>
                <w:r>
                  <w:rPr>
                    <w:noProof/>
                  </w:rPr>
                  <w:t xml:space="preserve">[1] </w:t>
                </w:r>
              </w:p>
            </w:tc>
            <w:tc>
              <w:tcPr>
                <w:tcW w:w="0" w:type="auto"/>
                <w:hideMark/>
              </w:tcPr>
              <w:p w14:paraId="187CE174" w14:textId="77777777" w:rsidR="000B32EB" w:rsidRDefault="000B32EB">
                <w:pPr>
                  <w:pStyle w:val="Bibliography"/>
                  <w:rPr>
                    <w:noProof/>
                  </w:rPr>
                </w:pPr>
                <w:r>
                  <w:rPr>
                    <w:noProof/>
                  </w:rPr>
                  <w:t xml:space="preserve">"RAN2#105, NR V2X: Chairman Notes". </w:t>
                </w:r>
              </w:p>
            </w:tc>
          </w:tr>
          <w:tr w:rsidR="000B32EB" w14:paraId="710F787B" w14:textId="77777777" w:rsidTr="000B32EB">
            <w:trPr>
              <w:divId w:val="1131898881"/>
              <w:tblCellSpacing w:w="15" w:type="dxa"/>
            </w:trPr>
            <w:tc>
              <w:tcPr>
                <w:tcW w:w="50" w:type="pct"/>
                <w:hideMark/>
              </w:tcPr>
              <w:p w14:paraId="3756E933" w14:textId="77777777" w:rsidR="000B32EB" w:rsidRDefault="000B32EB">
                <w:pPr>
                  <w:pStyle w:val="Bibliography"/>
                  <w:rPr>
                    <w:noProof/>
                  </w:rPr>
                </w:pPr>
                <w:r>
                  <w:rPr>
                    <w:noProof/>
                  </w:rPr>
                  <w:t xml:space="preserve">[2] </w:t>
                </w:r>
              </w:p>
            </w:tc>
            <w:tc>
              <w:tcPr>
                <w:tcW w:w="0" w:type="auto"/>
                <w:hideMark/>
              </w:tcPr>
              <w:p w14:paraId="1C3D270A" w14:textId="77777777" w:rsidR="000B32EB" w:rsidRDefault="000B32EB">
                <w:pPr>
                  <w:pStyle w:val="Bibliography"/>
                  <w:rPr>
                    <w:noProof/>
                  </w:rPr>
                </w:pPr>
                <w:r>
                  <w:rPr>
                    <w:noProof/>
                  </w:rPr>
                  <w:t xml:space="preserve">"R2-1901730, Summary Report of [104#60][NR/V2X] Groupcast (Qualcomm)". </w:t>
                </w:r>
              </w:p>
            </w:tc>
          </w:tr>
        </w:tbl>
        <w:p w14:paraId="798DFC51" w14:textId="77777777" w:rsidR="000B32EB" w:rsidRDefault="000B32EB" w:rsidP="000B32EB">
          <w:pPr>
            <w:divId w:val="1131898881"/>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CA79E1" w:rsidP="00E43B63"/>
      </w:sdtContent>
    </w:sdt>
    <w:bookmarkEnd w:id="0"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79E1">
      <w:rPr>
        <w:rFonts w:ascii="Arial" w:hAnsi="Arial" w:cs="Arial"/>
        <w:b/>
        <w:noProof/>
        <w:sz w:val="18"/>
        <w:szCs w:val="18"/>
      </w:rPr>
      <w:t>3</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3"/>
  </w:num>
  <w:num w:numId="8">
    <w:abstractNumId w:val="11"/>
  </w:num>
  <w:num w:numId="9">
    <w:abstractNumId w:val="8"/>
  </w:num>
  <w:num w:numId="10">
    <w:abstractNumId w:val="27"/>
  </w:num>
  <w:num w:numId="11">
    <w:abstractNumId w:val="35"/>
  </w:num>
  <w:num w:numId="12">
    <w:abstractNumId w:val="6"/>
  </w:num>
  <w:num w:numId="13">
    <w:abstractNumId w:val="9"/>
  </w:num>
  <w:num w:numId="14">
    <w:abstractNumId w:val="3"/>
  </w:num>
  <w:num w:numId="15">
    <w:abstractNumId w:val="4"/>
  </w:num>
  <w:num w:numId="16">
    <w:abstractNumId w:val="14"/>
  </w:num>
  <w:num w:numId="17">
    <w:abstractNumId w:val="32"/>
  </w:num>
  <w:num w:numId="18">
    <w:abstractNumId w:val="12"/>
  </w:num>
  <w:num w:numId="19">
    <w:abstractNumId w:val="28"/>
  </w:num>
  <w:num w:numId="20">
    <w:abstractNumId w:val="2"/>
  </w:num>
  <w:num w:numId="21">
    <w:abstractNumId w:val="34"/>
  </w:num>
  <w:num w:numId="22">
    <w:abstractNumId w:val="1"/>
  </w:num>
  <w:num w:numId="23">
    <w:abstractNumId w:val="26"/>
  </w:num>
  <w:num w:numId="24">
    <w:abstractNumId w:val="37"/>
  </w:num>
  <w:num w:numId="25">
    <w:abstractNumId w:val="24"/>
  </w:num>
  <w:num w:numId="26">
    <w:abstractNumId w:val="21"/>
  </w:num>
  <w:num w:numId="27">
    <w:abstractNumId w:val="19"/>
  </w:num>
  <w:num w:numId="28">
    <w:abstractNumId w:val="36"/>
  </w:num>
  <w:num w:numId="29">
    <w:abstractNumId w:val="0"/>
  </w:num>
  <w:num w:numId="30">
    <w:abstractNumId w:val="10"/>
  </w:num>
  <w:num w:numId="31">
    <w:abstractNumId w:val="30"/>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0FF1"/>
    <w:rsid w:val="0002151A"/>
    <w:rsid w:val="00031A47"/>
    <w:rsid w:val="000336C8"/>
    <w:rsid w:val="000444A3"/>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150B"/>
    <w:rsid w:val="004E2339"/>
    <w:rsid w:val="004E3975"/>
    <w:rsid w:val="004E3ED3"/>
    <w:rsid w:val="004E55A4"/>
    <w:rsid w:val="004E6A8F"/>
    <w:rsid w:val="004F361D"/>
    <w:rsid w:val="004F415B"/>
    <w:rsid w:val="00504033"/>
    <w:rsid w:val="005067A7"/>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61C20"/>
    <w:rsid w:val="00667231"/>
    <w:rsid w:val="006720DF"/>
    <w:rsid w:val="00673EBD"/>
    <w:rsid w:val="00681CCA"/>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1D37"/>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03B1"/>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5EDF"/>
    <w:rsid w:val="00B556A6"/>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7BFB"/>
    <w:rsid w:val="00C54226"/>
    <w:rsid w:val="00C641CB"/>
    <w:rsid w:val="00C65B7C"/>
    <w:rsid w:val="00C667DF"/>
    <w:rsid w:val="00C67B49"/>
    <w:rsid w:val="00C73BA9"/>
    <w:rsid w:val="00C84589"/>
    <w:rsid w:val="00C8595C"/>
    <w:rsid w:val="00C90D45"/>
    <w:rsid w:val="00CA41AF"/>
    <w:rsid w:val="00CA4212"/>
    <w:rsid w:val="00CA751B"/>
    <w:rsid w:val="00CA79E1"/>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51486"/>
    <w:rsid w:val="00D65AAE"/>
    <w:rsid w:val="00D70FEC"/>
    <w:rsid w:val="00D714C5"/>
    <w:rsid w:val="00D74365"/>
    <w:rsid w:val="00D75EC2"/>
    <w:rsid w:val="00D75FE1"/>
    <w:rsid w:val="00D80BD1"/>
    <w:rsid w:val="00D90B79"/>
    <w:rsid w:val="00D94525"/>
    <w:rsid w:val="00DA2C5B"/>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08E4"/>
    <w:rsid w:val="00EE3B7D"/>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C22"/>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0933904">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105groupcastQC</b:Tag>
    <b:SourceType>ConferenceProceedings</b:SourceType>
    <b:Guid>{4E32C33C-64AF-40F9-97CF-7A608BB83582}</b:Guid>
    <b:Title>R2-1901730, Summary Report of [104#60][NR/V2X] Groupcast (Qualcomm)</b:Title>
    <b:RefOrder>2</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EA0A665E-A753-47A3-B9EA-2DC7C710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12446</TotalTime>
  <Pages>3</Pages>
  <Words>1651</Words>
  <Characters>8514</Characters>
  <Application>Microsoft Office Word</Application>
  <DocSecurity>0</DocSecurity>
  <Lines>138</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367</cp:revision>
  <dcterms:created xsi:type="dcterms:W3CDTF">2017-08-12T02:26:00Z</dcterms:created>
  <dcterms:modified xsi:type="dcterms:W3CDTF">2019-03-29T01:02:00Z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2019-03-29 01:02:57Z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