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2ED8D27" w:rsidR="00895250" w:rsidRPr="000C1C27"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0C1C27">
        <w:rPr>
          <w:rFonts w:ascii="Arial" w:eastAsia="MS Mincho" w:hAnsi="Arial"/>
          <w:b/>
          <w:sz w:val="24"/>
          <w:szCs w:val="24"/>
          <w:lang w:val="en-GB" w:eastAsia="x-none"/>
        </w:rPr>
        <w:t>3GPP TSG</w:t>
      </w:r>
      <w:r w:rsidR="00A17DB7" w:rsidRPr="000C1C27">
        <w:rPr>
          <w:rFonts w:ascii="Arial" w:eastAsia="MS Mincho" w:hAnsi="Arial"/>
          <w:b/>
          <w:sz w:val="24"/>
          <w:szCs w:val="24"/>
          <w:lang w:val="en-GB" w:eastAsia="x-none"/>
        </w:rPr>
        <w:t>-RAN WG2 Meeting #104</w:t>
      </w:r>
      <w:r w:rsidR="00813145" w:rsidRPr="000C1C27">
        <w:rPr>
          <w:rFonts w:ascii="Arial" w:eastAsia="MS Mincho" w:hAnsi="Arial"/>
          <w:b/>
          <w:sz w:val="24"/>
          <w:szCs w:val="24"/>
          <w:lang w:val="en-GB" w:eastAsia="x-none"/>
        </w:rPr>
        <w:tab/>
        <w:t>R2-18</w:t>
      </w:r>
      <w:r w:rsidR="00AB3B1A">
        <w:rPr>
          <w:rFonts w:ascii="Arial" w:eastAsia="MS Mincho" w:hAnsi="Arial"/>
          <w:b/>
          <w:sz w:val="24"/>
          <w:szCs w:val="24"/>
          <w:lang w:val="en-GB" w:eastAsia="x-none"/>
        </w:rPr>
        <w:t>16817</w:t>
      </w:r>
    </w:p>
    <w:p w14:paraId="6877EE3A" w14:textId="35F98ACC" w:rsidR="00895250" w:rsidRPr="000C1C27" w:rsidRDefault="00A17DB7" w:rsidP="00895250">
      <w:pPr>
        <w:widowControl w:val="0"/>
        <w:tabs>
          <w:tab w:val="left" w:pos="1701"/>
          <w:tab w:val="right" w:pos="9923"/>
        </w:tabs>
        <w:spacing w:before="120"/>
        <w:rPr>
          <w:rFonts w:ascii="Arial" w:eastAsia="MS Mincho" w:hAnsi="Arial"/>
          <w:b/>
          <w:sz w:val="24"/>
          <w:szCs w:val="24"/>
          <w:lang w:val="en-GB" w:eastAsia="x-none"/>
        </w:rPr>
      </w:pPr>
      <w:r w:rsidRPr="000C1C27">
        <w:rPr>
          <w:rFonts w:ascii="Arial" w:eastAsia="MS Mincho" w:hAnsi="Arial"/>
          <w:b/>
          <w:sz w:val="24"/>
          <w:szCs w:val="24"/>
          <w:lang w:val="en-GB" w:eastAsia="x-none"/>
        </w:rPr>
        <w:t>Spokane, Washington, USA</w:t>
      </w:r>
      <w:r w:rsidR="00895250" w:rsidRPr="000C1C27">
        <w:rPr>
          <w:rFonts w:ascii="Arial" w:eastAsia="MS Mincho" w:hAnsi="Arial"/>
          <w:b/>
          <w:sz w:val="24"/>
          <w:szCs w:val="24"/>
          <w:lang w:val="en-GB" w:eastAsia="x-none"/>
        </w:rPr>
        <w:t xml:space="preserve">, </w:t>
      </w:r>
      <w:r w:rsidR="00101011" w:rsidRPr="000C1C27">
        <w:rPr>
          <w:rFonts w:ascii="Arial" w:eastAsia="MS Mincho" w:hAnsi="Arial"/>
          <w:b/>
          <w:sz w:val="24"/>
          <w:szCs w:val="24"/>
          <w:lang w:val="en-GB" w:eastAsia="x-none"/>
        </w:rPr>
        <w:t>12-16</w:t>
      </w:r>
      <w:r w:rsidR="00186F35" w:rsidRPr="000C1C27">
        <w:rPr>
          <w:rFonts w:ascii="Arial" w:eastAsia="MS Mincho" w:hAnsi="Arial"/>
          <w:b/>
          <w:sz w:val="24"/>
          <w:szCs w:val="24"/>
          <w:lang w:val="en-GB" w:eastAsia="x-none"/>
        </w:rPr>
        <w:t xml:space="preserve"> </w:t>
      </w:r>
      <w:r w:rsidRPr="000C1C27">
        <w:rPr>
          <w:rFonts w:ascii="Arial" w:eastAsia="MS Mincho" w:hAnsi="Arial"/>
          <w:b/>
          <w:sz w:val="24"/>
          <w:szCs w:val="24"/>
          <w:lang w:val="en-GB" w:eastAsia="x-none"/>
        </w:rPr>
        <w:t>November</w:t>
      </w:r>
      <w:r w:rsidR="00895250" w:rsidRPr="000C1C27">
        <w:rPr>
          <w:rFonts w:ascii="Arial" w:eastAsia="MS Mincho" w:hAnsi="Arial"/>
          <w:b/>
          <w:sz w:val="24"/>
          <w:szCs w:val="24"/>
          <w:lang w:val="en-GB" w:eastAsia="x-none"/>
        </w:rPr>
        <w:t xml:space="preserve"> 2018</w:t>
      </w:r>
    </w:p>
    <w:p w14:paraId="41F9B491" w14:textId="49EFE19E" w:rsidR="0097167E" w:rsidRPr="000C1C27"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C1C27" w:rsidRDefault="00A07E02" w:rsidP="00A07E02">
      <w:pPr>
        <w:pStyle w:val="3GPPHeader"/>
        <w:rPr>
          <w:rFonts w:ascii="Arial" w:hAnsi="Arial" w:cs="Arial"/>
          <w:color w:val="FF0000"/>
          <w:szCs w:val="24"/>
          <w:lang w:eastAsia="zh-TW"/>
        </w:rPr>
      </w:pPr>
    </w:p>
    <w:p w14:paraId="027912C8" w14:textId="7F74F96F" w:rsidR="00A07E02" w:rsidRPr="000C1C27" w:rsidRDefault="00A07E02" w:rsidP="00A07E02">
      <w:pPr>
        <w:pStyle w:val="3GPPHeader"/>
        <w:rPr>
          <w:rFonts w:ascii="Arial" w:hAnsi="Arial" w:cs="Arial"/>
          <w:szCs w:val="24"/>
        </w:rPr>
      </w:pPr>
      <w:r w:rsidRPr="000C1C27">
        <w:rPr>
          <w:rFonts w:ascii="Arial" w:hAnsi="Arial" w:cs="Arial"/>
          <w:szCs w:val="24"/>
        </w:rPr>
        <w:t>Agenda Item:</w:t>
      </w:r>
      <w:r w:rsidRPr="000C1C27">
        <w:rPr>
          <w:rFonts w:ascii="Arial" w:hAnsi="Arial" w:cs="Arial"/>
          <w:szCs w:val="24"/>
        </w:rPr>
        <w:tab/>
      </w:r>
      <w:r w:rsidR="00AB3B1A">
        <w:rPr>
          <w:rFonts w:ascii="Arial" w:hAnsi="Arial" w:cs="Arial"/>
          <w:szCs w:val="24"/>
        </w:rPr>
        <w:t>10.4.1.3.11</w:t>
      </w:r>
    </w:p>
    <w:p w14:paraId="79D236BA" w14:textId="77777777" w:rsidR="00A07E02" w:rsidRPr="000C1C27" w:rsidRDefault="00A07E02" w:rsidP="00A07E02">
      <w:pPr>
        <w:pStyle w:val="3GPPHeader"/>
        <w:rPr>
          <w:rFonts w:ascii="Arial" w:hAnsi="Arial" w:cs="Arial"/>
          <w:szCs w:val="24"/>
        </w:rPr>
      </w:pPr>
      <w:r w:rsidRPr="000C1C27">
        <w:rPr>
          <w:rFonts w:ascii="Arial" w:hAnsi="Arial" w:cs="Arial"/>
          <w:szCs w:val="24"/>
        </w:rPr>
        <w:t xml:space="preserve">Source: </w:t>
      </w:r>
      <w:r w:rsidRPr="000C1C27">
        <w:rPr>
          <w:rFonts w:ascii="Arial" w:hAnsi="Arial" w:cs="Arial"/>
          <w:szCs w:val="24"/>
        </w:rPr>
        <w:tab/>
      </w:r>
      <w:proofErr w:type="spellStart"/>
      <w:r w:rsidRPr="000C1C27">
        <w:rPr>
          <w:rFonts w:ascii="Arial" w:hAnsi="Arial" w:cs="Arial"/>
          <w:szCs w:val="24"/>
        </w:rPr>
        <w:t>MediaTek</w:t>
      </w:r>
      <w:proofErr w:type="spellEnd"/>
      <w:r w:rsidRPr="000C1C27">
        <w:rPr>
          <w:rFonts w:ascii="Arial" w:hAnsi="Arial" w:cs="Arial"/>
          <w:szCs w:val="24"/>
        </w:rPr>
        <w:t xml:space="preserve"> Inc.</w:t>
      </w:r>
    </w:p>
    <w:p w14:paraId="108A86FF" w14:textId="5A5924D5" w:rsidR="00A07E02" w:rsidRPr="000C1C27" w:rsidRDefault="00FF0668" w:rsidP="00A07E02">
      <w:pPr>
        <w:pStyle w:val="3GPPHeaderArial"/>
        <w:tabs>
          <w:tab w:val="left" w:pos="1701"/>
        </w:tabs>
        <w:rPr>
          <w:b/>
          <w:sz w:val="24"/>
          <w:lang w:val="en-GB" w:eastAsia="zh-TW"/>
        </w:rPr>
      </w:pPr>
      <w:r w:rsidRPr="000C1C27">
        <w:rPr>
          <w:b/>
          <w:sz w:val="24"/>
          <w:lang w:val="en-GB"/>
        </w:rPr>
        <w:t xml:space="preserve">Title:  </w:t>
      </w:r>
      <w:r w:rsidRPr="000C1C27">
        <w:rPr>
          <w:b/>
          <w:sz w:val="24"/>
          <w:lang w:val="en-GB"/>
        </w:rPr>
        <w:tab/>
      </w:r>
      <w:r w:rsidR="00EB7A17" w:rsidRPr="000C1C27">
        <w:rPr>
          <w:b/>
          <w:sz w:val="24"/>
          <w:lang w:val="en-GB"/>
        </w:rPr>
        <w:t>Parameters for overheating indication</w:t>
      </w:r>
    </w:p>
    <w:p w14:paraId="2D698DC6" w14:textId="77777777" w:rsidR="00A07E02" w:rsidRPr="000C1C27" w:rsidRDefault="00A07E02" w:rsidP="00A07E02">
      <w:pPr>
        <w:pStyle w:val="3GPPHeaderArial"/>
        <w:tabs>
          <w:tab w:val="left" w:pos="1701"/>
        </w:tabs>
        <w:rPr>
          <w:b/>
          <w:sz w:val="24"/>
          <w:lang w:val="en-GB" w:eastAsia="zh-TW"/>
        </w:rPr>
      </w:pPr>
    </w:p>
    <w:p w14:paraId="4570B40E" w14:textId="77777777" w:rsidR="00A07E02" w:rsidRPr="000C1C27" w:rsidRDefault="00A07E02" w:rsidP="00A07E02">
      <w:pPr>
        <w:pStyle w:val="3GPPHeader"/>
        <w:rPr>
          <w:rFonts w:ascii="Arial" w:hAnsi="Arial" w:cs="Arial"/>
          <w:szCs w:val="24"/>
        </w:rPr>
      </w:pPr>
      <w:r w:rsidRPr="000C1C27">
        <w:rPr>
          <w:rFonts w:ascii="Arial" w:hAnsi="Arial" w:cs="Arial"/>
          <w:szCs w:val="24"/>
        </w:rPr>
        <w:t>Document for:</w:t>
      </w:r>
      <w:r w:rsidRPr="000C1C27">
        <w:rPr>
          <w:rFonts w:ascii="Arial" w:hAnsi="Arial" w:cs="Arial"/>
          <w:szCs w:val="24"/>
        </w:rPr>
        <w:tab/>
        <w:t>Discussion and decision</w:t>
      </w:r>
    </w:p>
    <w:p w14:paraId="0FB84FBC" w14:textId="77777777" w:rsidR="00A07E02" w:rsidRPr="000C1C27" w:rsidRDefault="00A07E02" w:rsidP="00A07E02">
      <w:pPr>
        <w:pStyle w:val="Heading1"/>
        <w:overflowPunct w:val="0"/>
        <w:autoSpaceDE w:val="0"/>
        <w:autoSpaceDN w:val="0"/>
        <w:adjustRightInd w:val="0"/>
        <w:rPr>
          <w:rFonts w:eastAsia="PMingLiU" w:cs="Arial"/>
        </w:rPr>
      </w:pPr>
      <w:r w:rsidRPr="000C1C27">
        <w:rPr>
          <w:rFonts w:eastAsia="PMingLiU" w:cs="Arial"/>
        </w:rPr>
        <w:t>Introduction</w:t>
      </w:r>
      <w:bookmarkStart w:id="3" w:name="OLE_LINK39"/>
      <w:bookmarkStart w:id="4" w:name="OLE_LINK38"/>
      <w:bookmarkStart w:id="5" w:name="OLE_LINK37"/>
    </w:p>
    <w:p w14:paraId="54A8544A" w14:textId="53510DDD" w:rsidR="00202DDC" w:rsidRPr="000C1C27" w:rsidRDefault="001A1FCC" w:rsidP="00820C96">
      <w:pPr>
        <w:spacing w:after="120"/>
        <w:jc w:val="both"/>
        <w:rPr>
          <w:rFonts w:ascii="Arial" w:hAnsi="Arial" w:cs="Arial"/>
          <w:sz w:val="20"/>
          <w:szCs w:val="20"/>
          <w:lang w:val="en-GB"/>
        </w:rPr>
      </w:pPr>
      <w:r w:rsidRPr="000C1C27">
        <w:rPr>
          <w:rFonts w:ascii="Arial" w:hAnsi="Arial" w:cs="Arial"/>
          <w:sz w:val="20"/>
          <w:szCs w:val="20"/>
          <w:lang w:val="en-GB"/>
        </w:rPr>
        <w:t xml:space="preserve">This document discusses the </w:t>
      </w:r>
      <w:r w:rsidR="00EB7A17" w:rsidRPr="000C1C27">
        <w:rPr>
          <w:rFonts w:ascii="Arial" w:hAnsi="Arial" w:cs="Arial"/>
          <w:sz w:val="20"/>
          <w:szCs w:val="20"/>
          <w:lang w:val="en-GB"/>
        </w:rPr>
        <w:t>parameters for which a temporary capability reduction can be requested when the UE detects an overheating condition</w:t>
      </w:r>
      <w:r w:rsidRPr="000C1C27">
        <w:rPr>
          <w:rFonts w:ascii="Arial" w:hAnsi="Arial" w:cs="Arial"/>
          <w:sz w:val="20"/>
          <w:szCs w:val="20"/>
          <w:lang w:val="en-GB"/>
        </w:rPr>
        <w:t>.</w:t>
      </w:r>
    </w:p>
    <w:p w14:paraId="2D9A0F46" w14:textId="721FCEAD" w:rsidR="00202DDC" w:rsidRPr="000C1C27"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0C1C27">
        <w:rPr>
          <w:rFonts w:eastAsia="PMingLiU" w:cs="Arial"/>
        </w:rPr>
        <w:t>Discussion</w:t>
      </w:r>
    </w:p>
    <w:p w14:paraId="41FFC93A" w14:textId="0CD789C5" w:rsidR="003D7442" w:rsidRPr="000C1C27" w:rsidRDefault="003D7442" w:rsidP="003D7442">
      <w:pPr>
        <w:pStyle w:val="Heading2"/>
      </w:pPr>
      <w:r w:rsidRPr="000C1C27">
        <w:t>Parameters considered in email discussion</w:t>
      </w:r>
    </w:p>
    <w:p w14:paraId="61267C90" w14:textId="313A14E9" w:rsidR="00101011" w:rsidRPr="000C1C27" w:rsidRDefault="003D7442" w:rsidP="00101011">
      <w:pPr>
        <w:spacing w:after="240"/>
        <w:rPr>
          <w:lang w:val="en-GB" w:eastAsia="en-US"/>
        </w:rPr>
      </w:pPr>
      <w:r w:rsidRPr="000C1C27">
        <w:rPr>
          <w:lang w:val="en-GB" w:eastAsia="en-US"/>
        </w:rPr>
        <w:t>The email discussion summarised in [1] considers the following parameters:</w:t>
      </w:r>
    </w:p>
    <w:p w14:paraId="7C6E5EDC" w14:textId="4D1C7AE1" w:rsidR="003D7442" w:rsidRPr="000C1C27" w:rsidRDefault="003D7442" w:rsidP="003D7442">
      <w:pPr>
        <w:pStyle w:val="ListParagraph"/>
      </w:pPr>
      <w:r w:rsidRPr="000C1C27">
        <w:t>MIMO rank reduction</w:t>
      </w:r>
    </w:p>
    <w:p w14:paraId="58B88FF2" w14:textId="58A2EDB1" w:rsidR="003D7442" w:rsidRPr="000C1C27" w:rsidRDefault="003D7442" w:rsidP="003D7442">
      <w:pPr>
        <w:pStyle w:val="ListParagraph"/>
      </w:pPr>
      <w:r w:rsidRPr="000C1C27">
        <w:t>BWP width reduction</w:t>
      </w:r>
    </w:p>
    <w:p w14:paraId="3B77158D" w14:textId="32BE6459" w:rsidR="003D7442" w:rsidRPr="000C1C27" w:rsidRDefault="003D7442" w:rsidP="003D7442">
      <w:pPr>
        <w:pStyle w:val="ListParagraph"/>
      </w:pPr>
      <w:proofErr w:type="spellStart"/>
      <w:r w:rsidRPr="000C1C27">
        <w:t>PSCell</w:t>
      </w:r>
      <w:proofErr w:type="spellEnd"/>
      <w:r w:rsidRPr="000C1C27">
        <w:t>/</w:t>
      </w:r>
      <w:proofErr w:type="spellStart"/>
      <w:r w:rsidRPr="000C1C27">
        <w:t>SCell</w:t>
      </w:r>
      <w:proofErr w:type="spellEnd"/>
      <w:r w:rsidRPr="000C1C27">
        <w:t xml:space="preserve"> release indication</w:t>
      </w:r>
    </w:p>
    <w:p w14:paraId="7D8584FA" w14:textId="136198DE" w:rsidR="003D7442" w:rsidRPr="000C1C27" w:rsidRDefault="003D7442" w:rsidP="003D7442">
      <w:pPr>
        <w:pStyle w:val="ListParagraph"/>
      </w:pPr>
      <w:r w:rsidRPr="000C1C27">
        <w:t>Total aggregated BW reduction</w:t>
      </w:r>
    </w:p>
    <w:p w14:paraId="064B5752" w14:textId="7BCE9D63" w:rsidR="003D7442" w:rsidRPr="000C1C27" w:rsidRDefault="003D7442" w:rsidP="003D7442">
      <w:pPr>
        <w:pStyle w:val="ListParagraph"/>
      </w:pPr>
      <w:r w:rsidRPr="000C1C27">
        <w:t>FR release indication</w:t>
      </w:r>
    </w:p>
    <w:p w14:paraId="7991469E" w14:textId="571C321B" w:rsidR="003D7442" w:rsidRPr="000C1C27" w:rsidRDefault="003D7442" w:rsidP="003D7442">
      <w:pPr>
        <w:spacing w:after="240"/>
        <w:rPr>
          <w:lang w:val="en-GB"/>
        </w:rPr>
      </w:pPr>
      <w:r w:rsidRPr="000C1C27">
        <w:rPr>
          <w:lang w:val="en-GB"/>
        </w:rPr>
        <w:t>We consider that MIMO rank and BWP width are critical to support while the others may not be necessary.  These subtopics have been adequately raised by the email discussion and can be further discussed in that context.</w:t>
      </w:r>
    </w:p>
    <w:p w14:paraId="6FBB1078" w14:textId="4EDDD8BA" w:rsidR="003D7442" w:rsidRPr="000C1C27" w:rsidRDefault="003D7442" w:rsidP="003D7442">
      <w:pPr>
        <w:pStyle w:val="Heading2"/>
      </w:pPr>
      <w:r w:rsidRPr="000C1C27">
        <w:t>Duty cycle</w:t>
      </w:r>
    </w:p>
    <w:p w14:paraId="409E23E5" w14:textId="0DD3EEEC" w:rsidR="00CD3600" w:rsidRDefault="003D7442" w:rsidP="003D7442">
      <w:pPr>
        <w:spacing w:after="240"/>
        <w:rPr>
          <w:rFonts w:ascii="Arial" w:hAnsi="Arial" w:cs="Arial"/>
          <w:sz w:val="20"/>
          <w:lang w:val="en-GB"/>
        </w:rPr>
      </w:pPr>
      <w:r w:rsidRPr="000C1C27">
        <w:rPr>
          <w:lang w:val="en-GB"/>
        </w:rPr>
        <w:t>As previously discussed in [2], we see value in allowing the UE to request a reduction in the duty cycle.</w:t>
      </w:r>
      <w:r w:rsidR="000C1C27" w:rsidRPr="000C1C27">
        <w:rPr>
          <w:lang w:val="en-GB"/>
        </w:rPr>
        <w:t xml:space="preserve">  </w:t>
      </w:r>
      <w:r w:rsidR="00DA123D">
        <w:rPr>
          <w:lang w:val="en-GB"/>
        </w:rPr>
        <w:t>The benefit for the UE is clear</w:t>
      </w:r>
      <w:r w:rsidR="00DA123D">
        <w:rPr>
          <w:rFonts w:ascii="Arial" w:hAnsi="Arial" w:cs="Arial"/>
          <w:sz w:val="20"/>
          <w:lang w:val="en-GB"/>
        </w:rPr>
        <w:t>, reducing the overall power consumption/heat dissipation and allowing the UE to cool down in between active periods.</w:t>
      </w:r>
      <w:r w:rsidR="00CD3600">
        <w:rPr>
          <w:rFonts w:ascii="Arial" w:hAnsi="Arial" w:cs="Arial"/>
          <w:sz w:val="20"/>
          <w:lang w:val="en-GB"/>
        </w:rPr>
        <w:t xml:space="preserve">  This approach also has the benefit that the network throughput KPI is not affected, since the network can still schedule the UE at peak data rate.</w:t>
      </w:r>
    </w:p>
    <w:p w14:paraId="529C3314" w14:textId="37D10C84" w:rsidR="000C1C27" w:rsidRDefault="000C1C27" w:rsidP="003D7442">
      <w:pPr>
        <w:spacing w:after="240"/>
        <w:rPr>
          <w:rFonts w:ascii="Arial" w:hAnsi="Arial" w:cs="Arial"/>
          <w:sz w:val="20"/>
          <w:lang w:val="en-GB"/>
        </w:rPr>
      </w:pPr>
      <w:r>
        <w:rPr>
          <w:rFonts w:ascii="Arial" w:hAnsi="Arial" w:cs="Arial"/>
          <w:b/>
          <w:sz w:val="20"/>
          <w:lang w:val="en-GB"/>
        </w:rPr>
        <w:t>Proposal 1:</w:t>
      </w:r>
      <w:r>
        <w:rPr>
          <w:rFonts w:ascii="Arial" w:hAnsi="Arial" w:cs="Arial"/>
          <w:sz w:val="20"/>
          <w:lang w:val="en-GB"/>
        </w:rPr>
        <w:t xml:space="preserve"> The UE can request a duty cycle reduction as part of the overheating indication.</w:t>
      </w:r>
    </w:p>
    <w:p w14:paraId="6FB3AF4D" w14:textId="50520FED" w:rsidR="00DA123D" w:rsidRDefault="00DA123D" w:rsidP="00DA123D">
      <w:pPr>
        <w:spacing w:after="240"/>
        <w:rPr>
          <w:rFonts w:ascii="Arial" w:hAnsi="Arial" w:cs="Arial"/>
          <w:sz w:val="20"/>
          <w:lang w:val="en-GB"/>
        </w:rPr>
      </w:pPr>
      <w:r w:rsidRPr="000C1C27">
        <w:rPr>
          <w:lang w:val="en-GB"/>
        </w:rPr>
        <w:t>The network could realise such a request</w:t>
      </w:r>
      <w:r>
        <w:rPr>
          <w:lang w:val="en-GB"/>
        </w:rPr>
        <w:t xml:space="preserve"> using either the DRX cycle or, at the slot scale, the </w:t>
      </w:r>
      <w:proofErr w:type="gramStart"/>
      <w:r w:rsidRPr="00F95D2B">
        <w:rPr>
          <w:rFonts w:ascii="Arial" w:hAnsi="Arial" w:cs="Arial"/>
          <w:sz w:val="20"/>
          <w:lang w:val="en-GB"/>
        </w:rPr>
        <w:t>fields</w:t>
      </w:r>
      <w:proofErr w:type="gramEnd"/>
      <w:r w:rsidRPr="00F95D2B">
        <w:rPr>
          <w:rFonts w:ascii="Arial" w:hAnsi="Arial" w:cs="Arial"/>
          <w:sz w:val="20"/>
          <w:lang w:val="en-GB"/>
        </w:rPr>
        <w:t xml:space="preserve"> </w:t>
      </w:r>
      <w:proofErr w:type="spellStart"/>
      <w:r w:rsidRPr="00F95D2B">
        <w:rPr>
          <w:rFonts w:ascii="Arial" w:hAnsi="Arial" w:cs="Arial"/>
          <w:i/>
          <w:sz w:val="20"/>
          <w:lang w:val="en-GB"/>
        </w:rPr>
        <w:t>monitoringSlotPeriodicityAndOffset</w:t>
      </w:r>
      <w:proofErr w:type="spellEnd"/>
      <w:r w:rsidRPr="00F95D2B">
        <w:rPr>
          <w:rFonts w:ascii="Arial" w:hAnsi="Arial" w:cs="Arial"/>
          <w:sz w:val="20"/>
          <w:lang w:val="en-GB"/>
        </w:rPr>
        <w:t xml:space="preserve"> and </w:t>
      </w:r>
      <w:r w:rsidRPr="00F95D2B">
        <w:rPr>
          <w:rFonts w:ascii="Arial" w:hAnsi="Arial" w:cs="Arial"/>
          <w:i/>
          <w:sz w:val="20"/>
          <w:lang w:val="en-GB"/>
        </w:rPr>
        <w:t>duration</w:t>
      </w:r>
      <w:r w:rsidRPr="00F95D2B">
        <w:rPr>
          <w:rFonts w:ascii="Arial" w:hAnsi="Arial" w:cs="Arial"/>
          <w:sz w:val="20"/>
          <w:lang w:val="en-GB"/>
        </w:rPr>
        <w:t xml:space="preserve"> in </w:t>
      </w:r>
      <w:proofErr w:type="spellStart"/>
      <w:r w:rsidRPr="00F95D2B">
        <w:rPr>
          <w:rFonts w:ascii="Arial" w:hAnsi="Arial" w:cs="Arial"/>
          <w:i/>
          <w:sz w:val="20"/>
          <w:lang w:val="en-GB"/>
        </w:rPr>
        <w:t>SearchSpace</w:t>
      </w:r>
      <w:proofErr w:type="spellEnd"/>
      <w:r w:rsidRPr="00F95D2B">
        <w:rPr>
          <w:rFonts w:ascii="Arial" w:hAnsi="Arial" w:cs="Arial"/>
          <w:sz w:val="20"/>
          <w:lang w:val="en-GB"/>
        </w:rPr>
        <w:t>.</w:t>
      </w:r>
      <w:r>
        <w:rPr>
          <w:rFonts w:ascii="Arial" w:hAnsi="Arial" w:cs="Arial"/>
          <w:sz w:val="20"/>
          <w:lang w:val="en-GB"/>
        </w:rPr>
        <w:t xml:space="preserve">  The appropriate strategy depends on service characteristics; a low latency service would be incompatible with DRX but could still benefit from slot-level duty cycle reduction.  The network implementation can determine an appropriate strategy for a particular UE, so the UE need only indicate a maximum value for the duty cycle—alternatively, the UE could give some indication of its view of the preferred strategy (since it knows the requirements of its own services), but it should be clear that such a request would never be binding on the network and it still remains a network implementation decision how to reduce the duty cycle.  Considering this, we do not see a major benefit in having the UE indicate a requested strategy; it should be enough to indicate the duty cycle and leave the network to take the decision about how to achieve it.</w:t>
      </w:r>
    </w:p>
    <w:p w14:paraId="40CA9C0A" w14:textId="6A1E0F99" w:rsidR="000C1C27" w:rsidRPr="000C1C27" w:rsidRDefault="000C1C27" w:rsidP="003D7442">
      <w:pPr>
        <w:spacing w:after="240"/>
        <w:rPr>
          <w:lang w:val="en-GB"/>
        </w:rPr>
      </w:pPr>
      <w:r>
        <w:rPr>
          <w:rFonts w:ascii="Arial" w:hAnsi="Arial" w:cs="Arial"/>
          <w:b/>
          <w:sz w:val="20"/>
          <w:lang w:val="en-GB"/>
        </w:rPr>
        <w:lastRenderedPageBreak/>
        <w:t>Proposal 2:</w:t>
      </w:r>
      <w:r>
        <w:rPr>
          <w:rFonts w:ascii="Arial" w:hAnsi="Arial" w:cs="Arial"/>
          <w:sz w:val="20"/>
          <w:lang w:val="en-GB"/>
        </w:rPr>
        <w:t xml:space="preserve"> It is up to network implementation to determine how to reduce the UE duty cycle according to the request.</w:t>
      </w:r>
    </w:p>
    <w:p w14:paraId="050C8D78" w14:textId="02935656" w:rsidR="003D7442" w:rsidRPr="000C1C27" w:rsidRDefault="003D7442" w:rsidP="003D7442">
      <w:pPr>
        <w:pStyle w:val="Heading2"/>
      </w:pPr>
      <w:r w:rsidRPr="000C1C27">
        <w:t>CA limitations</w:t>
      </w:r>
    </w:p>
    <w:p w14:paraId="706234E0" w14:textId="2EA30E1E" w:rsidR="003D7442" w:rsidRDefault="003D7442" w:rsidP="003D7442">
      <w:pPr>
        <w:spacing w:after="240"/>
        <w:rPr>
          <w:lang w:val="en-GB"/>
        </w:rPr>
      </w:pPr>
      <w:r w:rsidRPr="000C1C27">
        <w:rPr>
          <w:lang w:val="en-GB"/>
        </w:rPr>
        <w:t>In addition to the parameters described above, there may be specific limitations to CA that the UE could usefully request.</w:t>
      </w:r>
      <w:r w:rsidR="003020AD">
        <w:rPr>
          <w:lang w:val="en-GB"/>
        </w:rPr>
        <w:t xml:space="preserve">  For example, the UE could benefit from reducing uplink CA to a configuration that allows the use of a single PA, e.g. by li</w:t>
      </w:r>
      <w:r w:rsidR="00F02BD1">
        <w:rPr>
          <w:lang w:val="en-GB"/>
        </w:rPr>
        <w:t>miting to specific band combinations where the implementation can handle the carrier(s) with one PA.</w:t>
      </w:r>
    </w:p>
    <w:p w14:paraId="33AD1D37" w14:textId="1C97D93E" w:rsidR="003020AD" w:rsidRDefault="003020AD" w:rsidP="003D7442">
      <w:pPr>
        <w:spacing w:after="240"/>
        <w:rPr>
          <w:lang w:val="en-GB"/>
        </w:rPr>
      </w:pPr>
      <w:r>
        <w:rPr>
          <w:b/>
          <w:lang w:val="en-GB"/>
        </w:rPr>
        <w:t>Proposal 3:</w:t>
      </w:r>
      <w:r>
        <w:rPr>
          <w:lang w:val="en-GB"/>
        </w:rPr>
        <w:t xml:space="preserve"> The UE can request </w:t>
      </w:r>
      <w:r w:rsidR="00F02BD1">
        <w:rPr>
          <w:lang w:val="en-GB"/>
        </w:rPr>
        <w:t>reductions in CA configurations to support the use of a reduced number of PAs, e.g. to a single-PA configuration</w:t>
      </w:r>
      <w:r>
        <w:rPr>
          <w:lang w:val="en-GB"/>
        </w:rPr>
        <w:t>.</w:t>
      </w:r>
    </w:p>
    <w:p w14:paraId="016302AC" w14:textId="5BC10B52" w:rsidR="00A17DB7" w:rsidRPr="000C1C27" w:rsidRDefault="001A1FCC" w:rsidP="00A17DB7">
      <w:pPr>
        <w:pStyle w:val="Heading1"/>
        <w:overflowPunct w:val="0"/>
        <w:autoSpaceDE w:val="0"/>
        <w:autoSpaceDN w:val="0"/>
        <w:adjustRightInd w:val="0"/>
        <w:rPr>
          <w:rFonts w:eastAsia="PMingLiU" w:cs="Arial"/>
        </w:rPr>
      </w:pPr>
      <w:r w:rsidRPr="000C1C27">
        <w:rPr>
          <w:rFonts w:eastAsia="PMingLiU" w:cs="Arial"/>
        </w:rPr>
        <w:t>Conc</w:t>
      </w:r>
      <w:r w:rsidR="00A17DB7" w:rsidRPr="000C1C27">
        <w:rPr>
          <w:rFonts w:eastAsia="PMingLiU" w:cs="Arial"/>
        </w:rPr>
        <w:t>l</w:t>
      </w:r>
      <w:r w:rsidRPr="000C1C27">
        <w:rPr>
          <w:rFonts w:eastAsia="PMingLiU" w:cs="Arial"/>
        </w:rPr>
        <w:t>usion</w:t>
      </w:r>
      <w:bookmarkEnd w:id="6"/>
      <w:bookmarkEnd w:id="7"/>
      <w:bookmarkEnd w:id="8"/>
      <w:bookmarkEnd w:id="9"/>
    </w:p>
    <w:p w14:paraId="1A41E325" w14:textId="62BB633D" w:rsidR="001A1FCC" w:rsidRDefault="00BD3B14" w:rsidP="00BD3B14">
      <w:pPr>
        <w:spacing w:after="240"/>
        <w:rPr>
          <w:lang w:val="en-GB" w:eastAsia="en-US"/>
        </w:rPr>
      </w:pPr>
      <w:r>
        <w:rPr>
          <w:lang w:val="en-GB" w:eastAsia="en-US"/>
        </w:rPr>
        <w:t>This document makes the following proposals:</w:t>
      </w:r>
    </w:p>
    <w:p w14:paraId="389F736C" w14:textId="77777777" w:rsidR="00BD3B14" w:rsidRDefault="00BD3B14" w:rsidP="00BD3B14">
      <w:pPr>
        <w:spacing w:after="240"/>
        <w:rPr>
          <w:rFonts w:ascii="Arial" w:hAnsi="Arial" w:cs="Arial"/>
          <w:sz w:val="20"/>
          <w:lang w:val="en-GB"/>
        </w:rPr>
      </w:pPr>
      <w:r>
        <w:rPr>
          <w:rFonts w:ascii="Arial" w:hAnsi="Arial" w:cs="Arial"/>
          <w:b/>
          <w:sz w:val="20"/>
          <w:lang w:val="en-GB"/>
        </w:rPr>
        <w:t>Proposal 1:</w:t>
      </w:r>
      <w:r>
        <w:rPr>
          <w:rFonts w:ascii="Arial" w:hAnsi="Arial" w:cs="Arial"/>
          <w:sz w:val="20"/>
          <w:lang w:val="en-GB"/>
        </w:rPr>
        <w:t xml:space="preserve"> The UE can request a duty cycle reduction as part of the overheating indication.</w:t>
      </w:r>
    </w:p>
    <w:p w14:paraId="581BC31C" w14:textId="77777777" w:rsidR="00BD3B14" w:rsidRPr="000C1C27" w:rsidRDefault="00BD3B14" w:rsidP="00BD3B14">
      <w:pPr>
        <w:spacing w:after="240"/>
        <w:rPr>
          <w:lang w:val="en-GB"/>
        </w:rPr>
      </w:pPr>
      <w:r>
        <w:rPr>
          <w:rFonts w:ascii="Arial" w:hAnsi="Arial" w:cs="Arial"/>
          <w:b/>
          <w:sz w:val="20"/>
          <w:lang w:val="en-GB"/>
        </w:rPr>
        <w:t>Proposal 2:</w:t>
      </w:r>
      <w:r>
        <w:rPr>
          <w:rFonts w:ascii="Arial" w:hAnsi="Arial" w:cs="Arial"/>
          <w:sz w:val="20"/>
          <w:lang w:val="en-GB"/>
        </w:rPr>
        <w:t xml:space="preserve"> It is up to network implementation to determine how to reduce the UE duty cycle according to the request.</w:t>
      </w:r>
    </w:p>
    <w:bookmarkEnd w:id="0"/>
    <w:bookmarkEnd w:id="1"/>
    <w:p w14:paraId="2B043A7C" w14:textId="77777777" w:rsidR="00F02BD1" w:rsidRDefault="00F02BD1" w:rsidP="00F02BD1">
      <w:pPr>
        <w:spacing w:after="240"/>
        <w:rPr>
          <w:lang w:val="en-GB"/>
        </w:rPr>
      </w:pPr>
      <w:r>
        <w:rPr>
          <w:b/>
          <w:lang w:val="en-GB"/>
        </w:rPr>
        <w:t>Proposal 3:</w:t>
      </w:r>
      <w:r>
        <w:rPr>
          <w:lang w:val="en-GB"/>
        </w:rPr>
        <w:t xml:space="preserve"> The UE can request reductions in CA configurations to support the use of a reduced number of PAs, e.g. to a single-PA configuration.</w:t>
      </w:r>
    </w:p>
    <w:p w14:paraId="1CD51B74" w14:textId="71304200" w:rsidR="00A07E02" w:rsidRPr="000C1C27" w:rsidRDefault="007E37A2" w:rsidP="00A07E02">
      <w:pPr>
        <w:pStyle w:val="Heading1"/>
        <w:overflowPunct w:val="0"/>
        <w:autoSpaceDE w:val="0"/>
        <w:autoSpaceDN w:val="0"/>
        <w:adjustRightInd w:val="0"/>
        <w:rPr>
          <w:rFonts w:eastAsia="PMingLiU" w:cs="Arial"/>
        </w:rPr>
      </w:pPr>
      <w:r w:rsidRPr="000C1C27">
        <w:rPr>
          <w:rFonts w:eastAsia="PMingLiU" w:cs="Arial"/>
          <w:lang w:eastAsia="zh-TW"/>
        </w:rPr>
        <w:t>R</w:t>
      </w:r>
      <w:r w:rsidR="00A07E02" w:rsidRPr="000C1C27">
        <w:rPr>
          <w:rFonts w:eastAsia="PMingLiU" w:cs="Arial"/>
        </w:rPr>
        <w:t>eference</w:t>
      </w:r>
      <w:r w:rsidR="00674996" w:rsidRPr="000C1C27">
        <w:rPr>
          <w:rFonts w:eastAsia="PMingLiU" w:cs="Arial"/>
        </w:rPr>
        <w:t>s</w:t>
      </w:r>
    </w:p>
    <w:p w14:paraId="06AE731F" w14:textId="0AFC46C1" w:rsidR="00D0489D" w:rsidRPr="000C1C27" w:rsidRDefault="00101011" w:rsidP="00EB7A17">
      <w:pPr>
        <w:numPr>
          <w:ilvl w:val="0"/>
          <w:numId w:val="10"/>
        </w:numPr>
        <w:overflowPunct w:val="0"/>
        <w:autoSpaceDE w:val="0"/>
        <w:autoSpaceDN w:val="0"/>
        <w:adjustRightInd w:val="0"/>
        <w:spacing w:after="120"/>
        <w:jc w:val="both"/>
        <w:rPr>
          <w:rFonts w:ascii="Arial" w:hAnsi="Arial" w:cs="Arial"/>
          <w:sz w:val="20"/>
          <w:szCs w:val="20"/>
          <w:lang w:val="en-GB"/>
        </w:rPr>
      </w:pPr>
      <w:r w:rsidRPr="000C1C27">
        <w:rPr>
          <w:rFonts w:ascii="Arial" w:hAnsi="Arial" w:cs="Arial"/>
          <w:sz w:val="20"/>
          <w:szCs w:val="20"/>
          <w:lang w:val="en-GB"/>
        </w:rPr>
        <w:t>R</w:t>
      </w:r>
      <w:r w:rsidR="00EB7A17" w:rsidRPr="000C1C27">
        <w:rPr>
          <w:rFonts w:ascii="Arial" w:hAnsi="Arial" w:cs="Arial"/>
          <w:sz w:val="20"/>
          <w:szCs w:val="20"/>
          <w:lang w:val="en-GB"/>
        </w:rPr>
        <w:t>2</w:t>
      </w:r>
      <w:r w:rsidRPr="000C1C27">
        <w:rPr>
          <w:rFonts w:ascii="Arial" w:hAnsi="Arial" w:cs="Arial"/>
          <w:sz w:val="20"/>
          <w:szCs w:val="20"/>
          <w:lang w:val="en-GB"/>
        </w:rPr>
        <w:t>-18</w:t>
      </w:r>
      <w:r w:rsidR="00EB7A17" w:rsidRPr="000C1C27">
        <w:rPr>
          <w:rFonts w:ascii="Arial" w:hAnsi="Arial" w:cs="Arial"/>
          <w:sz w:val="20"/>
          <w:szCs w:val="20"/>
          <w:lang w:val="en-GB"/>
        </w:rPr>
        <w:t>xxxxx</w:t>
      </w:r>
      <w:r w:rsidRPr="000C1C27">
        <w:rPr>
          <w:rFonts w:ascii="Arial" w:hAnsi="Arial" w:cs="Arial"/>
          <w:sz w:val="20"/>
          <w:szCs w:val="20"/>
          <w:lang w:val="en-GB"/>
        </w:rPr>
        <w:t>, “</w:t>
      </w:r>
      <w:r w:rsidR="00EB7A17" w:rsidRPr="000C1C27">
        <w:rPr>
          <w:rFonts w:ascii="Arial" w:hAnsi="Arial" w:cs="Arial"/>
          <w:sz w:val="20"/>
          <w:szCs w:val="20"/>
          <w:lang w:val="en-GB"/>
        </w:rPr>
        <w:t>Email discussion report on [103bis#16][NR] Overheating</w:t>
      </w:r>
      <w:r w:rsidRPr="000C1C27">
        <w:rPr>
          <w:rFonts w:ascii="Arial" w:hAnsi="Arial" w:cs="Arial"/>
          <w:sz w:val="20"/>
          <w:szCs w:val="20"/>
          <w:lang w:val="en-GB"/>
        </w:rPr>
        <w:t xml:space="preserve">”, </w:t>
      </w:r>
      <w:r w:rsidR="00EB7A17" w:rsidRPr="000C1C27">
        <w:rPr>
          <w:rFonts w:ascii="Arial" w:hAnsi="Arial" w:cs="Arial"/>
          <w:sz w:val="20"/>
          <w:szCs w:val="20"/>
          <w:lang w:val="en-GB"/>
        </w:rPr>
        <w:t>Huawei/</w:t>
      </w:r>
      <w:proofErr w:type="spellStart"/>
      <w:r w:rsidR="00EB7A17" w:rsidRPr="000C1C27">
        <w:rPr>
          <w:rFonts w:ascii="Arial" w:hAnsi="Arial" w:cs="Arial"/>
          <w:sz w:val="20"/>
          <w:szCs w:val="20"/>
          <w:lang w:val="en-GB"/>
        </w:rPr>
        <w:t>HiSilicon</w:t>
      </w:r>
      <w:proofErr w:type="spellEnd"/>
      <w:r w:rsidRPr="000C1C27">
        <w:rPr>
          <w:rFonts w:ascii="Arial" w:hAnsi="Arial" w:cs="Arial"/>
          <w:sz w:val="20"/>
          <w:szCs w:val="20"/>
          <w:lang w:val="en-GB"/>
        </w:rPr>
        <w:t>, RAN</w:t>
      </w:r>
      <w:r w:rsidR="00EB7A17" w:rsidRPr="000C1C27">
        <w:rPr>
          <w:rFonts w:ascii="Arial" w:hAnsi="Arial" w:cs="Arial"/>
          <w:sz w:val="20"/>
          <w:szCs w:val="20"/>
          <w:lang w:val="en-GB"/>
        </w:rPr>
        <w:t>2#104</w:t>
      </w:r>
    </w:p>
    <w:p w14:paraId="62128EA8" w14:textId="34498F55" w:rsidR="003D7442" w:rsidRPr="000C1C27" w:rsidRDefault="003D7442" w:rsidP="003D7442">
      <w:pPr>
        <w:numPr>
          <w:ilvl w:val="0"/>
          <w:numId w:val="10"/>
        </w:numPr>
        <w:overflowPunct w:val="0"/>
        <w:autoSpaceDE w:val="0"/>
        <w:autoSpaceDN w:val="0"/>
        <w:adjustRightInd w:val="0"/>
        <w:spacing w:after="120"/>
        <w:jc w:val="both"/>
        <w:rPr>
          <w:rFonts w:ascii="Arial" w:hAnsi="Arial" w:cs="Arial"/>
          <w:sz w:val="20"/>
          <w:szCs w:val="20"/>
          <w:lang w:val="en-GB"/>
        </w:rPr>
      </w:pPr>
      <w:r w:rsidRPr="000C1C27">
        <w:rPr>
          <w:rFonts w:ascii="Arial" w:hAnsi="Arial" w:cs="Arial"/>
          <w:sz w:val="20"/>
          <w:szCs w:val="20"/>
          <w:lang w:val="en-GB"/>
        </w:rPr>
        <w:t xml:space="preserve">R2-1813672, “Temporary capability restriction for UE overheating”, </w:t>
      </w:r>
      <w:proofErr w:type="spellStart"/>
      <w:r w:rsidRPr="000C1C27">
        <w:rPr>
          <w:rFonts w:ascii="Arial" w:hAnsi="Arial" w:cs="Arial"/>
          <w:sz w:val="20"/>
          <w:szCs w:val="20"/>
          <w:lang w:val="en-GB"/>
        </w:rPr>
        <w:t>MediaTek</w:t>
      </w:r>
      <w:proofErr w:type="spellEnd"/>
      <w:r w:rsidRPr="000C1C27">
        <w:rPr>
          <w:rFonts w:ascii="Arial" w:hAnsi="Arial" w:cs="Arial"/>
          <w:sz w:val="20"/>
          <w:szCs w:val="20"/>
          <w:lang w:val="en-GB"/>
        </w:rPr>
        <w:t xml:space="preserve"> Inc., RAN2#103bis</w:t>
      </w:r>
    </w:p>
    <w:sectPr w:rsidR="003D7442" w:rsidRPr="000C1C27"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F9953" w14:textId="77777777" w:rsidR="007D39FB" w:rsidRDefault="007D39FB">
      <w:pPr>
        <w:pStyle w:val="TAL"/>
      </w:pPr>
      <w:r>
        <w:separator/>
      </w:r>
    </w:p>
  </w:endnote>
  <w:endnote w:type="continuationSeparator" w:id="0">
    <w:p w14:paraId="19CB12D0" w14:textId="77777777" w:rsidR="007D39FB" w:rsidRDefault="007D39F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7955CD">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582AE" w14:textId="77777777" w:rsidR="007D39FB" w:rsidRDefault="007D39FB">
      <w:pPr>
        <w:pStyle w:val="TAL"/>
      </w:pPr>
      <w:r>
        <w:separator/>
      </w:r>
    </w:p>
  </w:footnote>
  <w:footnote w:type="continuationSeparator" w:id="0">
    <w:p w14:paraId="2FFD2226" w14:textId="77777777" w:rsidR="007D39FB" w:rsidRDefault="007D39F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10"/>
  </w:num>
  <w:num w:numId="4">
    <w:abstractNumId w:val="7"/>
  </w:num>
  <w:num w:numId="5">
    <w:abstractNumId w:val="4"/>
  </w:num>
  <w:num w:numId="6">
    <w:abstractNumId w:val="3"/>
  </w:num>
  <w:num w:numId="7">
    <w:abstractNumId w:val="15"/>
  </w:num>
  <w:num w:numId="8">
    <w:abstractNumId w:val="14"/>
  </w:num>
  <w:num w:numId="9">
    <w:abstractNumId w:val="0"/>
  </w:num>
  <w:num w:numId="10">
    <w:abstractNumId w:val="2"/>
  </w:num>
  <w:num w:numId="11">
    <w:abstractNumId w:val="9"/>
  </w:num>
  <w:num w:numId="12">
    <w:abstractNumId w:val="13"/>
  </w:num>
  <w:num w:numId="13">
    <w:abstractNumId w:val="12"/>
  </w:num>
  <w:num w:numId="14">
    <w:abstractNumId w:val="1"/>
  </w:num>
  <w:num w:numId="15">
    <w:abstractNumId w:val="8"/>
  </w:num>
  <w:num w:numId="16">
    <w:abstractNumId w:val="5"/>
  </w:num>
  <w:num w:numId="1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1C2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0AD"/>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BFF"/>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55CD"/>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A7E54"/>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9FB"/>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B1A"/>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3B14"/>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57B"/>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600"/>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23D"/>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DAA"/>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D1"/>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D44377-FDEE-466F-932D-9949596BF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485</Words>
  <Characters>3129</Characters>
  <Application>Microsoft Office Word</Application>
  <DocSecurity>0</DocSecurity>
  <Lines>59</Lines>
  <Paragraphs>30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2007-12-21T04:58:00Z</cp:lastPrinted>
  <dcterms:created xsi:type="dcterms:W3CDTF">2018-11-02T02:28:00Z</dcterms:created>
  <dcterms:modified xsi:type="dcterms:W3CDTF">2018-11-02T02:28:00Z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