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25A21E44"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F94C2F">
        <w:rPr>
          <w:rFonts w:ascii="Arial" w:hAnsi="Arial" w:cs="Arial"/>
          <w:b/>
          <w:bCs/>
          <w:sz w:val="24"/>
          <w:lang w:val="en-US"/>
        </w:rPr>
        <w:t>10</w:t>
      </w:r>
      <w:r w:rsidR="004F66E4">
        <w:rPr>
          <w:rFonts w:ascii="Arial" w:hAnsi="Arial" w:cs="Arial"/>
          <w:b/>
          <w:bCs/>
          <w:sz w:val="24"/>
          <w:lang w:val="en-US"/>
        </w:rPr>
        <w:t>4</w:t>
      </w:r>
      <w:r w:rsidR="00A471CA" w:rsidRPr="00AB2C58">
        <w:rPr>
          <w:rFonts w:ascii="Arial" w:hAnsi="Arial" w:cs="Arial" w:hint="eastAsia"/>
          <w:b/>
          <w:bCs/>
          <w:sz w:val="24"/>
          <w:lang w:val="en-US"/>
        </w:rPr>
        <w:t xml:space="preserve">                                       </w:t>
      </w:r>
      <w:r w:rsidR="00DF747C">
        <w:rPr>
          <w:rFonts w:ascii="Arial" w:hAnsi="Arial" w:cs="Arial"/>
          <w:b/>
          <w:bCs/>
          <w:sz w:val="24"/>
          <w:lang w:val="en-US"/>
        </w:rPr>
        <w:t xml:space="preserve">                         </w:t>
      </w:r>
      <w:r w:rsidR="004F66E4">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w:t>
      </w:r>
      <w:r w:rsidR="0013736D" w:rsidRPr="00BF01E1">
        <w:rPr>
          <w:rFonts w:ascii="Arial" w:hAnsi="Arial" w:cs="Arial"/>
          <w:b/>
          <w:bCs/>
          <w:sz w:val="24"/>
          <w:lang w:val="en-US"/>
        </w:rPr>
        <w:t>1</w:t>
      </w:r>
      <w:r w:rsidR="0013736D">
        <w:rPr>
          <w:rFonts w:ascii="Arial" w:hAnsi="Arial" w:cs="Arial"/>
          <w:b/>
          <w:bCs/>
          <w:sz w:val="24"/>
          <w:lang w:val="en-US"/>
        </w:rPr>
        <w:t>81</w:t>
      </w:r>
      <w:r w:rsidR="005C0472" w:rsidRPr="005C0472">
        <w:rPr>
          <w:rFonts w:ascii="Arial" w:hAnsi="Arial" w:cs="Arial"/>
          <w:b/>
          <w:bCs/>
          <w:sz w:val="24"/>
          <w:lang w:val="en-US"/>
        </w:rPr>
        <w:t>6771</w:t>
      </w:r>
    </w:p>
    <w:p w14:paraId="53AB738C" w14:textId="77DEADA8" w:rsidR="00A471CA" w:rsidRPr="00AB2C58" w:rsidRDefault="0013736D" w:rsidP="00FA0065">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Spokane</w:t>
      </w:r>
      <w:r w:rsidR="007B46B6">
        <w:rPr>
          <w:rFonts w:ascii="Arial" w:hAnsi="Arial" w:cs="Arial"/>
          <w:b/>
          <w:bCs/>
          <w:sz w:val="24"/>
          <w:lang w:val="en-US"/>
        </w:rPr>
        <w:t xml:space="preserve">, </w:t>
      </w:r>
      <w:r>
        <w:rPr>
          <w:rFonts w:ascii="Arial" w:hAnsi="Arial" w:cs="Arial"/>
          <w:b/>
          <w:bCs/>
          <w:sz w:val="24"/>
          <w:lang w:val="en-US"/>
        </w:rPr>
        <w:t>USA</w:t>
      </w:r>
      <w:r w:rsidR="007B46B6">
        <w:rPr>
          <w:rFonts w:ascii="Arial" w:hAnsi="Arial" w:cs="Arial"/>
          <w:b/>
          <w:bCs/>
          <w:sz w:val="24"/>
          <w:lang w:val="en-US"/>
        </w:rPr>
        <w:t xml:space="preserve">, </w:t>
      </w:r>
      <w:r w:rsidR="004F66E4">
        <w:rPr>
          <w:rFonts w:ascii="Arial" w:hAnsi="Arial" w:cs="Arial"/>
          <w:b/>
          <w:bCs/>
          <w:sz w:val="24"/>
          <w:lang w:val="en-US"/>
        </w:rPr>
        <w:t xml:space="preserve">12th </w:t>
      </w:r>
      <w:r w:rsidR="00DF747C">
        <w:rPr>
          <w:rFonts w:ascii="Arial" w:hAnsi="Arial" w:cs="Arial"/>
          <w:b/>
          <w:bCs/>
          <w:sz w:val="24"/>
          <w:lang w:val="en-US"/>
        </w:rPr>
        <w:t xml:space="preserve">– </w:t>
      </w:r>
      <w:r w:rsidR="004F66E4">
        <w:rPr>
          <w:rFonts w:ascii="Arial" w:hAnsi="Arial" w:cs="Arial"/>
          <w:b/>
          <w:bCs/>
          <w:sz w:val="24"/>
          <w:lang w:val="en-US"/>
        </w:rPr>
        <w:t xml:space="preserve">16th November </w:t>
      </w:r>
      <w:r w:rsidR="00DF747C">
        <w:rPr>
          <w:rFonts w:ascii="Arial" w:hAnsi="Arial" w:cs="Arial"/>
          <w:b/>
          <w:bCs/>
          <w:sz w:val="24"/>
          <w:lang w:val="en-US"/>
        </w:rPr>
        <w:t>2018</w:t>
      </w:r>
      <w:r w:rsidR="00FA0065">
        <w:rPr>
          <w:rFonts w:ascii="Arial" w:hAnsi="Arial" w:cs="Arial"/>
          <w:b/>
          <w:bCs/>
          <w:sz w:val="24"/>
          <w:lang w:val="en-US"/>
        </w:rPr>
        <w:tab/>
        <w:t xml:space="preserve">                                                      </w:t>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1199FB68"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19110C">
        <w:rPr>
          <w:rFonts w:ascii="Arial" w:hAnsi="Arial" w:cs="Arial"/>
          <w:b/>
          <w:sz w:val="24"/>
          <w:lang w:val="en-US"/>
        </w:rPr>
        <w:t>11</w:t>
      </w:r>
      <w:r w:rsidR="00364F42">
        <w:rPr>
          <w:rFonts w:ascii="Arial" w:hAnsi="Arial" w:cs="Arial"/>
          <w:b/>
          <w:sz w:val="24"/>
          <w:lang w:val="en-US"/>
        </w:rPr>
        <w:t>.</w:t>
      </w:r>
      <w:r w:rsidR="00B13CE1">
        <w:rPr>
          <w:rFonts w:ascii="Arial" w:hAnsi="Arial" w:cs="Arial"/>
          <w:b/>
          <w:sz w:val="24"/>
          <w:lang w:val="en-US"/>
        </w:rPr>
        <w:t>4</w:t>
      </w:r>
      <w:r w:rsidR="00364F42">
        <w:rPr>
          <w:rFonts w:ascii="Arial" w:hAnsi="Arial" w:cs="Arial"/>
          <w:b/>
          <w:sz w:val="24"/>
          <w:lang w:val="en-US"/>
        </w:rPr>
        <w:t>.</w:t>
      </w:r>
      <w:r w:rsidR="000B1016">
        <w:rPr>
          <w:rFonts w:ascii="Arial" w:hAnsi="Arial" w:cs="Arial"/>
          <w:b/>
          <w:sz w:val="24"/>
          <w:lang w:val="en-US"/>
        </w:rPr>
        <w:t>2</w:t>
      </w:r>
      <w:r w:rsidR="007A42B5">
        <w:rPr>
          <w:rFonts w:ascii="Arial" w:hAnsi="Arial" w:cs="Arial"/>
          <w:b/>
          <w:sz w:val="24"/>
          <w:lang w:val="en-US"/>
        </w:rPr>
        <w:t>.4</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61B73EB1"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D1414E">
        <w:rPr>
          <w:rFonts w:ascii="Arial" w:hAnsi="Arial" w:cs="Arial"/>
          <w:b/>
          <w:sz w:val="24"/>
          <w:lang w:val="en-US"/>
        </w:rPr>
        <w:t xml:space="preserve">On </w:t>
      </w:r>
      <w:r w:rsidR="0047396D">
        <w:rPr>
          <w:rFonts w:ascii="Arial" w:hAnsi="Arial" w:cs="Arial"/>
          <w:b/>
          <w:sz w:val="24"/>
          <w:lang w:val="en-US"/>
        </w:rPr>
        <w:t>NR V2X Resource Allocation</w:t>
      </w:r>
    </w:p>
    <w:p w14:paraId="5BA5B296" w14:textId="057544F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 xml:space="preserve">Discussion </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22E7D0F" w14:textId="491D5B37" w:rsidR="0047396D" w:rsidRPr="0047396D" w:rsidRDefault="00E20709" w:rsidP="0047396D">
      <w:pPr>
        <w:pStyle w:val="3GPPNormalText"/>
      </w:pPr>
      <w:r>
        <w:t xml:space="preserve">NR V2X will be designed to </w:t>
      </w:r>
      <w:r w:rsidR="0047396D">
        <w:t xml:space="preserve">target </w:t>
      </w:r>
      <w:r>
        <w:t>the</w:t>
      </w:r>
      <w:r w:rsidR="0047396D">
        <w:t xml:space="preserve"> new advanced driving uses case groups including </w:t>
      </w:r>
      <w:r w:rsidR="008A46F6">
        <w:t>v</w:t>
      </w:r>
      <w:r w:rsidR="0047396D">
        <w:t xml:space="preserve">ehicle </w:t>
      </w:r>
      <w:r w:rsidR="008A46F6">
        <w:t>p</w:t>
      </w:r>
      <w:r w:rsidR="0047396D">
        <w:t xml:space="preserve">latooning, </w:t>
      </w:r>
      <w:r w:rsidR="008A46F6">
        <w:t>e</w:t>
      </w:r>
      <w:r w:rsidR="0047396D">
        <w:t xml:space="preserve">xtended </w:t>
      </w:r>
      <w:r w:rsidR="008A46F6">
        <w:t>s</w:t>
      </w:r>
      <w:r w:rsidR="0047396D">
        <w:t xml:space="preserve">ensors, </w:t>
      </w:r>
      <w:r w:rsidR="008A46F6">
        <w:t>a</w:t>
      </w:r>
      <w:r w:rsidR="0047396D">
        <w:t xml:space="preserve">dvanced </w:t>
      </w:r>
      <w:r w:rsidR="008A46F6">
        <w:t>d</w:t>
      </w:r>
      <w:r w:rsidR="0047396D">
        <w:t xml:space="preserve">riving and </w:t>
      </w:r>
      <w:r w:rsidR="008A46F6">
        <w:t>r</w:t>
      </w:r>
      <w:r w:rsidR="0047396D">
        <w:t xml:space="preserve">emote </w:t>
      </w:r>
      <w:r w:rsidR="008A46F6">
        <w:t>d</w:t>
      </w:r>
      <w:r w:rsidR="0047396D">
        <w:t>riving [1]</w:t>
      </w:r>
      <w:r>
        <w:t xml:space="preserve">. </w:t>
      </w:r>
      <w:r w:rsidR="00FA0065">
        <w:t>During the RAN#</w:t>
      </w:r>
      <w:r w:rsidR="0019789E">
        <w:t>80</w:t>
      </w:r>
      <w:r w:rsidR="00FA0065">
        <w:t xml:space="preserve"> meeting, the </w:t>
      </w:r>
      <w:r w:rsidR="0019789E">
        <w:t>NR study item on NR V2X</w:t>
      </w:r>
      <w:r w:rsidR="00CF7FE2">
        <w:t xml:space="preserve"> [2]</w:t>
      </w:r>
      <w:r w:rsidR="0019789E">
        <w:t xml:space="preserve"> was approved and the following objectives with respect to </w:t>
      </w:r>
      <w:r w:rsidR="00CB60C3">
        <w:t xml:space="preserve">sidelink (SL) </w:t>
      </w:r>
      <w:r w:rsidR="0019789E">
        <w:t xml:space="preserve">resource allocation were </w:t>
      </w:r>
      <w:r w:rsidR="00D1414E">
        <w:t>identified</w:t>
      </w:r>
      <w:r w:rsidR="00FA0065">
        <w:t>:</w:t>
      </w:r>
    </w:p>
    <w:tbl>
      <w:tblPr>
        <w:tblStyle w:val="TableGrid"/>
        <w:tblW w:w="0" w:type="auto"/>
        <w:tblLook w:val="04A0" w:firstRow="1" w:lastRow="0" w:firstColumn="1" w:lastColumn="0" w:noHBand="0" w:noVBand="1"/>
      </w:tblPr>
      <w:tblGrid>
        <w:gridCol w:w="9962"/>
      </w:tblGrid>
      <w:tr w:rsidR="0047396D" w14:paraId="605240A4" w14:textId="77777777" w:rsidTr="0047396D">
        <w:tc>
          <w:tcPr>
            <w:tcW w:w="9962" w:type="dxa"/>
          </w:tcPr>
          <w:p w14:paraId="460A523E" w14:textId="77777777" w:rsidR="0019789E" w:rsidRPr="009A1B2F" w:rsidRDefault="0019789E" w:rsidP="0019789E">
            <w:pPr>
              <w:pStyle w:val="3GPPNormalText"/>
              <w:rPr>
                <w:szCs w:val="22"/>
                <w:lang w:val="en-GB"/>
              </w:rPr>
            </w:pPr>
            <w:r w:rsidRPr="009A1B2F">
              <w:rPr>
                <w:szCs w:val="22"/>
                <w:lang w:val="en-GB"/>
              </w:rPr>
              <w:t>1: Sidelink design [RAN1, RAN2]:</w:t>
            </w:r>
          </w:p>
          <w:p w14:paraId="1501F915" w14:textId="62AABC0D" w:rsidR="0019789E" w:rsidRPr="009A1B2F" w:rsidRDefault="0019789E" w:rsidP="0019789E">
            <w:pPr>
              <w:pStyle w:val="3GPPNormalText"/>
              <w:numPr>
                <w:ilvl w:val="0"/>
                <w:numId w:val="28"/>
              </w:numPr>
              <w:rPr>
                <w:szCs w:val="22"/>
                <w:lang w:val="en-GB"/>
              </w:rPr>
            </w:pPr>
            <w:r w:rsidRPr="009A1B2F">
              <w:rPr>
                <w:szCs w:val="22"/>
                <w:lang w:val="en-GB"/>
              </w:rPr>
              <w:t xml:space="preserve">Identify technical solutions for a NR sidelink design to meet the requirements of advanced V2X services, including </w:t>
            </w:r>
          </w:p>
          <w:p w14:paraId="07BD44F8" w14:textId="227CC9FE" w:rsidR="0019789E" w:rsidRPr="009A1B2F" w:rsidRDefault="0019789E" w:rsidP="0019789E">
            <w:pPr>
              <w:pStyle w:val="3GPPNormalText"/>
              <w:numPr>
                <w:ilvl w:val="1"/>
                <w:numId w:val="28"/>
              </w:numPr>
              <w:rPr>
                <w:szCs w:val="22"/>
                <w:lang w:val="en-GB"/>
              </w:rPr>
            </w:pPr>
            <w:r w:rsidRPr="009A1B2F">
              <w:rPr>
                <w:szCs w:val="22"/>
                <w:lang w:val="en-GB"/>
              </w:rPr>
              <w:t>Study the support of sidelink unicast, sidelink groupcast and sidelink broadcast</w:t>
            </w:r>
          </w:p>
          <w:p w14:paraId="030B8343" w14:textId="5C8CF98E" w:rsidR="0019789E" w:rsidRPr="009A1B2F" w:rsidRDefault="0019789E" w:rsidP="0019789E">
            <w:pPr>
              <w:pStyle w:val="3GPPNormalText"/>
              <w:numPr>
                <w:ilvl w:val="1"/>
                <w:numId w:val="28"/>
              </w:numPr>
              <w:rPr>
                <w:szCs w:val="22"/>
                <w:lang w:val="en-GB"/>
              </w:rPr>
            </w:pPr>
            <w:r w:rsidRPr="009A1B2F">
              <w:rPr>
                <w:szCs w:val="22"/>
                <w:lang w:val="en-GB"/>
              </w:rPr>
              <w:t>Study NR sidelink physical layer structures and procedure(s)</w:t>
            </w:r>
          </w:p>
          <w:p w14:paraId="6BB75869" w14:textId="274E977A" w:rsidR="0019789E" w:rsidRPr="009A1B2F" w:rsidRDefault="0019789E" w:rsidP="0019789E">
            <w:pPr>
              <w:pStyle w:val="3GPPNormalText"/>
              <w:numPr>
                <w:ilvl w:val="1"/>
                <w:numId w:val="28"/>
              </w:numPr>
              <w:rPr>
                <w:szCs w:val="22"/>
                <w:lang w:val="en-GB"/>
              </w:rPr>
            </w:pPr>
            <w:r w:rsidRPr="009A1B2F">
              <w:rPr>
                <w:szCs w:val="22"/>
                <w:lang w:val="en-GB"/>
              </w:rPr>
              <w:t>Study sidelink synchronization mechanism</w:t>
            </w:r>
          </w:p>
          <w:p w14:paraId="73C7A164" w14:textId="0D15E376" w:rsidR="0019789E" w:rsidRPr="009A1B2F" w:rsidRDefault="0019789E" w:rsidP="0019789E">
            <w:pPr>
              <w:pStyle w:val="3GPPNormalText"/>
              <w:numPr>
                <w:ilvl w:val="1"/>
                <w:numId w:val="28"/>
              </w:numPr>
              <w:rPr>
                <w:b/>
                <w:szCs w:val="22"/>
                <w:lang w:val="en-GB"/>
              </w:rPr>
            </w:pPr>
            <w:r w:rsidRPr="009A1B2F">
              <w:rPr>
                <w:b/>
                <w:szCs w:val="22"/>
                <w:lang w:val="en-GB"/>
              </w:rPr>
              <w:t>Study sidelink resource allocation mechanism (also including objective 3)</w:t>
            </w:r>
          </w:p>
          <w:p w14:paraId="4C8763CD" w14:textId="1BC3EBED" w:rsidR="0019789E" w:rsidRPr="009A1B2F" w:rsidRDefault="0019789E" w:rsidP="0019789E">
            <w:pPr>
              <w:pStyle w:val="3GPPNormalText"/>
              <w:numPr>
                <w:ilvl w:val="1"/>
                <w:numId w:val="28"/>
              </w:numPr>
              <w:rPr>
                <w:b/>
                <w:szCs w:val="22"/>
                <w:lang w:val="en-GB"/>
              </w:rPr>
            </w:pPr>
            <w:r w:rsidRPr="009A1B2F">
              <w:rPr>
                <w:b/>
                <w:szCs w:val="22"/>
                <w:lang w:val="en-GB"/>
              </w:rPr>
              <w:t>Study sidelink L2/L3 protocols</w:t>
            </w:r>
          </w:p>
          <w:p w14:paraId="010C8DA9" w14:textId="77777777" w:rsidR="0019789E" w:rsidRPr="009A1B2F" w:rsidRDefault="0019789E" w:rsidP="0019789E">
            <w:pPr>
              <w:pStyle w:val="3GPPNormalText"/>
              <w:rPr>
                <w:szCs w:val="22"/>
                <w:lang w:val="en-GB"/>
              </w:rPr>
            </w:pPr>
            <w:r w:rsidRPr="009A1B2F">
              <w:rPr>
                <w:szCs w:val="22"/>
                <w:lang w:val="en-GB"/>
              </w:rPr>
              <w:t>NOTE: Only the performance of advanced V2X use cases will be evaluated in the design of NR sidelink.</w:t>
            </w:r>
          </w:p>
          <w:p w14:paraId="57C94B15" w14:textId="15F3D9BC" w:rsidR="0047396D" w:rsidRPr="00D80B49" w:rsidRDefault="0019789E" w:rsidP="00D80B49">
            <w:pPr>
              <w:pStyle w:val="3GPPNormalText"/>
              <w:rPr>
                <w:b/>
                <w:sz w:val="24"/>
                <w:lang w:val="en-GB"/>
              </w:rPr>
            </w:pPr>
            <w:r w:rsidRPr="009A1B2F">
              <w:rPr>
                <w:b/>
                <w:szCs w:val="22"/>
                <w:lang w:val="en-GB"/>
              </w:rPr>
              <w:t>3: Uu-based sidelink resource allocation/configuration (LTE V2X Mode3-like and Mode4-like) [RAN1, RAN2]</w:t>
            </w:r>
          </w:p>
        </w:tc>
      </w:tr>
    </w:tbl>
    <w:p w14:paraId="1030D76C" w14:textId="77777777" w:rsidR="0079498A" w:rsidRDefault="0079498A" w:rsidP="002422F6">
      <w:pPr>
        <w:pStyle w:val="3GPPNormalText"/>
      </w:pPr>
    </w:p>
    <w:p w14:paraId="04CB59A7" w14:textId="7E0C7203" w:rsidR="0013736D" w:rsidRDefault="0013736D" w:rsidP="002422F6">
      <w:pPr>
        <w:pStyle w:val="3GPPNormalText"/>
      </w:pPr>
      <w:r>
        <w:t>During the RAN2#103bis meeting</w:t>
      </w:r>
      <w:r w:rsidR="004F66E4">
        <w:t xml:space="preserve"> [3]</w:t>
      </w:r>
      <w:r>
        <w:t>, the following agreements were made:</w:t>
      </w:r>
    </w:p>
    <w:tbl>
      <w:tblPr>
        <w:tblStyle w:val="TableGrid"/>
        <w:tblW w:w="0" w:type="auto"/>
        <w:tblLook w:val="04A0" w:firstRow="1" w:lastRow="0" w:firstColumn="1" w:lastColumn="0" w:noHBand="0" w:noVBand="1"/>
      </w:tblPr>
      <w:tblGrid>
        <w:gridCol w:w="9962"/>
      </w:tblGrid>
      <w:tr w:rsidR="0013736D" w14:paraId="51575033" w14:textId="77777777" w:rsidTr="0013736D">
        <w:tc>
          <w:tcPr>
            <w:tcW w:w="9962" w:type="dxa"/>
          </w:tcPr>
          <w:p w14:paraId="22A0E80F" w14:textId="77777777" w:rsidR="0013736D" w:rsidRDefault="0013736D" w:rsidP="0013736D">
            <w:pPr>
              <w:pStyle w:val="3GPPNormalText"/>
            </w:pPr>
            <w:r>
              <w:t xml:space="preserve">1: </w:t>
            </w:r>
            <w:r w:rsidRPr="00290DBD">
              <w:rPr>
                <w:b/>
              </w:rPr>
              <w:t>Unicast, groupcast, and broadcast should be supported for all of the in-coverage, out-of-coverage, and partial coverage scenarios</w:t>
            </w:r>
            <w:r>
              <w:t>.</w:t>
            </w:r>
          </w:p>
          <w:p w14:paraId="11F3536E" w14:textId="77777777" w:rsidR="0013736D" w:rsidRDefault="0013736D" w:rsidP="0013736D">
            <w:pPr>
              <w:pStyle w:val="3GPPNormalText"/>
            </w:pPr>
            <w:r>
              <w:t>2:</w:t>
            </w:r>
            <w:r>
              <w:tab/>
            </w:r>
            <w:r w:rsidRPr="00290DBD">
              <w:rPr>
                <w:b/>
              </w:rPr>
              <w:t>RAN2 to study the potential L2 solutions for the QoS support of unicast and groupcast in NR sidelink (including HARQ feedback, ARQ (if RLC AM is supported), PDCP packet duplication, configured grants, etc.).</w:t>
            </w:r>
            <w:r>
              <w:t xml:space="preserve"> </w:t>
            </w:r>
          </w:p>
          <w:p w14:paraId="3ED45D7B" w14:textId="7CA5A47C" w:rsidR="0013736D" w:rsidRDefault="0013736D" w:rsidP="0013736D">
            <w:pPr>
              <w:pStyle w:val="3GPPNormalText"/>
            </w:pPr>
            <w:r>
              <w:t xml:space="preserve">3: </w:t>
            </w:r>
            <w:r>
              <w:tab/>
              <w:t xml:space="preserve">RAN2 Working Assumption: </w:t>
            </w:r>
            <w:r w:rsidR="00491835">
              <w:t>Upper</w:t>
            </w:r>
            <w:r>
              <w:t xml:space="preserve"> layer will give the information if it’s unicast, groupcast or broadcast (We will ask SA2 if they can provide it).</w:t>
            </w:r>
          </w:p>
          <w:p w14:paraId="74130C33" w14:textId="77777777" w:rsidR="0013736D" w:rsidRDefault="0013736D" w:rsidP="0013736D">
            <w:pPr>
              <w:pStyle w:val="3GPPNormalText"/>
            </w:pPr>
            <w:r>
              <w:t xml:space="preserve">4: </w:t>
            </w:r>
            <w:r>
              <w:tab/>
              <w:t>For groupcast, destination ID for a specific group and for unicast, destination ID for the target UE need to be visible in Layer 2 respectively. Source UE id should be also visible to Layer 2.</w:t>
            </w:r>
          </w:p>
          <w:p w14:paraId="304139E8" w14:textId="19C7FC89" w:rsidR="0013736D" w:rsidRDefault="0013736D" w:rsidP="0013736D">
            <w:pPr>
              <w:pStyle w:val="3GPPNormalText"/>
            </w:pPr>
            <w:r>
              <w:t>5:</w:t>
            </w:r>
            <w:r>
              <w:tab/>
              <w:t>For unicast/groupcast in NR sidelink, discovery procedure and related messages are up to upper layers.</w:t>
            </w:r>
          </w:p>
        </w:tc>
      </w:tr>
    </w:tbl>
    <w:p w14:paraId="3B5E766B" w14:textId="77777777" w:rsidR="0013736D" w:rsidRDefault="0013736D" w:rsidP="002422F6">
      <w:pPr>
        <w:pStyle w:val="3GPPNormalText"/>
      </w:pPr>
    </w:p>
    <w:p w14:paraId="47C43180" w14:textId="23D5D79F" w:rsidR="005E5982" w:rsidRDefault="00635D54" w:rsidP="002422F6">
      <w:pPr>
        <w:pStyle w:val="3GPPNormalText"/>
      </w:pPr>
      <w:r>
        <w:lastRenderedPageBreak/>
        <w:t>This</w:t>
      </w:r>
      <w:r w:rsidR="002E2ADA">
        <w:t xml:space="preserve"> </w:t>
      </w:r>
      <w:r>
        <w:t xml:space="preserve">contribution </w:t>
      </w:r>
      <w:r w:rsidR="001943AF">
        <w:t>discusses</w:t>
      </w:r>
      <w:r w:rsidR="0047396D">
        <w:t xml:space="preserve"> </w:t>
      </w:r>
      <w:r w:rsidR="00745EB9">
        <w:t xml:space="preserve">some of the </w:t>
      </w:r>
      <w:r w:rsidR="0047396D">
        <w:t xml:space="preserve">key issues </w:t>
      </w:r>
      <w:r w:rsidR="000B1016">
        <w:t xml:space="preserve">related to the </w:t>
      </w:r>
      <w:r w:rsidR="0047396D">
        <w:t>design</w:t>
      </w:r>
      <w:r w:rsidR="000B1016">
        <w:t xml:space="preserve"> of </w:t>
      </w:r>
      <w:r w:rsidR="0047396D">
        <w:t>resource allocation mechanisms for NR V2X</w:t>
      </w:r>
      <w:r w:rsidR="00955335">
        <w:t>.</w:t>
      </w:r>
      <w:r w:rsidR="004F66E4">
        <w:t xml:space="preserve"> </w:t>
      </w:r>
    </w:p>
    <w:p w14:paraId="5DBDB5F1" w14:textId="77777777" w:rsidR="008B1B81" w:rsidRDefault="008B1B81" w:rsidP="002422F6">
      <w:pPr>
        <w:pStyle w:val="3GPPNormalText"/>
      </w:pPr>
    </w:p>
    <w:p w14:paraId="4496EFF0" w14:textId="319AD7F1" w:rsidR="00E94905" w:rsidRDefault="00955457" w:rsidP="00E94905">
      <w:pPr>
        <w:pStyle w:val="Heading1"/>
        <w:rPr>
          <w:lang w:val="en-US"/>
        </w:rPr>
      </w:pPr>
      <w:bookmarkStart w:id="0" w:name="OLE_LINK15"/>
      <w:bookmarkStart w:id="1" w:name="OLE_LINK16"/>
      <w:r>
        <w:rPr>
          <w:lang w:val="en-US"/>
        </w:rPr>
        <w:t>Resource Allocation</w:t>
      </w:r>
      <w:r w:rsidR="00CF423D">
        <w:rPr>
          <w:lang w:val="en-US"/>
        </w:rPr>
        <w:t xml:space="preserve"> for </w:t>
      </w:r>
      <w:r w:rsidR="0097412A">
        <w:rPr>
          <w:lang w:val="en-US"/>
        </w:rPr>
        <w:t>A</w:t>
      </w:r>
      <w:r w:rsidR="00CF423D">
        <w:rPr>
          <w:lang w:val="en-US"/>
        </w:rPr>
        <w:t xml:space="preserve">dvanced V2X </w:t>
      </w:r>
      <w:r w:rsidR="0097412A">
        <w:rPr>
          <w:lang w:val="en-US"/>
        </w:rPr>
        <w:t>Services</w:t>
      </w:r>
    </w:p>
    <w:p w14:paraId="268B732F" w14:textId="2F24E0AB" w:rsidR="005E5982" w:rsidRDefault="004827A9" w:rsidP="009E7780">
      <w:pPr>
        <w:jc w:val="both"/>
        <w:rPr>
          <w:sz w:val="22"/>
          <w:szCs w:val="22"/>
          <w:lang w:val="en-US"/>
        </w:rPr>
      </w:pPr>
      <w:r w:rsidRPr="00136F35">
        <w:rPr>
          <w:sz w:val="22"/>
          <w:szCs w:val="22"/>
          <w:lang w:val="en-US"/>
        </w:rPr>
        <w:t xml:space="preserve">It has been identified that the </w:t>
      </w:r>
      <w:r w:rsidR="009E7780" w:rsidRPr="00136F35">
        <w:rPr>
          <w:sz w:val="22"/>
          <w:szCs w:val="22"/>
          <w:lang w:val="en-US"/>
        </w:rPr>
        <w:t xml:space="preserve">next iteration of </w:t>
      </w:r>
      <w:r w:rsidRPr="00136F35">
        <w:rPr>
          <w:sz w:val="22"/>
          <w:szCs w:val="22"/>
          <w:lang w:val="en-US"/>
        </w:rPr>
        <w:t xml:space="preserve">V2X applications require the support of </w:t>
      </w:r>
      <w:r w:rsidR="009E7780" w:rsidRPr="00136F35">
        <w:rPr>
          <w:sz w:val="22"/>
          <w:szCs w:val="22"/>
          <w:lang w:val="en-US"/>
        </w:rPr>
        <w:t xml:space="preserve">four key </w:t>
      </w:r>
      <w:r w:rsidRPr="00136F35">
        <w:rPr>
          <w:sz w:val="22"/>
          <w:szCs w:val="22"/>
          <w:lang w:val="en-US"/>
        </w:rPr>
        <w:t>advanced driving use case groups</w:t>
      </w:r>
      <w:r w:rsidR="00832197">
        <w:rPr>
          <w:sz w:val="22"/>
          <w:szCs w:val="22"/>
          <w:lang w:val="en-US"/>
        </w:rPr>
        <w:t xml:space="preserve"> (</w:t>
      </w:r>
      <w:r w:rsidR="00832197" w:rsidRPr="00660347">
        <w:rPr>
          <w:sz w:val="22"/>
          <w:szCs w:val="22"/>
          <w:lang w:val="en-US"/>
        </w:rPr>
        <w:t>vehicle platooning, extended sensors, advanced driving and remote driving</w:t>
      </w:r>
      <w:r w:rsidR="00832197">
        <w:rPr>
          <w:sz w:val="22"/>
          <w:szCs w:val="22"/>
          <w:lang w:val="en-US"/>
        </w:rPr>
        <w:t>)</w:t>
      </w:r>
      <w:r w:rsidRPr="00136F35">
        <w:rPr>
          <w:sz w:val="22"/>
          <w:szCs w:val="22"/>
          <w:lang w:val="en-US"/>
        </w:rPr>
        <w:t xml:space="preserve"> and therefore the capabilities</w:t>
      </w:r>
      <w:r w:rsidR="009E7780" w:rsidRPr="00136F35">
        <w:rPr>
          <w:sz w:val="22"/>
          <w:szCs w:val="22"/>
          <w:lang w:val="en-US"/>
        </w:rPr>
        <w:t xml:space="preserve"> of the </w:t>
      </w:r>
      <w:r w:rsidR="00290DBD">
        <w:rPr>
          <w:sz w:val="22"/>
          <w:szCs w:val="22"/>
          <w:lang w:val="en-US"/>
        </w:rPr>
        <w:t xml:space="preserve">NR </w:t>
      </w:r>
      <w:r w:rsidR="009E7780" w:rsidRPr="00136F35">
        <w:rPr>
          <w:sz w:val="22"/>
          <w:szCs w:val="22"/>
          <w:lang w:val="en-US"/>
        </w:rPr>
        <w:t xml:space="preserve">V2X </w:t>
      </w:r>
      <w:r w:rsidR="004D5AC3" w:rsidRPr="00136F35">
        <w:rPr>
          <w:sz w:val="22"/>
          <w:szCs w:val="22"/>
          <w:lang w:val="en-US"/>
        </w:rPr>
        <w:t>specification</w:t>
      </w:r>
      <w:r w:rsidR="009E7780" w:rsidRPr="00136F35">
        <w:rPr>
          <w:sz w:val="22"/>
          <w:szCs w:val="22"/>
          <w:lang w:val="en-US"/>
        </w:rPr>
        <w:t xml:space="preserve"> need to be enhanced to satisfy the </w:t>
      </w:r>
      <w:r w:rsidR="00290DBD">
        <w:rPr>
          <w:sz w:val="22"/>
          <w:szCs w:val="22"/>
          <w:lang w:val="en-US"/>
        </w:rPr>
        <w:t xml:space="preserve">wide </w:t>
      </w:r>
      <w:r w:rsidR="00C81D10">
        <w:rPr>
          <w:sz w:val="22"/>
          <w:szCs w:val="22"/>
          <w:lang w:val="en-US"/>
        </w:rPr>
        <w:t>variation of</w:t>
      </w:r>
      <w:r w:rsidR="00C81D10" w:rsidRPr="00136F35">
        <w:rPr>
          <w:sz w:val="22"/>
          <w:szCs w:val="22"/>
          <w:lang w:val="en-US"/>
        </w:rPr>
        <w:t xml:space="preserve"> </w:t>
      </w:r>
      <w:r w:rsidR="009E7780" w:rsidRPr="00136F35">
        <w:rPr>
          <w:sz w:val="22"/>
          <w:szCs w:val="22"/>
          <w:lang w:val="en-US"/>
        </w:rPr>
        <w:t xml:space="preserve">QoS </w:t>
      </w:r>
      <w:r w:rsidR="00C81D10">
        <w:rPr>
          <w:sz w:val="22"/>
          <w:szCs w:val="22"/>
          <w:lang w:val="en-US"/>
        </w:rPr>
        <w:t>requirements</w:t>
      </w:r>
      <w:r w:rsidR="009E7780" w:rsidRPr="00136F35">
        <w:rPr>
          <w:sz w:val="22"/>
          <w:szCs w:val="22"/>
          <w:lang w:val="en-US"/>
        </w:rPr>
        <w:t>.</w:t>
      </w:r>
      <w:r w:rsidR="00C81D10">
        <w:rPr>
          <w:sz w:val="22"/>
          <w:szCs w:val="22"/>
          <w:lang w:val="en-US"/>
        </w:rPr>
        <w:t xml:space="preserve"> The following section discusses the resource allocation aspects </w:t>
      </w:r>
      <w:r w:rsidR="008436EF">
        <w:rPr>
          <w:sz w:val="22"/>
          <w:szCs w:val="22"/>
          <w:lang w:val="en-US"/>
        </w:rPr>
        <w:t xml:space="preserve">in </w:t>
      </w:r>
      <w:r w:rsidR="00C81D10">
        <w:rPr>
          <w:sz w:val="22"/>
          <w:szCs w:val="22"/>
          <w:lang w:val="en-US"/>
        </w:rPr>
        <w:t xml:space="preserve">NR V2X. </w:t>
      </w:r>
    </w:p>
    <w:p w14:paraId="643F4452" w14:textId="77777777" w:rsidR="006F19E0" w:rsidRDefault="006F19E0" w:rsidP="006F19E0">
      <w:pPr>
        <w:pStyle w:val="Heading2"/>
        <w:rPr>
          <w:lang w:val="en-US"/>
        </w:rPr>
      </w:pPr>
      <w:r>
        <w:rPr>
          <w:lang w:val="en-US"/>
        </w:rPr>
        <w:t xml:space="preserve">Resource Pool Design </w:t>
      </w:r>
    </w:p>
    <w:p w14:paraId="675B9CC4" w14:textId="5456F869" w:rsidR="004F6268" w:rsidRDefault="004F6268" w:rsidP="00290DBD">
      <w:pPr>
        <w:pStyle w:val="Heading3"/>
        <w:rPr>
          <w:lang w:val="en-US"/>
        </w:rPr>
      </w:pPr>
      <w:r>
        <w:rPr>
          <w:lang w:val="en-US"/>
        </w:rPr>
        <w:t>Resource Pool Configuration</w:t>
      </w:r>
    </w:p>
    <w:p w14:paraId="0AC68DF8" w14:textId="0911A382" w:rsidR="005410BD" w:rsidRDefault="006F19E0" w:rsidP="009E7780">
      <w:pPr>
        <w:jc w:val="both"/>
        <w:rPr>
          <w:sz w:val="22"/>
          <w:szCs w:val="22"/>
          <w:lang w:val="en-US"/>
        </w:rPr>
      </w:pPr>
      <w:r>
        <w:rPr>
          <w:sz w:val="22"/>
          <w:szCs w:val="22"/>
          <w:lang w:val="en-US"/>
        </w:rPr>
        <w:t xml:space="preserve">The </w:t>
      </w:r>
      <w:r w:rsidR="00993CA7">
        <w:rPr>
          <w:sz w:val="22"/>
          <w:szCs w:val="22"/>
          <w:lang w:val="en-US"/>
        </w:rPr>
        <w:t xml:space="preserve">benefits </w:t>
      </w:r>
      <w:r>
        <w:rPr>
          <w:sz w:val="22"/>
          <w:szCs w:val="22"/>
          <w:lang w:val="en-US"/>
        </w:rPr>
        <w:t>of allocating dedicated, partially shared or fully shared resource</w:t>
      </w:r>
      <w:r w:rsidR="004A4ECE">
        <w:rPr>
          <w:sz w:val="22"/>
          <w:szCs w:val="22"/>
          <w:lang w:val="en-US"/>
        </w:rPr>
        <w:t xml:space="preserve"> pools</w:t>
      </w:r>
      <w:r>
        <w:rPr>
          <w:sz w:val="22"/>
          <w:szCs w:val="22"/>
          <w:lang w:val="en-US"/>
        </w:rPr>
        <w:t xml:space="preserve"> </w:t>
      </w:r>
      <w:r w:rsidR="004A4ECE">
        <w:rPr>
          <w:sz w:val="22"/>
          <w:szCs w:val="22"/>
          <w:lang w:val="en-US"/>
        </w:rPr>
        <w:t xml:space="preserve">for </w:t>
      </w:r>
      <w:r>
        <w:rPr>
          <w:sz w:val="22"/>
          <w:szCs w:val="22"/>
          <w:lang w:val="en-US"/>
        </w:rPr>
        <w:t>in-coverage</w:t>
      </w:r>
      <w:r w:rsidR="004A4ECE">
        <w:rPr>
          <w:sz w:val="22"/>
          <w:szCs w:val="22"/>
          <w:lang w:val="en-US"/>
        </w:rPr>
        <w:t>, partial coverage and</w:t>
      </w:r>
      <w:r>
        <w:rPr>
          <w:sz w:val="22"/>
          <w:szCs w:val="22"/>
          <w:lang w:val="en-US"/>
        </w:rPr>
        <w:t xml:space="preserve"> out-of-coverage UEs should be</w:t>
      </w:r>
      <w:r w:rsidR="004A4ECE">
        <w:rPr>
          <w:sz w:val="22"/>
          <w:szCs w:val="22"/>
          <w:lang w:val="en-US"/>
        </w:rPr>
        <w:t xml:space="preserve"> investigated</w:t>
      </w:r>
      <w:r>
        <w:rPr>
          <w:sz w:val="22"/>
          <w:szCs w:val="22"/>
          <w:lang w:val="en-US"/>
        </w:rPr>
        <w:t>.</w:t>
      </w:r>
      <w:r w:rsidR="004A4ECE">
        <w:rPr>
          <w:sz w:val="22"/>
          <w:szCs w:val="22"/>
          <w:lang w:val="en-US"/>
        </w:rPr>
        <w:t xml:space="preserve"> </w:t>
      </w:r>
      <w:r w:rsidR="005410BD">
        <w:rPr>
          <w:sz w:val="22"/>
          <w:szCs w:val="22"/>
          <w:lang w:val="en-US"/>
        </w:rPr>
        <w:t xml:space="preserve">Efficient resource utilization can be enabled in NR V2X </w:t>
      </w:r>
      <w:r w:rsidR="00FA03EB">
        <w:rPr>
          <w:sz w:val="22"/>
          <w:szCs w:val="22"/>
          <w:lang w:val="en-US"/>
        </w:rPr>
        <w:t>from the start</w:t>
      </w:r>
      <w:r w:rsidR="00D1414E">
        <w:rPr>
          <w:sz w:val="22"/>
          <w:szCs w:val="22"/>
          <w:lang w:val="en-US"/>
        </w:rPr>
        <w:t xml:space="preserve"> (unlike in LTE V2X Rel. 14)</w:t>
      </w:r>
      <w:r w:rsidR="00FA03EB">
        <w:rPr>
          <w:sz w:val="22"/>
          <w:szCs w:val="22"/>
          <w:lang w:val="en-US"/>
        </w:rPr>
        <w:t xml:space="preserve"> </w:t>
      </w:r>
      <w:r w:rsidR="005410BD">
        <w:rPr>
          <w:sz w:val="22"/>
          <w:szCs w:val="22"/>
          <w:lang w:val="en-US"/>
        </w:rPr>
        <w:t xml:space="preserve">by supporting </w:t>
      </w:r>
      <w:r w:rsidR="000B05A0">
        <w:rPr>
          <w:sz w:val="22"/>
          <w:szCs w:val="22"/>
          <w:lang w:val="en-US"/>
        </w:rPr>
        <w:t>at least fully shared resource pools</w:t>
      </w:r>
      <w:r w:rsidR="00993CA7">
        <w:rPr>
          <w:sz w:val="22"/>
          <w:szCs w:val="22"/>
          <w:lang w:val="en-US"/>
        </w:rPr>
        <w:t xml:space="preserve"> between</w:t>
      </w:r>
      <w:r w:rsidR="008436EF">
        <w:rPr>
          <w:sz w:val="22"/>
          <w:szCs w:val="22"/>
          <w:lang w:val="en-US"/>
        </w:rPr>
        <w:t xml:space="preserve"> UEs that are</w:t>
      </w:r>
      <w:r w:rsidR="00993CA7">
        <w:rPr>
          <w:sz w:val="22"/>
          <w:szCs w:val="22"/>
          <w:lang w:val="en-US"/>
        </w:rPr>
        <w:t xml:space="preserve"> </w:t>
      </w:r>
      <w:r w:rsidR="008436EF">
        <w:rPr>
          <w:sz w:val="22"/>
          <w:szCs w:val="22"/>
          <w:lang w:val="en-US"/>
        </w:rPr>
        <w:t xml:space="preserve">gNB </w:t>
      </w:r>
      <w:r w:rsidR="00993CA7">
        <w:rPr>
          <w:sz w:val="22"/>
          <w:szCs w:val="22"/>
          <w:lang w:val="en-US"/>
        </w:rPr>
        <w:t>scheduled</w:t>
      </w:r>
      <w:r w:rsidR="008436EF">
        <w:rPr>
          <w:sz w:val="22"/>
          <w:szCs w:val="22"/>
          <w:lang w:val="en-US"/>
        </w:rPr>
        <w:t xml:space="preserve"> </w:t>
      </w:r>
      <w:r w:rsidR="00993CA7">
        <w:rPr>
          <w:sz w:val="22"/>
          <w:szCs w:val="22"/>
          <w:lang w:val="en-US"/>
        </w:rPr>
        <w:t xml:space="preserve">and </w:t>
      </w:r>
      <w:r w:rsidR="008436EF">
        <w:rPr>
          <w:sz w:val="22"/>
          <w:szCs w:val="22"/>
          <w:lang w:val="en-US"/>
        </w:rPr>
        <w:t xml:space="preserve">carrying out </w:t>
      </w:r>
      <w:r w:rsidR="00993CA7">
        <w:rPr>
          <w:sz w:val="22"/>
          <w:szCs w:val="22"/>
          <w:lang w:val="en-US"/>
        </w:rPr>
        <w:t xml:space="preserve">distributed </w:t>
      </w:r>
      <w:r w:rsidR="008436EF">
        <w:rPr>
          <w:sz w:val="22"/>
          <w:szCs w:val="22"/>
          <w:lang w:val="en-US"/>
        </w:rPr>
        <w:t>scheduling</w:t>
      </w:r>
      <w:r w:rsidR="001F1553">
        <w:rPr>
          <w:sz w:val="22"/>
          <w:szCs w:val="22"/>
          <w:lang w:val="en-US"/>
        </w:rPr>
        <w:t>.</w:t>
      </w:r>
      <w:r w:rsidR="001F1553">
        <w:rPr>
          <w:sz w:val="22"/>
          <w:szCs w:val="22"/>
          <w:lang w:val="en-US"/>
        </w:rPr>
        <w:t xml:space="preserve"> </w:t>
      </w:r>
      <w:r w:rsidR="00F7709D">
        <w:rPr>
          <w:sz w:val="22"/>
          <w:szCs w:val="22"/>
          <w:lang w:val="en-US"/>
        </w:rPr>
        <w:t>This</w:t>
      </w:r>
      <w:r w:rsidR="000B05A0">
        <w:rPr>
          <w:sz w:val="22"/>
          <w:szCs w:val="22"/>
          <w:lang w:val="en-US"/>
        </w:rPr>
        <w:t xml:space="preserve"> can be dynamically </w:t>
      </w:r>
      <w:r w:rsidR="005410BD">
        <w:rPr>
          <w:sz w:val="22"/>
          <w:szCs w:val="22"/>
          <w:lang w:val="en-US"/>
        </w:rPr>
        <w:t xml:space="preserve">configured </w:t>
      </w:r>
      <w:r w:rsidR="000B05A0">
        <w:rPr>
          <w:sz w:val="22"/>
          <w:szCs w:val="22"/>
          <w:lang w:val="en-US"/>
        </w:rPr>
        <w:t>based</w:t>
      </w:r>
      <w:r w:rsidR="005410BD">
        <w:rPr>
          <w:sz w:val="22"/>
          <w:szCs w:val="22"/>
          <w:lang w:val="en-US"/>
        </w:rPr>
        <w:t xml:space="preserve"> on </w:t>
      </w:r>
      <w:r w:rsidR="00C81D10">
        <w:rPr>
          <w:sz w:val="22"/>
          <w:szCs w:val="22"/>
          <w:lang w:val="en-US"/>
        </w:rPr>
        <w:t>certain factors, e.g. load of the cell,</w:t>
      </w:r>
      <w:r w:rsidR="00653700">
        <w:rPr>
          <w:sz w:val="22"/>
          <w:szCs w:val="22"/>
          <w:lang w:val="en-US"/>
        </w:rPr>
        <w:t xml:space="preserve"> the casting type</w:t>
      </w:r>
      <w:r w:rsidR="00C81D10">
        <w:rPr>
          <w:sz w:val="22"/>
          <w:szCs w:val="22"/>
          <w:lang w:val="en-US"/>
        </w:rPr>
        <w:t>, QoS requirements, etc.</w:t>
      </w:r>
      <w:r w:rsidR="00993CA7">
        <w:rPr>
          <w:sz w:val="22"/>
          <w:szCs w:val="22"/>
          <w:lang w:val="en-US"/>
        </w:rPr>
        <w:t xml:space="preserve"> </w:t>
      </w:r>
    </w:p>
    <w:p w14:paraId="028360BD" w14:textId="57B70986" w:rsidR="007657D2" w:rsidRDefault="000B05A0" w:rsidP="009E7780">
      <w:pPr>
        <w:jc w:val="both"/>
        <w:rPr>
          <w:sz w:val="22"/>
          <w:szCs w:val="22"/>
          <w:lang w:val="en-US"/>
        </w:rPr>
      </w:pPr>
      <w:r w:rsidRPr="006F1ADB">
        <w:rPr>
          <w:b/>
          <w:sz w:val="22"/>
          <w:szCs w:val="22"/>
          <w:lang w:val="en-US"/>
        </w:rPr>
        <w:t xml:space="preserve">Observation 1: </w:t>
      </w:r>
      <w:r w:rsidR="00993CA7" w:rsidRPr="006F1ADB">
        <w:rPr>
          <w:b/>
          <w:sz w:val="22"/>
          <w:szCs w:val="22"/>
          <w:lang w:val="en-US"/>
        </w:rPr>
        <w:t>Efficient resource utilization was supported in Rel. 15 LTE V2X through resource pool sharing</w:t>
      </w:r>
      <w:r w:rsidR="00993CA7">
        <w:rPr>
          <w:sz w:val="22"/>
          <w:szCs w:val="22"/>
          <w:lang w:val="en-US"/>
        </w:rPr>
        <w:t>.</w:t>
      </w:r>
    </w:p>
    <w:p w14:paraId="4CC105FA" w14:textId="32D9486E" w:rsidR="006F19E0" w:rsidRDefault="004A4ECE" w:rsidP="009E7780">
      <w:pPr>
        <w:jc w:val="both"/>
        <w:rPr>
          <w:sz w:val="22"/>
          <w:szCs w:val="22"/>
          <w:lang w:val="en-US"/>
        </w:rPr>
      </w:pPr>
      <w:r>
        <w:rPr>
          <w:sz w:val="22"/>
          <w:szCs w:val="22"/>
          <w:lang w:val="en-US"/>
        </w:rPr>
        <w:t xml:space="preserve">As in LTE V2X, the support of dedicated and fully shared resource pools can be used as a baseline for </w:t>
      </w:r>
      <w:r w:rsidR="00290DBD">
        <w:rPr>
          <w:sz w:val="22"/>
          <w:szCs w:val="22"/>
          <w:lang w:val="en-US"/>
        </w:rPr>
        <w:t>different scenarios</w:t>
      </w:r>
      <w:r w:rsidR="005410BD">
        <w:rPr>
          <w:sz w:val="22"/>
          <w:szCs w:val="22"/>
          <w:lang w:val="en-US"/>
        </w:rPr>
        <w:t xml:space="preserve"> (in-coverage</w:t>
      </w:r>
      <w:r w:rsidR="00D1414E">
        <w:rPr>
          <w:sz w:val="22"/>
          <w:szCs w:val="22"/>
          <w:lang w:val="en-US"/>
        </w:rPr>
        <w:t>, partial-coverage</w:t>
      </w:r>
      <w:r w:rsidR="005410BD">
        <w:rPr>
          <w:sz w:val="22"/>
          <w:szCs w:val="22"/>
          <w:lang w:val="en-US"/>
        </w:rPr>
        <w:t xml:space="preserve"> and out-of-coverage)</w:t>
      </w:r>
      <w:r>
        <w:rPr>
          <w:sz w:val="22"/>
          <w:szCs w:val="22"/>
          <w:lang w:val="en-US"/>
        </w:rPr>
        <w:t xml:space="preserve">. The </w:t>
      </w:r>
      <w:r w:rsidR="00FA03EB">
        <w:rPr>
          <w:sz w:val="22"/>
          <w:szCs w:val="22"/>
          <w:lang w:val="en-US"/>
        </w:rPr>
        <w:t xml:space="preserve">support </w:t>
      </w:r>
      <w:r>
        <w:rPr>
          <w:sz w:val="22"/>
          <w:szCs w:val="22"/>
          <w:lang w:val="en-US"/>
        </w:rPr>
        <w:t>of partially shared resource pools can be revisited, as it was deprioritized in Rel. 15 LTE V2X</w:t>
      </w:r>
      <w:r w:rsidR="001F1553">
        <w:rPr>
          <w:sz w:val="22"/>
          <w:szCs w:val="22"/>
          <w:lang w:val="en-US"/>
        </w:rPr>
        <w:t xml:space="preserve"> [4]</w:t>
      </w:r>
      <w:r>
        <w:rPr>
          <w:sz w:val="22"/>
          <w:szCs w:val="22"/>
          <w:lang w:val="en-US"/>
        </w:rPr>
        <w:t xml:space="preserve">. </w:t>
      </w:r>
    </w:p>
    <w:p w14:paraId="05C740E9" w14:textId="2C3EDD7B" w:rsidR="00530CB6" w:rsidRDefault="00AF3A6E" w:rsidP="009E7780">
      <w:pPr>
        <w:jc w:val="both"/>
        <w:rPr>
          <w:sz w:val="22"/>
          <w:szCs w:val="22"/>
          <w:lang w:val="en-US"/>
        </w:rPr>
      </w:pPr>
      <w:r w:rsidRPr="006F1ADB">
        <w:rPr>
          <w:b/>
          <w:sz w:val="22"/>
          <w:szCs w:val="22"/>
          <w:lang w:val="en-US"/>
        </w:rPr>
        <w:t xml:space="preserve">Proposal 1: </w:t>
      </w:r>
      <w:r w:rsidR="00304645">
        <w:rPr>
          <w:b/>
          <w:sz w:val="22"/>
          <w:szCs w:val="22"/>
          <w:lang w:val="en-US"/>
        </w:rPr>
        <w:t>Support dedicated and fully shared resource pool configurations</w:t>
      </w:r>
      <w:r w:rsidR="000B05A0">
        <w:rPr>
          <w:b/>
          <w:sz w:val="22"/>
          <w:szCs w:val="22"/>
          <w:lang w:val="en-US"/>
        </w:rPr>
        <w:t xml:space="preserve"> in NR V2X</w:t>
      </w:r>
      <w:r w:rsidR="00304645">
        <w:rPr>
          <w:b/>
          <w:sz w:val="22"/>
          <w:szCs w:val="22"/>
          <w:lang w:val="en-US"/>
        </w:rPr>
        <w:t>. Partial sharing of resource pools can</w:t>
      </w:r>
      <w:r w:rsidR="00FA03EB">
        <w:rPr>
          <w:b/>
          <w:sz w:val="22"/>
          <w:szCs w:val="22"/>
          <w:lang w:val="en-US"/>
        </w:rPr>
        <w:t xml:space="preserve"> be</w:t>
      </w:r>
      <w:r w:rsidR="00304645">
        <w:rPr>
          <w:b/>
          <w:sz w:val="22"/>
          <w:szCs w:val="22"/>
          <w:lang w:val="en-US"/>
        </w:rPr>
        <w:t xml:space="preserve"> further investigated.</w:t>
      </w:r>
    </w:p>
    <w:p w14:paraId="79CD6749" w14:textId="3F6D652D" w:rsidR="00530CB6" w:rsidRDefault="00FA03EB" w:rsidP="006F1ADB">
      <w:pPr>
        <w:pStyle w:val="Heading3"/>
      </w:pPr>
      <w:r>
        <w:t xml:space="preserve">Support for </w:t>
      </w:r>
      <w:r w:rsidR="004F6268">
        <w:t xml:space="preserve">BWPs and </w:t>
      </w:r>
      <w:r w:rsidR="00530CB6">
        <w:t xml:space="preserve">Multiple Numerologies </w:t>
      </w:r>
    </w:p>
    <w:p w14:paraId="557B0F91" w14:textId="17E34476" w:rsidR="00F7709D" w:rsidRDefault="00F7709D" w:rsidP="00F7709D">
      <w:pPr>
        <w:jc w:val="both"/>
        <w:rPr>
          <w:sz w:val="22"/>
          <w:szCs w:val="22"/>
          <w:lang w:val="en-US"/>
        </w:rPr>
      </w:pPr>
      <w:r>
        <w:rPr>
          <w:sz w:val="22"/>
          <w:szCs w:val="22"/>
          <w:lang w:val="en-US"/>
        </w:rPr>
        <w:t>It should be highlighted that the configuration and allocation of V2X resources should aim to accommodate larger bandwidths supported by NR. For certain NR operating bands and certain subcarrier spacings (SCSs) within FR1 (450 MHz to 6 GHz), the channel bandwidth can be as large as 100 MHz [</w:t>
      </w:r>
      <w:r w:rsidR="001F1553">
        <w:rPr>
          <w:sz w:val="22"/>
          <w:szCs w:val="22"/>
          <w:lang w:val="en-US"/>
        </w:rPr>
        <w:t>5</w:t>
      </w:r>
      <w:r>
        <w:rPr>
          <w:sz w:val="22"/>
          <w:szCs w:val="22"/>
          <w:lang w:val="en-US"/>
        </w:rPr>
        <w:t>], which is comparatively much larger than in LTE V2X. Hence from a RAN2 perspective, efficient resource allocation strategies for NR V2X UEs (</w:t>
      </w:r>
      <w:r w:rsidR="006F1ADB">
        <w:rPr>
          <w:sz w:val="22"/>
          <w:szCs w:val="22"/>
          <w:lang w:val="en-US"/>
        </w:rPr>
        <w:t>Mode 1 and Mode 2</w:t>
      </w:r>
      <w:r>
        <w:rPr>
          <w:sz w:val="22"/>
          <w:szCs w:val="22"/>
          <w:lang w:val="en-US"/>
        </w:rPr>
        <w:t>) over larger bandwidths should also be examined, depending on which operating band</w:t>
      </w:r>
      <w:r w:rsidR="007A0C98">
        <w:rPr>
          <w:sz w:val="22"/>
          <w:szCs w:val="22"/>
          <w:lang w:val="en-US"/>
        </w:rPr>
        <w:t>(</w:t>
      </w:r>
      <w:r>
        <w:rPr>
          <w:sz w:val="22"/>
          <w:szCs w:val="22"/>
          <w:lang w:val="en-US"/>
        </w:rPr>
        <w:t>s</w:t>
      </w:r>
      <w:r w:rsidR="007A0C98">
        <w:rPr>
          <w:sz w:val="22"/>
          <w:szCs w:val="22"/>
          <w:lang w:val="en-US"/>
        </w:rPr>
        <w:t>)</w:t>
      </w:r>
      <w:r>
        <w:rPr>
          <w:sz w:val="22"/>
          <w:szCs w:val="22"/>
          <w:lang w:val="en-US"/>
        </w:rPr>
        <w:t xml:space="preserve"> will be agreed upon for NR V2X. These strategies should also remain backward compatible with LTE V2X UEs, so that at the very minimum,</w:t>
      </w:r>
      <w:r w:rsidR="006F1ADB">
        <w:rPr>
          <w:sz w:val="22"/>
          <w:szCs w:val="22"/>
          <w:lang w:val="en-US"/>
        </w:rPr>
        <w:t xml:space="preserve"> </w:t>
      </w:r>
      <w:r w:rsidR="009148A1">
        <w:rPr>
          <w:sz w:val="22"/>
          <w:szCs w:val="22"/>
          <w:lang w:val="en-US"/>
        </w:rPr>
        <w:t xml:space="preserve">the transmission and reception of </w:t>
      </w:r>
      <w:r>
        <w:rPr>
          <w:sz w:val="22"/>
          <w:szCs w:val="22"/>
          <w:lang w:val="en-US"/>
        </w:rPr>
        <w:t>basic safety messages (BSM</w:t>
      </w:r>
      <w:r w:rsidR="009148A1">
        <w:rPr>
          <w:sz w:val="22"/>
          <w:szCs w:val="22"/>
          <w:lang w:val="en-US"/>
        </w:rPr>
        <w:t>s</w:t>
      </w:r>
      <w:r>
        <w:rPr>
          <w:sz w:val="22"/>
          <w:szCs w:val="22"/>
          <w:lang w:val="en-US"/>
        </w:rPr>
        <w:t>) should be</w:t>
      </w:r>
      <w:r w:rsidR="006F1ADB">
        <w:rPr>
          <w:sz w:val="22"/>
          <w:szCs w:val="22"/>
          <w:lang w:val="en-US"/>
        </w:rPr>
        <w:t xml:space="preserve"> </w:t>
      </w:r>
      <w:r w:rsidR="009148A1">
        <w:rPr>
          <w:sz w:val="22"/>
          <w:szCs w:val="22"/>
          <w:lang w:val="en-US"/>
        </w:rPr>
        <w:t>capable</w:t>
      </w:r>
      <w:r>
        <w:rPr>
          <w:sz w:val="22"/>
          <w:szCs w:val="22"/>
          <w:lang w:val="en-US"/>
        </w:rPr>
        <w:t xml:space="preserve"> by both NR and LTE V2X UEs.</w:t>
      </w:r>
    </w:p>
    <w:p w14:paraId="58004F0F" w14:textId="1AED6F0C" w:rsidR="00530CB6" w:rsidRDefault="00530CB6" w:rsidP="00530CB6">
      <w:pPr>
        <w:pStyle w:val="3GPPNormalText"/>
      </w:pPr>
      <w:r>
        <w:t xml:space="preserve">Bandwidth Parts (BWPs) have been introduced in NR </w:t>
      </w:r>
      <w:r w:rsidR="00C02DCD">
        <w:t xml:space="preserve">for UEs </w:t>
      </w:r>
      <w:r>
        <w:t>to</w:t>
      </w:r>
      <w:r w:rsidR="00C02DCD">
        <w:t xml:space="preserve"> operate with smaller</w:t>
      </w:r>
      <w:r>
        <w:t xml:space="preserve"> bandwidths</w:t>
      </w:r>
      <w:r w:rsidR="00C02DCD">
        <w:t xml:space="preserve"> within a larger configured carrier bandwidth</w:t>
      </w:r>
      <w:r>
        <w:t xml:space="preserve">, while flexible numerologies with different SCSs enable </w:t>
      </w:r>
      <w:r w:rsidR="00C02DCD">
        <w:t xml:space="preserve">rapid transmission </w:t>
      </w:r>
      <w:r w:rsidR="006F1ADB">
        <w:t>turnaround</w:t>
      </w:r>
      <w:r w:rsidR="00C02DCD">
        <w:t xml:space="preserve"> time</w:t>
      </w:r>
      <w:r>
        <w:t xml:space="preserve">. </w:t>
      </w:r>
      <w:r w:rsidR="00D20F57">
        <w:t xml:space="preserve">However, the </w:t>
      </w:r>
      <w:r w:rsidR="00FA03EB">
        <w:t>definition</w:t>
      </w:r>
      <w:r w:rsidR="00D20F57">
        <w:t xml:space="preserve"> of resource pools</w:t>
      </w:r>
      <w:r w:rsidR="002E6861">
        <w:t xml:space="preserve"> (RPs)</w:t>
      </w:r>
      <w:r w:rsidR="00C02DCD">
        <w:t xml:space="preserve"> in D2D and V2X</w:t>
      </w:r>
      <w:r w:rsidR="00D20F57">
        <w:t xml:space="preserve"> define a set of time and frequency resources</w:t>
      </w:r>
      <w:r w:rsidR="006F1ADB">
        <w:t>, while BWPs are defined across frequency resources</w:t>
      </w:r>
      <w:r w:rsidR="00FA03EB">
        <w:t>.</w:t>
      </w:r>
      <w:r w:rsidR="00D20F57">
        <w:t xml:space="preserve"> </w:t>
      </w:r>
      <w:r w:rsidR="004F6268">
        <w:t xml:space="preserve">Currently, </w:t>
      </w:r>
      <w:r w:rsidR="00C86154">
        <w:t xml:space="preserve">RAN1 is discussing the </w:t>
      </w:r>
      <w:r w:rsidR="002E6861">
        <w:t>relationship between BWPs and RPs</w:t>
      </w:r>
      <w:r w:rsidR="004F6268">
        <w:t xml:space="preserve"> </w:t>
      </w:r>
      <w:r w:rsidR="007A0C98">
        <w:t xml:space="preserve">(refer to RAN1 companion contribution) </w:t>
      </w:r>
      <w:r w:rsidR="004F6268">
        <w:t>[</w:t>
      </w:r>
      <w:r w:rsidR="001F1553">
        <w:t>6</w:t>
      </w:r>
      <w:r w:rsidR="004F6268">
        <w:t>]</w:t>
      </w:r>
      <w:r>
        <w:t xml:space="preserve">.  </w:t>
      </w:r>
    </w:p>
    <w:p w14:paraId="1A097C90" w14:textId="13609159" w:rsidR="005E5982" w:rsidRPr="00136F35" w:rsidRDefault="002E6861" w:rsidP="006F1ADB">
      <w:pPr>
        <w:pStyle w:val="3GPPNormalText"/>
        <w:rPr>
          <w:szCs w:val="22"/>
        </w:rPr>
      </w:pPr>
      <w:r w:rsidRPr="007B559F">
        <w:rPr>
          <w:b/>
        </w:rPr>
        <w:t>Proposal</w:t>
      </w:r>
      <w:r>
        <w:rPr>
          <w:b/>
        </w:rPr>
        <w:t xml:space="preserve"> 2: Await the decision of RAN1 regarding the relationship between BWPs and RPs.</w:t>
      </w:r>
    </w:p>
    <w:p w14:paraId="37CAA4DE" w14:textId="77777777" w:rsidR="00F57E66" w:rsidRDefault="00F57E66" w:rsidP="006F1ADB">
      <w:pPr>
        <w:pStyle w:val="Heading2"/>
        <w:rPr>
          <w:lang w:val="en-US"/>
        </w:rPr>
      </w:pPr>
      <w:r>
        <w:rPr>
          <w:lang w:val="en-US"/>
        </w:rPr>
        <w:lastRenderedPageBreak/>
        <w:t>Feedback Resource Allocation</w:t>
      </w:r>
    </w:p>
    <w:p w14:paraId="11F13A1D" w14:textId="3607EBFE" w:rsidR="00F57E66" w:rsidRPr="00F841A2" w:rsidRDefault="00AF3A6E" w:rsidP="00AF3A6E">
      <w:pPr>
        <w:jc w:val="both"/>
        <w:rPr>
          <w:sz w:val="22"/>
          <w:szCs w:val="22"/>
          <w:lang w:val="en-US"/>
        </w:rPr>
      </w:pPr>
      <w:r w:rsidRPr="00F841A2">
        <w:rPr>
          <w:sz w:val="22"/>
          <w:szCs w:val="22"/>
          <w:lang w:val="en-US"/>
        </w:rPr>
        <w:t xml:space="preserve">In the case of unicast transmissions over Uu, it has been well established that feedback increases the overall reception reliability and enables optimization of transmission parameters. </w:t>
      </w:r>
      <w:r w:rsidR="000F4E7D" w:rsidRPr="00F841A2">
        <w:rPr>
          <w:sz w:val="22"/>
          <w:szCs w:val="22"/>
          <w:lang w:val="en-US"/>
        </w:rPr>
        <w:t xml:space="preserve">The support for unicast and groupcast communications necessitates the need for feedback </w:t>
      </w:r>
      <w:r w:rsidR="009148A1">
        <w:rPr>
          <w:sz w:val="22"/>
          <w:szCs w:val="22"/>
          <w:lang w:val="en-US"/>
        </w:rPr>
        <w:t>mechanisms to ensure</w:t>
      </w:r>
      <w:r w:rsidR="009148A1" w:rsidRPr="00F841A2">
        <w:rPr>
          <w:sz w:val="22"/>
          <w:szCs w:val="22"/>
          <w:lang w:val="en-US"/>
        </w:rPr>
        <w:t xml:space="preserve"> </w:t>
      </w:r>
      <w:r w:rsidR="000F4E7D" w:rsidRPr="00F841A2">
        <w:rPr>
          <w:sz w:val="22"/>
          <w:szCs w:val="22"/>
          <w:lang w:val="en-US"/>
        </w:rPr>
        <w:t>reliable and spectrally efficient SL communications. Resource allocation mechanisms for feedback should be studied for in-coverage, partial-coverage and out-of-coverage UEs. Such mechanism</w:t>
      </w:r>
      <w:r w:rsidR="006F1ADB" w:rsidRPr="00F841A2">
        <w:rPr>
          <w:sz w:val="22"/>
          <w:szCs w:val="22"/>
          <w:lang w:val="en-US"/>
        </w:rPr>
        <w:t>s</w:t>
      </w:r>
      <w:r w:rsidR="000F4E7D" w:rsidRPr="00F841A2">
        <w:rPr>
          <w:sz w:val="22"/>
          <w:szCs w:val="22"/>
          <w:lang w:val="en-US"/>
        </w:rPr>
        <w:t xml:space="preserve"> should also take into consideration the latency in scheduling resource</w:t>
      </w:r>
      <w:r w:rsidR="001F078F" w:rsidRPr="00F841A2">
        <w:rPr>
          <w:sz w:val="22"/>
          <w:szCs w:val="22"/>
          <w:lang w:val="en-US"/>
        </w:rPr>
        <w:t xml:space="preserve">s and </w:t>
      </w:r>
      <w:r w:rsidR="006F1ADB" w:rsidRPr="00F841A2">
        <w:rPr>
          <w:sz w:val="22"/>
          <w:szCs w:val="22"/>
          <w:lang w:val="en-US"/>
        </w:rPr>
        <w:t xml:space="preserve">the subsequent </w:t>
      </w:r>
      <w:r w:rsidR="001F078F" w:rsidRPr="00F841A2">
        <w:rPr>
          <w:sz w:val="22"/>
          <w:szCs w:val="22"/>
          <w:lang w:val="en-US"/>
        </w:rPr>
        <w:t>transmission</w:t>
      </w:r>
      <w:r w:rsidR="000F4E7D" w:rsidRPr="00F841A2">
        <w:rPr>
          <w:sz w:val="22"/>
          <w:szCs w:val="22"/>
          <w:lang w:val="en-US"/>
        </w:rPr>
        <w:t xml:space="preserve"> </w:t>
      </w:r>
      <w:r w:rsidR="001F078F" w:rsidRPr="00F841A2">
        <w:rPr>
          <w:sz w:val="22"/>
          <w:szCs w:val="22"/>
          <w:lang w:val="en-US"/>
        </w:rPr>
        <w:t xml:space="preserve">of </w:t>
      </w:r>
      <w:r w:rsidR="000F4E7D" w:rsidRPr="00F841A2">
        <w:rPr>
          <w:sz w:val="22"/>
          <w:szCs w:val="22"/>
          <w:lang w:val="en-US"/>
        </w:rPr>
        <w:t>the feedback</w:t>
      </w:r>
      <w:r w:rsidR="00376426" w:rsidRPr="00F841A2">
        <w:rPr>
          <w:sz w:val="22"/>
          <w:szCs w:val="22"/>
          <w:lang w:val="en-US"/>
        </w:rPr>
        <w:t xml:space="preserve"> (</w:t>
      </w:r>
      <w:r w:rsidR="001F078F" w:rsidRPr="00F841A2">
        <w:rPr>
          <w:sz w:val="22"/>
          <w:szCs w:val="22"/>
          <w:lang w:val="en-US"/>
        </w:rPr>
        <w:t>via gNB</w:t>
      </w:r>
      <w:r w:rsidR="00376426" w:rsidRPr="00F841A2">
        <w:rPr>
          <w:sz w:val="22"/>
          <w:szCs w:val="22"/>
          <w:lang w:val="en-US"/>
        </w:rPr>
        <w:t xml:space="preserve"> or </w:t>
      </w:r>
      <w:r w:rsidR="001F078F" w:rsidRPr="00F841A2">
        <w:rPr>
          <w:sz w:val="22"/>
          <w:szCs w:val="22"/>
          <w:lang w:val="en-US"/>
        </w:rPr>
        <w:t>directly to</w:t>
      </w:r>
      <w:r w:rsidR="006F1ADB" w:rsidRPr="00F841A2">
        <w:rPr>
          <w:sz w:val="22"/>
          <w:szCs w:val="22"/>
          <w:lang w:val="en-US"/>
        </w:rPr>
        <w:t xml:space="preserve"> the</w:t>
      </w:r>
      <w:r w:rsidR="001F078F" w:rsidRPr="00F841A2">
        <w:rPr>
          <w:sz w:val="22"/>
          <w:szCs w:val="22"/>
          <w:lang w:val="en-US"/>
        </w:rPr>
        <w:t xml:space="preserve"> transmitting UE</w:t>
      </w:r>
      <w:r w:rsidR="00376426" w:rsidRPr="00F841A2">
        <w:rPr>
          <w:sz w:val="22"/>
          <w:szCs w:val="22"/>
          <w:lang w:val="en-US"/>
        </w:rPr>
        <w:t>)</w:t>
      </w:r>
      <w:r w:rsidR="000F4E7D" w:rsidRPr="00F841A2">
        <w:rPr>
          <w:sz w:val="22"/>
          <w:szCs w:val="22"/>
          <w:lang w:val="en-US"/>
        </w:rPr>
        <w:t xml:space="preserve">, which may differ depending on the </w:t>
      </w:r>
      <w:r w:rsidR="002F329B" w:rsidRPr="00F841A2">
        <w:rPr>
          <w:sz w:val="22"/>
          <w:szCs w:val="22"/>
          <w:lang w:val="en-US"/>
        </w:rPr>
        <w:t>use case.</w:t>
      </w:r>
      <w:r w:rsidR="000F4E7D" w:rsidRPr="00F841A2">
        <w:rPr>
          <w:sz w:val="22"/>
          <w:szCs w:val="22"/>
          <w:lang w:val="en-US"/>
        </w:rPr>
        <w:t xml:space="preserve"> As opposed to the broadcast case, there is an intended receiver (unicast) or specific group of </w:t>
      </w:r>
      <w:r w:rsidR="009148A1">
        <w:rPr>
          <w:sz w:val="22"/>
          <w:szCs w:val="22"/>
          <w:lang w:val="en-US"/>
        </w:rPr>
        <w:t xml:space="preserve">intended </w:t>
      </w:r>
      <w:r w:rsidR="000F4E7D" w:rsidRPr="00F841A2">
        <w:rPr>
          <w:sz w:val="22"/>
          <w:szCs w:val="22"/>
          <w:lang w:val="en-US"/>
        </w:rPr>
        <w:t>receivers (groupcast), which should be known to the network.</w:t>
      </w:r>
      <w:r w:rsidR="00376426" w:rsidRPr="00F841A2">
        <w:rPr>
          <w:sz w:val="22"/>
          <w:szCs w:val="22"/>
          <w:lang w:val="en-US"/>
        </w:rPr>
        <w:t xml:space="preserve"> Hence, knowledge of the </w:t>
      </w:r>
      <w:r w:rsidR="005322CE" w:rsidRPr="00F841A2">
        <w:rPr>
          <w:sz w:val="22"/>
          <w:szCs w:val="22"/>
          <w:lang w:val="en-US"/>
        </w:rPr>
        <w:t xml:space="preserve">source, </w:t>
      </w:r>
      <w:r w:rsidR="006F1ADB" w:rsidRPr="00F841A2">
        <w:rPr>
          <w:sz w:val="22"/>
          <w:szCs w:val="22"/>
          <w:lang w:val="en-US"/>
        </w:rPr>
        <w:t>destination</w:t>
      </w:r>
      <w:r w:rsidR="005322CE" w:rsidRPr="00F841A2">
        <w:rPr>
          <w:sz w:val="22"/>
          <w:szCs w:val="22"/>
          <w:lang w:val="en-US"/>
        </w:rPr>
        <w:t xml:space="preserve"> group</w:t>
      </w:r>
      <w:r w:rsidR="006F1ADB" w:rsidRPr="00F841A2">
        <w:rPr>
          <w:sz w:val="22"/>
          <w:szCs w:val="22"/>
          <w:lang w:val="en-US"/>
        </w:rPr>
        <w:t xml:space="preserve"> ID </w:t>
      </w:r>
      <w:r w:rsidR="005322CE" w:rsidRPr="00F841A2">
        <w:rPr>
          <w:sz w:val="22"/>
          <w:szCs w:val="22"/>
          <w:lang w:val="en-US"/>
        </w:rPr>
        <w:t xml:space="preserve">and </w:t>
      </w:r>
      <w:r w:rsidR="00376426" w:rsidRPr="00F841A2">
        <w:rPr>
          <w:sz w:val="22"/>
          <w:szCs w:val="22"/>
          <w:lang w:val="en-US"/>
        </w:rPr>
        <w:t>destination ID of the target</w:t>
      </w:r>
      <w:r w:rsidR="000F4E7D" w:rsidRPr="00F841A2">
        <w:rPr>
          <w:sz w:val="22"/>
          <w:szCs w:val="22"/>
          <w:lang w:val="en-US"/>
        </w:rPr>
        <w:t xml:space="preserve"> </w:t>
      </w:r>
      <w:r w:rsidR="00376426" w:rsidRPr="00F841A2">
        <w:rPr>
          <w:sz w:val="22"/>
          <w:szCs w:val="22"/>
          <w:lang w:val="en-US"/>
        </w:rPr>
        <w:t xml:space="preserve">UE(s) in Layer 2 </w:t>
      </w:r>
      <w:r w:rsidR="005322CE" w:rsidRPr="00F841A2">
        <w:rPr>
          <w:sz w:val="22"/>
          <w:szCs w:val="22"/>
          <w:lang w:val="en-US"/>
        </w:rPr>
        <w:t xml:space="preserve">(as agreed upon in RAN2#103bis [3]) </w:t>
      </w:r>
      <w:r w:rsidR="00376426" w:rsidRPr="00F841A2">
        <w:rPr>
          <w:sz w:val="22"/>
          <w:szCs w:val="22"/>
          <w:lang w:val="en-US"/>
        </w:rPr>
        <w:t>can aid in network</w:t>
      </w:r>
      <w:r w:rsidR="009148A1">
        <w:rPr>
          <w:sz w:val="22"/>
          <w:szCs w:val="22"/>
          <w:lang w:val="en-US"/>
        </w:rPr>
        <w:t>-controlled</w:t>
      </w:r>
      <w:r w:rsidR="00376426" w:rsidRPr="00F841A2">
        <w:rPr>
          <w:sz w:val="22"/>
          <w:szCs w:val="22"/>
          <w:lang w:val="en-US"/>
        </w:rPr>
        <w:t xml:space="preserve"> or </w:t>
      </w:r>
      <w:r w:rsidR="009148A1">
        <w:rPr>
          <w:sz w:val="22"/>
          <w:szCs w:val="22"/>
          <w:lang w:val="en-US"/>
        </w:rPr>
        <w:t>UE-d</w:t>
      </w:r>
      <w:r w:rsidR="00376426" w:rsidRPr="00F841A2">
        <w:rPr>
          <w:sz w:val="22"/>
          <w:szCs w:val="22"/>
          <w:lang w:val="en-US"/>
        </w:rPr>
        <w:t xml:space="preserve">istributed feedback resource allocation. </w:t>
      </w:r>
    </w:p>
    <w:p w14:paraId="72A08FE4" w14:textId="69B0DA18" w:rsidR="00AF3A6E" w:rsidRDefault="00AF3A6E" w:rsidP="00D25CF7">
      <w:pPr>
        <w:jc w:val="both"/>
        <w:rPr>
          <w:sz w:val="22"/>
          <w:szCs w:val="22"/>
          <w:lang w:val="en-US"/>
        </w:rPr>
      </w:pPr>
      <w:r w:rsidRPr="00F841A2">
        <w:rPr>
          <w:b/>
          <w:sz w:val="22"/>
          <w:szCs w:val="22"/>
          <w:lang w:val="en-US"/>
        </w:rPr>
        <w:t xml:space="preserve">Proposal </w:t>
      </w:r>
      <w:r w:rsidR="00105262">
        <w:rPr>
          <w:b/>
          <w:sz w:val="22"/>
          <w:szCs w:val="22"/>
          <w:lang w:val="en-US"/>
        </w:rPr>
        <w:t>3</w:t>
      </w:r>
      <w:r w:rsidRPr="00F841A2">
        <w:rPr>
          <w:b/>
          <w:sz w:val="22"/>
          <w:szCs w:val="22"/>
          <w:lang w:val="en-US"/>
        </w:rPr>
        <w:t>:</w:t>
      </w:r>
      <w:r w:rsidR="001D571F" w:rsidRPr="00F841A2">
        <w:rPr>
          <w:b/>
          <w:sz w:val="22"/>
          <w:szCs w:val="22"/>
          <w:lang w:val="en-US"/>
        </w:rPr>
        <w:t xml:space="preserve"> </w:t>
      </w:r>
      <w:r w:rsidRPr="00F841A2">
        <w:rPr>
          <w:b/>
          <w:sz w:val="22"/>
          <w:szCs w:val="22"/>
          <w:lang w:val="en-US"/>
        </w:rPr>
        <w:t xml:space="preserve"> </w:t>
      </w:r>
      <w:r w:rsidR="00580B53" w:rsidRPr="00F841A2">
        <w:rPr>
          <w:b/>
          <w:sz w:val="22"/>
          <w:szCs w:val="22"/>
          <w:lang w:val="en-US"/>
        </w:rPr>
        <w:t>Study mechanisms to configure feedback</w:t>
      </w:r>
      <w:r w:rsidR="00471C36" w:rsidRPr="00F841A2">
        <w:rPr>
          <w:b/>
          <w:sz w:val="22"/>
          <w:szCs w:val="22"/>
          <w:lang w:val="en-US"/>
        </w:rPr>
        <w:t xml:space="preserve"> resources and related parameters</w:t>
      </w:r>
      <w:r w:rsidR="00580B53" w:rsidRPr="00F841A2">
        <w:rPr>
          <w:b/>
          <w:sz w:val="22"/>
          <w:szCs w:val="22"/>
          <w:lang w:val="en-US"/>
        </w:rPr>
        <w:t xml:space="preserve"> (HARQ, CSI reporting) </w:t>
      </w:r>
      <w:r w:rsidR="00103AAA" w:rsidRPr="00F841A2">
        <w:rPr>
          <w:b/>
          <w:sz w:val="22"/>
          <w:szCs w:val="22"/>
          <w:lang w:val="en-US"/>
        </w:rPr>
        <w:t>for in-coverage, partial-coverage and out-of-coverage UEs</w:t>
      </w:r>
      <w:r w:rsidR="00103AAA" w:rsidRPr="00F841A2">
        <w:rPr>
          <w:sz w:val="22"/>
          <w:szCs w:val="22"/>
          <w:lang w:val="en-US"/>
        </w:rPr>
        <w:t>.</w:t>
      </w:r>
      <w:r w:rsidR="00471C36" w:rsidRPr="00F841A2">
        <w:rPr>
          <w:sz w:val="22"/>
          <w:szCs w:val="22"/>
          <w:lang w:val="en-US"/>
        </w:rPr>
        <w:t xml:space="preserve"> </w:t>
      </w:r>
    </w:p>
    <w:p w14:paraId="40ABB38B" w14:textId="77777777" w:rsidR="00F573CC" w:rsidRPr="00F841A2" w:rsidRDefault="00F573CC" w:rsidP="005322CE">
      <w:pPr>
        <w:rPr>
          <w:b/>
          <w:sz w:val="22"/>
          <w:szCs w:val="22"/>
          <w:lang w:val="en-US"/>
        </w:rPr>
      </w:pPr>
    </w:p>
    <w:p w14:paraId="6436C544" w14:textId="66719B89" w:rsidR="00AF3A6E" w:rsidRDefault="00AF3A6E" w:rsidP="00AF3A6E">
      <w:pPr>
        <w:pStyle w:val="Heading2"/>
        <w:tabs>
          <w:tab w:val="clear" w:pos="1002"/>
          <w:tab w:val="num" w:pos="540"/>
        </w:tabs>
        <w:ind w:left="540"/>
      </w:pPr>
      <w:r>
        <w:t xml:space="preserve">Enhanced Resource Allocation for Groupcast  </w:t>
      </w:r>
    </w:p>
    <w:p w14:paraId="243AABBB" w14:textId="24357914" w:rsidR="00AF3A6E" w:rsidRDefault="00AF3A6E" w:rsidP="00AF3A6E">
      <w:pPr>
        <w:pStyle w:val="3GPPNormalText"/>
        <w:rPr>
          <w:szCs w:val="22"/>
        </w:rPr>
      </w:pPr>
      <w:r>
        <w:rPr>
          <w:szCs w:val="22"/>
        </w:rPr>
        <w:t xml:space="preserve">Currently in LTE V2X, Mode 3 UEs signal their </w:t>
      </w:r>
      <w:r w:rsidR="00DF00F9">
        <w:rPr>
          <w:szCs w:val="22"/>
        </w:rPr>
        <w:t>data in the buffer</w:t>
      </w:r>
      <w:r>
        <w:rPr>
          <w:szCs w:val="22"/>
        </w:rPr>
        <w:t xml:space="preserve"> to perform SL communications </w:t>
      </w:r>
      <w:r w:rsidR="00DF00F9">
        <w:rPr>
          <w:szCs w:val="22"/>
        </w:rPr>
        <w:t>by</w:t>
      </w:r>
      <w:r>
        <w:rPr>
          <w:szCs w:val="22"/>
        </w:rPr>
        <w:t xml:space="preserve"> provid</w:t>
      </w:r>
      <w:r w:rsidR="00DF00F9">
        <w:rPr>
          <w:szCs w:val="22"/>
        </w:rPr>
        <w:t>ing</w:t>
      </w:r>
      <w:r>
        <w:rPr>
          <w:szCs w:val="22"/>
        </w:rPr>
        <w:t xml:space="preserve"> their buffer status report (BSR) to the </w:t>
      </w:r>
      <w:r w:rsidR="000F6088">
        <w:rPr>
          <w:szCs w:val="22"/>
        </w:rPr>
        <w:t>gNB</w:t>
      </w:r>
      <w:r>
        <w:rPr>
          <w:szCs w:val="22"/>
        </w:rPr>
        <w:t xml:space="preserve">, provided that the </w:t>
      </w:r>
      <w:r w:rsidR="000F6088">
        <w:rPr>
          <w:szCs w:val="22"/>
        </w:rPr>
        <w:t>gNB</w:t>
      </w:r>
      <w:r>
        <w:rPr>
          <w:szCs w:val="22"/>
        </w:rPr>
        <w:t xml:space="preserve"> is responsible for scheduling their SL transmissions. Thereafter, the </w:t>
      </w:r>
      <w:r w:rsidR="000F6088">
        <w:rPr>
          <w:szCs w:val="22"/>
        </w:rPr>
        <w:t>gNB</w:t>
      </w:r>
      <w:r>
        <w:rPr>
          <w:szCs w:val="22"/>
        </w:rPr>
        <w:t xml:space="preserve"> provides these UEs with a grant to perform SL communications. </w:t>
      </w:r>
    </w:p>
    <w:p w14:paraId="79DAD93B" w14:textId="3F57352D" w:rsidR="00AF3A6E" w:rsidRPr="00CC416E" w:rsidRDefault="00AF3A6E" w:rsidP="00AF3A6E">
      <w:pPr>
        <w:pStyle w:val="3GPPNormalText"/>
        <w:rPr>
          <w:szCs w:val="22"/>
        </w:rPr>
      </w:pPr>
      <w:r>
        <w:rPr>
          <w:szCs w:val="22"/>
        </w:rPr>
        <w:t>For example, if we consider the platooning advanced use case where</w:t>
      </w:r>
      <w:r w:rsidR="00DF00F9">
        <w:rPr>
          <w:szCs w:val="22"/>
        </w:rPr>
        <w:t xml:space="preserve"> a</w:t>
      </w:r>
      <w:r>
        <w:rPr>
          <w:szCs w:val="22"/>
        </w:rPr>
        <w:t xml:space="preserve"> </w:t>
      </w:r>
      <w:r w:rsidR="00DF00F9">
        <w:rPr>
          <w:szCs w:val="22"/>
        </w:rPr>
        <w:t xml:space="preserve">set of </w:t>
      </w:r>
      <w:r>
        <w:rPr>
          <w:szCs w:val="22"/>
        </w:rPr>
        <w:t>vehicle</w:t>
      </w:r>
      <w:r w:rsidR="00DF00F9">
        <w:rPr>
          <w:szCs w:val="22"/>
        </w:rPr>
        <w:t>s</w:t>
      </w:r>
      <w:r>
        <w:rPr>
          <w:szCs w:val="22"/>
        </w:rPr>
        <w:t xml:space="preserve"> will communicate amongst themselves (within </w:t>
      </w:r>
      <w:r w:rsidR="00DF00F9">
        <w:rPr>
          <w:szCs w:val="22"/>
        </w:rPr>
        <w:t>a</w:t>
      </w:r>
      <w:r>
        <w:rPr>
          <w:szCs w:val="22"/>
        </w:rPr>
        <w:t xml:space="preserve"> group), the latency of granting such resources and subsequent SL transmission may be too high</w:t>
      </w:r>
      <w:r w:rsidR="005322CE">
        <w:rPr>
          <w:szCs w:val="22"/>
        </w:rPr>
        <w:t xml:space="preserve"> for each member</w:t>
      </w:r>
      <w:r>
        <w:rPr>
          <w:szCs w:val="22"/>
        </w:rPr>
        <w:t xml:space="preserve">. Therefore, such resources need to be dynamically allocated and managed in a manner that satisfies the </w:t>
      </w:r>
      <w:r w:rsidR="00DF00F9">
        <w:rPr>
          <w:szCs w:val="22"/>
        </w:rPr>
        <w:t xml:space="preserve">stringent </w:t>
      </w:r>
      <w:r>
        <w:rPr>
          <w:szCs w:val="22"/>
        </w:rPr>
        <w:t xml:space="preserve">QoS requirements for </w:t>
      </w:r>
      <w:r w:rsidR="00DF00F9">
        <w:rPr>
          <w:szCs w:val="22"/>
        </w:rPr>
        <w:t>groupcast communications</w:t>
      </w:r>
      <w:r>
        <w:rPr>
          <w:szCs w:val="22"/>
        </w:rPr>
        <w:t xml:space="preserve">, while ensuring a good overall system performance. These mechanisms are best handled by the </w:t>
      </w:r>
      <w:r w:rsidR="000F6088">
        <w:rPr>
          <w:szCs w:val="22"/>
        </w:rPr>
        <w:t>gNB</w:t>
      </w:r>
      <w:r>
        <w:rPr>
          <w:szCs w:val="22"/>
        </w:rPr>
        <w:t xml:space="preserve"> for in-coverage UEs, where decisions regarding the need for </w:t>
      </w:r>
      <w:r w:rsidR="000F6088">
        <w:rPr>
          <w:szCs w:val="22"/>
        </w:rPr>
        <w:t xml:space="preserve">a </w:t>
      </w:r>
      <w:r>
        <w:rPr>
          <w:szCs w:val="22"/>
        </w:rPr>
        <w:t xml:space="preserve">dedicated set of resources for groupcast services, e.g. platooning, may be taken. </w:t>
      </w:r>
      <w:r w:rsidR="00471C36">
        <w:rPr>
          <w:szCs w:val="22"/>
        </w:rPr>
        <w:t xml:space="preserve">However, in the case where no resource configuration/allocation is provided by the </w:t>
      </w:r>
      <w:r w:rsidR="000F6088">
        <w:rPr>
          <w:szCs w:val="22"/>
        </w:rPr>
        <w:t>gNB</w:t>
      </w:r>
      <w:r w:rsidR="00471C36">
        <w:rPr>
          <w:szCs w:val="22"/>
        </w:rPr>
        <w:t>, the</w:t>
      </w:r>
      <w:r w:rsidR="000F6088">
        <w:rPr>
          <w:szCs w:val="22"/>
        </w:rPr>
        <w:t xml:space="preserve"> group leader</w:t>
      </w:r>
      <w:r w:rsidR="00471C36">
        <w:rPr>
          <w:szCs w:val="22"/>
        </w:rPr>
        <w:t xml:space="preserve"> UE of the group/platoon should </w:t>
      </w:r>
      <w:r w:rsidR="00DF00F9">
        <w:rPr>
          <w:szCs w:val="22"/>
        </w:rPr>
        <w:t xml:space="preserve">be responsible for </w:t>
      </w:r>
      <w:r w:rsidR="00471C36">
        <w:rPr>
          <w:szCs w:val="22"/>
        </w:rPr>
        <w:t>ensur</w:t>
      </w:r>
      <w:r w:rsidR="00DF00F9">
        <w:rPr>
          <w:szCs w:val="22"/>
        </w:rPr>
        <w:t>ing</w:t>
      </w:r>
      <w:r w:rsidR="00471C36">
        <w:rPr>
          <w:szCs w:val="22"/>
        </w:rPr>
        <w:t xml:space="preserve"> that the </w:t>
      </w:r>
      <w:r w:rsidR="00DF00F9">
        <w:rPr>
          <w:szCs w:val="22"/>
        </w:rPr>
        <w:t xml:space="preserve">SL communication </w:t>
      </w:r>
      <w:r w:rsidR="00471C36">
        <w:rPr>
          <w:szCs w:val="22"/>
        </w:rPr>
        <w:t>perfo</w:t>
      </w:r>
      <w:bookmarkStart w:id="2" w:name="_GoBack"/>
      <w:bookmarkEnd w:id="2"/>
      <w:r w:rsidR="00471C36">
        <w:rPr>
          <w:szCs w:val="22"/>
        </w:rPr>
        <w:t>rmance of the group/platoon is not degraded.</w:t>
      </w:r>
      <w:r>
        <w:rPr>
          <w:szCs w:val="22"/>
        </w:rPr>
        <w:t xml:space="preserve"> </w:t>
      </w:r>
      <w:r>
        <w:t>The specified capabilities of NR can offer the desired support for enhanced resource allocation schemes for groupcast communication. Furthermore, such enhanced resource allocation schemes should also consider the groupcast out-of-coverage scenario.</w:t>
      </w:r>
    </w:p>
    <w:p w14:paraId="5BCCA464" w14:textId="35A1C1C6" w:rsidR="00AF3A6E" w:rsidRDefault="00AF3A6E" w:rsidP="00AF3A6E">
      <w:pPr>
        <w:pStyle w:val="3GPPNormalText"/>
        <w:rPr>
          <w:b/>
        </w:rPr>
      </w:pPr>
      <w:r w:rsidRPr="007B559F">
        <w:rPr>
          <w:b/>
        </w:rPr>
        <w:t>Proposal</w:t>
      </w:r>
      <w:r>
        <w:rPr>
          <w:b/>
        </w:rPr>
        <w:t xml:space="preserve"> </w:t>
      </w:r>
      <w:r w:rsidR="00105262">
        <w:rPr>
          <w:b/>
        </w:rPr>
        <w:t>4</w:t>
      </w:r>
      <w:r>
        <w:rPr>
          <w:b/>
        </w:rPr>
        <w:t>: Investigate enhanced resource allocation schemes that support groupcast scenarios such as platooning</w:t>
      </w:r>
      <w:r w:rsidR="000F6088">
        <w:rPr>
          <w:b/>
        </w:rPr>
        <w:t>,</w:t>
      </w:r>
      <w:r>
        <w:rPr>
          <w:b/>
        </w:rPr>
        <w:t xml:space="preserve"> </w:t>
      </w:r>
      <w:r w:rsidR="000F6088">
        <w:rPr>
          <w:b/>
        </w:rPr>
        <w:t xml:space="preserve">which require </w:t>
      </w:r>
      <w:r>
        <w:rPr>
          <w:b/>
        </w:rPr>
        <w:t xml:space="preserve">a different set of QoS requirements </w:t>
      </w:r>
      <w:r w:rsidR="000F6088">
        <w:rPr>
          <w:b/>
        </w:rPr>
        <w:t xml:space="preserve">as compared </w:t>
      </w:r>
      <w:r>
        <w:rPr>
          <w:b/>
        </w:rPr>
        <w:t>to th</w:t>
      </w:r>
      <w:r w:rsidR="000F6088">
        <w:rPr>
          <w:b/>
        </w:rPr>
        <w:t>ose</w:t>
      </w:r>
      <w:r>
        <w:rPr>
          <w:b/>
        </w:rPr>
        <w:t xml:space="preserve"> of broadcast basic safety messaging.</w:t>
      </w:r>
    </w:p>
    <w:p w14:paraId="705E0D02" w14:textId="77777777" w:rsidR="005E5982" w:rsidRPr="00D07573" w:rsidRDefault="005E5982" w:rsidP="00D07573">
      <w:pPr>
        <w:pStyle w:val="3GPPNormalText"/>
        <w:rPr>
          <w:b/>
        </w:rPr>
      </w:pPr>
    </w:p>
    <w:p w14:paraId="018C8233" w14:textId="5EE8A4D3" w:rsidR="00635D54" w:rsidRDefault="00635D54" w:rsidP="00635D54">
      <w:pPr>
        <w:pStyle w:val="Heading1"/>
        <w:rPr>
          <w:lang w:val="en-US"/>
        </w:rPr>
      </w:pPr>
      <w:bookmarkStart w:id="3" w:name="OLE_LINK13"/>
      <w:bookmarkStart w:id="4" w:name="OLE_LINK14"/>
      <w:bookmarkEnd w:id="0"/>
      <w:bookmarkEnd w:id="1"/>
      <w:r>
        <w:rPr>
          <w:lang w:val="en-US"/>
        </w:rPr>
        <w:t>Conclusion</w:t>
      </w:r>
    </w:p>
    <w:p w14:paraId="5BFCD7FE" w14:textId="77777777" w:rsidR="005322CE" w:rsidRDefault="00240D92" w:rsidP="00120777">
      <w:pPr>
        <w:pStyle w:val="3GPPNormalText"/>
      </w:pPr>
      <w:r>
        <w:t xml:space="preserve">This contribution has </w:t>
      </w:r>
      <w:r w:rsidR="005322CE">
        <w:t>noted the following observation:</w:t>
      </w:r>
    </w:p>
    <w:p w14:paraId="522B4A8B" w14:textId="2C618202" w:rsidR="005322CE" w:rsidRDefault="005322CE" w:rsidP="00120777">
      <w:pPr>
        <w:pStyle w:val="3GPPNormalText"/>
      </w:pPr>
      <w:r w:rsidRPr="006F1ADB">
        <w:rPr>
          <w:b/>
          <w:szCs w:val="22"/>
        </w:rPr>
        <w:t>Observation 1: Efficient resource utilization was supported in Rel. 15 LTE V2X through resource pool sharing</w:t>
      </w:r>
      <w:r>
        <w:rPr>
          <w:szCs w:val="22"/>
        </w:rPr>
        <w:t>.</w:t>
      </w:r>
    </w:p>
    <w:p w14:paraId="479446FF" w14:textId="780C360F" w:rsidR="00120777" w:rsidRDefault="00240D92" w:rsidP="00120777">
      <w:pPr>
        <w:pStyle w:val="3GPPNormalText"/>
      </w:pPr>
      <w:r>
        <w:t>The following proposals are provided</w:t>
      </w:r>
      <w:r w:rsidR="005322CE">
        <w:t>, in relation to the resource allocation techniques for NR V2X.</w:t>
      </w:r>
      <w:r>
        <w:t>:</w:t>
      </w:r>
    </w:p>
    <w:p w14:paraId="54C1C5FD" w14:textId="6BC8195E" w:rsidR="005322CE" w:rsidRDefault="005322CE" w:rsidP="00120777">
      <w:pPr>
        <w:pStyle w:val="3GPPNormalText"/>
        <w:rPr>
          <w:b/>
          <w:szCs w:val="22"/>
        </w:rPr>
      </w:pPr>
      <w:r w:rsidRPr="006F1ADB">
        <w:rPr>
          <w:b/>
          <w:szCs w:val="22"/>
        </w:rPr>
        <w:t xml:space="preserve">Proposal 1: </w:t>
      </w:r>
      <w:r>
        <w:rPr>
          <w:b/>
          <w:szCs w:val="22"/>
        </w:rPr>
        <w:t>Support dedicated and fully shared resource pool configurations in NR V2X. Partial sharing of resource pools can be further investigated.</w:t>
      </w:r>
    </w:p>
    <w:p w14:paraId="76821518" w14:textId="60656660" w:rsidR="005322CE" w:rsidRDefault="005322CE" w:rsidP="00120777">
      <w:pPr>
        <w:pStyle w:val="3GPPNormalText"/>
        <w:rPr>
          <w:b/>
        </w:rPr>
      </w:pPr>
      <w:r w:rsidRPr="007B559F">
        <w:rPr>
          <w:b/>
        </w:rPr>
        <w:t>Proposal</w:t>
      </w:r>
      <w:r>
        <w:rPr>
          <w:b/>
        </w:rPr>
        <w:t xml:space="preserve"> 2: Await the decision of RAN1 regarding the relationship between BWPs and RPs.</w:t>
      </w:r>
    </w:p>
    <w:p w14:paraId="2D155BF3" w14:textId="4A30C6AF" w:rsidR="00105262" w:rsidRDefault="00105262" w:rsidP="00120777">
      <w:pPr>
        <w:pStyle w:val="3GPPNormalText"/>
        <w:rPr>
          <w:szCs w:val="22"/>
        </w:rPr>
      </w:pPr>
      <w:r w:rsidRPr="00705F80">
        <w:rPr>
          <w:b/>
          <w:szCs w:val="22"/>
        </w:rPr>
        <w:lastRenderedPageBreak/>
        <w:t xml:space="preserve">Proposal </w:t>
      </w:r>
      <w:r>
        <w:rPr>
          <w:b/>
          <w:szCs w:val="22"/>
        </w:rPr>
        <w:t>3</w:t>
      </w:r>
      <w:r w:rsidRPr="00705F80">
        <w:rPr>
          <w:b/>
          <w:szCs w:val="22"/>
        </w:rPr>
        <w:t>: Study mechanisms to configure feedback resources and related parameters (HARQ, CSI reporting) for in-coverage, partial-coverage and out-of-coverage UEs</w:t>
      </w:r>
      <w:r w:rsidRPr="00705F80">
        <w:rPr>
          <w:szCs w:val="22"/>
        </w:rPr>
        <w:t>.</w:t>
      </w:r>
    </w:p>
    <w:p w14:paraId="4DDFD417" w14:textId="126CAFB4" w:rsidR="00105262" w:rsidRDefault="00105262" w:rsidP="00120777">
      <w:pPr>
        <w:pStyle w:val="3GPPNormalText"/>
      </w:pPr>
      <w:r w:rsidRPr="007B559F">
        <w:rPr>
          <w:b/>
        </w:rPr>
        <w:t>Proposal</w:t>
      </w:r>
      <w:r>
        <w:rPr>
          <w:b/>
        </w:rPr>
        <w:t xml:space="preserve"> 4: Investigate enhanced resource allocation schemes that support groupcast scenarios such as platooning</w:t>
      </w:r>
      <w:r w:rsidR="000F6088">
        <w:rPr>
          <w:b/>
        </w:rPr>
        <w:t xml:space="preserve">, which require </w:t>
      </w:r>
      <w:r>
        <w:rPr>
          <w:b/>
        </w:rPr>
        <w:t xml:space="preserve">a different set of QoS requirements </w:t>
      </w:r>
      <w:r w:rsidR="000F6088">
        <w:rPr>
          <w:b/>
        </w:rPr>
        <w:t xml:space="preserve">as compared to those </w:t>
      </w:r>
      <w:r>
        <w:rPr>
          <w:b/>
        </w:rPr>
        <w:t>of broadcast basic safety messaging.</w:t>
      </w:r>
    </w:p>
    <w:p w14:paraId="0C2BC888" w14:textId="77777777" w:rsidR="00295B24" w:rsidRPr="00D07573" w:rsidRDefault="00295B24" w:rsidP="00CC416E">
      <w:pPr>
        <w:pStyle w:val="3GPPNormalText"/>
        <w:rPr>
          <w:b/>
        </w:rPr>
      </w:pPr>
    </w:p>
    <w:bookmarkEnd w:id="3"/>
    <w:bookmarkEnd w:id="4"/>
    <w:p w14:paraId="61CC7273" w14:textId="653A5F75" w:rsidR="00635D54" w:rsidRPr="007564C3" w:rsidRDefault="00635D54" w:rsidP="009C7503">
      <w:pPr>
        <w:pStyle w:val="Heading1"/>
        <w:rPr>
          <w:rFonts w:cs="Arial"/>
        </w:rPr>
      </w:pPr>
      <w:r w:rsidRPr="00707A9A">
        <w:rPr>
          <w:lang w:val="en-US"/>
        </w:rPr>
        <w:t>References</w:t>
      </w:r>
    </w:p>
    <w:p w14:paraId="092A9B7F" w14:textId="78A127F9" w:rsidR="00D80B49" w:rsidRPr="00D80B49" w:rsidRDefault="00D80B49" w:rsidP="005652B6">
      <w:pPr>
        <w:widowControl w:val="0"/>
        <w:numPr>
          <w:ilvl w:val="0"/>
          <w:numId w:val="2"/>
        </w:numPr>
        <w:overflowPunct/>
        <w:autoSpaceDE/>
        <w:adjustRightInd/>
        <w:spacing w:after="120"/>
        <w:jc w:val="both"/>
        <w:textAlignment w:val="auto"/>
        <w:rPr>
          <w:iCs/>
          <w:lang w:val="en-US"/>
        </w:rPr>
      </w:pPr>
      <w:bookmarkStart w:id="5" w:name="_Ref494465620"/>
      <w:r>
        <w:rPr>
          <w:rFonts w:cs="Arial"/>
        </w:rPr>
        <w:t>TR 22.886, “Study on enhancement of 3GPP Support for 5G V2X Services”, V16.0.0, 3GPP SA#80, June 2018</w:t>
      </w:r>
      <w:r w:rsidR="004F66E4">
        <w:rPr>
          <w:rFonts w:cs="Arial"/>
        </w:rPr>
        <w:t>.</w:t>
      </w:r>
    </w:p>
    <w:p w14:paraId="2F14C804" w14:textId="4BA673F6" w:rsidR="000C4E8A" w:rsidRPr="00F841A2" w:rsidRDefault="005652B6" w:rsidP="005652B6">
      <w:pPr>
        <w:widowControl w:val="0"/>
        <w:numPr>
          <w:ilvl w:val="0"/>
          <w:numId w:val="2"/>
        </w:numPr>
        <w:overflowPunct/>
        <w:autoSpaceDE/>
        <w:adjustRightInd/>
        <w:spacing w:after="120"/>
        <w:jc w:val="both"/>
        <w:textAlignment w:val="auto"/>
        <w:rPr>
          <w:iCs/>
          <w:lang w:val="en-US"/>
        </w:rPr>
      </w:pPr>
      <w:r w:rsidRPr="005652B6">
        <w:rPr>
          <w:rFonts w:cs="Arial"/>
        </w:rPr>
        <w:t>RP-181064</w:t>
      </w:r>
      <w:r w:rsidR="00AF24DB" w:rsidRPr="009A254C">
        <w:rPr>
          <w:rFonts w:cs="Arial"/>
        </w:rPr>
        <w:t xml:space="preserve">, </w:t>
      </w:r>
      <w:r w:rsidR="00AF24DB">
        <w:rPr>
          <w:rFonts w:cs="Arial"/>
        </w:rPr>
        <w:t>“</w:t>
      </w:r>
      <w:r w:rsidRPr="005652B6">
        <w:rPr>
          <w:rFonts w:cs="Arial"/>
        </w:rPr>
        <w:t>Study on NR V2X</w:t>
      </w:r>
      <w:r w:rsidR="00AF24DB" w:rsidRPr="00EA0FD3">
        <w:rPr>
          <w:rFonts w:cs="Arial"/>
        </w:rPr>
        <w:t>”</w:t>
      </w:r>
      <w:r w:rsidR="00AF24DB">
        <w:rPr>
          <w:rFonts w:cs="Arial"/>
        </w:rPr>
        <w:t xml:space="preserve">, </w:t>
      </w:r>
      <w:r>
        <w:rPr>
          <w:rFonts w:cs="Arial"/>
        </w:rPr>
        <w:t>Vodafone</w:t>
      </w:r>
      <w:r w:rsidR="00DB21A5">
        <w:rPr>
          <w:rFonts w:cs="Arial"/>
        </w:rPr>
        <w:t>, 3GPP RAN#</w:t>
      </w:r>
      <w:r>
        <w:rPr>
          <w:rFonts w:cs="Arial"/>
        </w:rPr>
        <w:t>80</w:t>
      </w:r>
      <w:r w:rsidR="00DB21A5">
        <w:rPr>
          <w:rFonts w:cs="Arial"/>
        </w:rPr>
        <w:t xml:space="preserve">, </w:t>
      </w:r>
      <w:r>
        <w:rPr>
          <w:rFonts w:cs="Arial"/>
        </w:rPr>
        <w:t>June</w:t>
      </w:r>
      <w:r w:rsidR="00DD36A9">
        <w:rPr>
          <w:rFonts w:cs="Arial"/>
        </w:rPr>
        <w:t xml:space="preserve"> </w:t>
      </w:r>
      <w:r w:rsidR="00DB21A5">
        <w:rPr>
          <w:rFonts w:cs="Arial"/>
        </w:rPr>
        <w:t>201</w:t>
      </w:r>
      <w:r w:rsidR="00EA0FD3">
        <w:rPr>
          <w:rFonts w:cs="Arial"/>
        </w:rPr>
        <w:t>8</w:t>
      </w:r>
      <w:r w:rsidR="00895F3A">
        <w:rPr>
          <w:rFonts w:cs="Arial"/>
        </w:rPr>
        <w:t>.</w:t>
      </w:r>
    </w:p>
    <w:p w14:paraId="4BBB7A89" w14:textId="5E089F13" w:rsidR="00B25D20" w:rsidRDefault="00B25D20" w:rsidP="00B25D20">
      <w:pPr>
        <w:widowControl w:val="0"/>
        <w:numPr>
          <w:ilvl w:val="0"/>
          <w:numId w:val="2"/>
        </w:numPr>
        <w:overflowPunct/>
        <w:autoSpaceDE/>
        <w:adjustRightInd/>
        <w:spacing w:after="120"/>
        <w:jc w:val="both"/>
        <w:textAlignment w:val="auto"/>
        <w:rPr>
          <w:iCs/>
          <w:lang w:val="en-US"/>
        </w:rPr>
      </w:pPr>
      <w:r w:rsidRPr="00B25D20">
        <w:rPr>
          <w:iCs/>
          <w:lang w:val="en-US"/>
        </w:rPr>
        <w:t>R2-1815607</w:t>
      </w:r>
      <w:r>
        <w:rPr>
          <w:iCs/>
          <w:lang w:val="en-US"/>
        </w:rPr>
        <w:t>, “</w:t>
      </w:r>
      <w:r w:rsidRPr="00B25D20">
        <w:rPr>
          <w:iCs/>
          <w:lang w:val="en-US"/>
        </w:rPr>
        <w:t>Report from session on V2X (LTE and NR)</w:t>
      </w:r>
      <w:r>
        <w:rPr>
          <w:iCs/>
          <w:lang w:val="en-US"/>
        </w:rPr>
        <w:t>”, Intel, 3GPP RAN2#103bis, October 2018.</w:t>
      </w:r>
    </w:p>
    <w:p w14:paraId="314B9E0D" w14:textId="2A5972F2" w:rsidR="00D25CF7" w:rsidRPr="00D80B49" w:rsidRDefault="00D25CF7" w:rsidP="00B25D20">
      <w:pPr>
        <w:widowControl w:val="0"/>
        <w:numPr>
          <w:ilvl w:val="0"/>
          <w:numId w:val="2"/>
        </w:numPr>
        <w:overflowPunct/>
        <w:autoSpaceDE/>
        <w:adjustRightInd/>
        <w:spacing w:after="120"/>
        <w:jc w:val="both"/>
        <w:textAlignment w:val="auto"/>
        <w:rPr>
          <w:iCs/>
          <w:lang w:val="en-US"/>
        </w:rPr>
      </w:pPr>
      <w:r w:rsidRPr="00B25D20">
        <w:rPr>
          <w:iCs/>
          <w:lang w:val="en-US"/>
        </w:rPr>
        <w:t>R2-18</w:t>
      </w:r>
      <w:r>
        <w:rPr>
          <w:iCs/>
          <w:lang w:val="en-US"/>
        </w:rPr>
        <w:t>03737</w:t>
      </w:r>
      <w:r>
        <w:rPr>
          <w:iCs/>
          <w:lang w:val="en-US"/>
        </w:rPr>
        <w:t>, “</w:t>
      </w:r>
      <w:r w:rsidRPr="00B25D20">
        <w:rPr>
          <w:iCs/>
          <w:lang w:val="en-US"/>
        </w:rPr>
        <w:t xml:space="preserve">Report from </w:t>
      </w:r>
      <w:r>
        <w:rPr>
          <w:iCs/>
          <w:lang w:val="en-US"/>
        </w:rPr>
        <w:t>break-out session on Rel-15 V2X WI</w:t>
      </w:r>
      <w:r>
        <w:rPr>
          <w:iCs/>
          <w:lang w:val="en-US"/>
        </w:rPr>
        <w:t>”, Intel, 3GPP RAN2#10</w:t>
      </w:r>
      <w:r>
        <w:rPr>
          <w:iCs/>
          <w:lang w:val="en-US"/>
        </w:rPr>
        <w:t>1</w:t>
      </w:r>
      <w:r>
        <w:rPr>
          <w:iCs/>
          <w:lang w:val="en-US"/>
        </w:rPr>
        <w:t xml:space="preserve">, </w:t>
      </w:r>
      <w:r>
        <w:rPr>
          <w:iCs/>
          <w:lang w:val="en-US"/>
        </w:rPr>
        <w:t>Feb-Mar</w:t>
      </w:r>
      <w:r>
        <w:rPr>
          <w:iCs/>
          <w:lang w:val="en-US"/>
        </w:rPr>
        <w:t xml:space="preserve"> 2018.</w:t>
      </w:r>
    </w:p>
    <w:bookmarkEnd w:id="5"/>
    <w:p w14:paraId="15AC1471" w14:textId="14E8134F" w:rsidR="006F19E0" w:rsidRPr="00F841A2" w:rsidRDefault="006B002D" w:rsidP="006B002D">
      <w:pPr>
        <w:widowControl w:val="0"/>
        <w:numPr>
          <w:ilvl w:val="0"/>
          <w:numId w:val="2"/>
        </w:numPr>
        <w:overflowPunct/>
        <w:autoSpaceDE/>
        <w:adjustRightInd/>
        <w:spacing w:after="120"/>
        <w:jc w:val="both"/>
        <w:textAlignment w:val="auto"/>
        <w:rPr>
          <w:lang w:val="en-US"/>
        </w:rPr>
      </w:pPr>
      <w:r>
        <w:rPr>
          <w:rFonts w:cs="Arial"/>
        </w:rPr>
        <w:t>TS 38.101-1, “</w:t>
      </w:r>
      <w:r w:rsidRPr="00E4367D">
        <w:rPr>
          <w:lang w:val="en-US"/>
        </w:rPr>
        <w:t>User Equipment (UE) radio transmission and r</w:t>
      </w:r>
      <w:r w:rsidRPr="00044693">
        <w:rPr>
          <w:lang w:val="en-US"/>
        </w:rPr>
        <w:t>eception</w:t>
      </w:r>
      <w:r>
        <w:rPr>
          <w:lang w:val="en-US"/>
        </w:rPr>
        <w:t xml:space="preserve">; </w:t>
      </w:r>
      <w:r w:rsidRPr="006B002D">
        <w:rPr>
          <w:lang w:val="en-US"/>
        </w:rPr>
        <w:t>Part 1: Range 1 Standalone</w:t>
      </w:r>
      <w:r>
        <w:rPr>
          <w:lang w:val="en-US"/>
        </w:rPr>
        <w:t xml:space="preserve"> </w:t>
      </w:r>
      <w:r w:rsidRPr="006B002D">
        <w:rPr>
          <w:lang w:val="en-US"/>
        </w:rPr>
        <w:t>(Release 15)</w:t>
      </w:r>
      <w:r>
        <w:rPr>
          <w:rFonts w:cs="Arial"/>
        </w:rPr>
        <w:t>”, V15.0.0, 3GPP</w:t>
      </w:r>
      <w:r w:rsidRPr="006B002D">
        <w:rPr>
          <w:rFonts w:cs="Arial"/>
        </w:rPr>
        <w:t>, June 2018</w:t>
      </w:r>
      <w:r w:rsidR="00021CB0">
        <w:rPr>
          <w:rFonts w:cs="Arial"/>
        </w:rPr>
        <w:t>.</w:t>
      </w:r>
    </w:p>
    <w:p w14:paraId="26396F87" w14:textId="302C087C" w:rsidR="00955457" w:rsidRPr="00D82048" w:rsidRDefault="00955457" w:rsidP="006B002D">
      <w:pPr>
        <w:widowControl w:val="0"/>
        <w:numPr>
          <w:ilvl w:val="0"/>
          <w:numId w:val="2"/>
        </w:numPr>
        <w:overflowPunct/>
        <w:autoSpaceDE/>
        <w:adjustRightInd/>
        <w:spacing w:after="120"/>
        <w:jc w:val="both"/>
        <w:textAlignment w:val="auto"/>
        <w:rPr>
          <w:lang w:val="en-US"/>
        </w:rPr>
      </w:pPr>
      <w:r>
        <w:rPr>
          <w:rFonts w:cs="Arial"/>
        </w:rPr>
        <w:t>R1-1812400, “</w:t>
      </w:r>
      <w:r w:rsidRPr="00F841A2">
        <w:t>Analysis and Design of V2X Resource Entities</w:t>
      </w:r>
      <w:r>
        <w:rPr>
          <w:rFonts w:cs="Arial"/>
        </w:rPr>
        <w:t>”</w:t>
      </w:r>
      <w:r w:rsidR="008F072E">
        <w:rPr>
          <w:rFonts w:cs="Arial"/>
        </w:rPr>
        <w:t>, Fraunhofer</w:t>
      </w:r>
      <w:r>
        <w:rPr>
          <w:rFonts w:cs="Arial"/>
        </w:rPr>
        <w:t xml:space="preserve">, </w:t>
      </w:r>
      <w:r w:rsidR="008F072E">
        <w:rPr>
          <w:rFonts w:cs="Arial"/>
        </w:rPr>
        <w:t xml:space="preserve">3GPP </w:t>
      </w:r>
      <w:r>
        <w:rPr>
          <w:rFonts w:cs="Arial"/>
        </w:rPr>
        <w:t>RAN1#9</w:t>
      </w:r>
      <w:r w:rsidR="008F072E">
        <w:rPr>
          <w:rFonts w:cs="Arial"/>
        </w:rPr>
        <w:t>5</w:t>
      </w:r>
      <w:r>
        <w:rPr>
          <w:rFonts w:cs="Arial"/>
        </w:rPr>
        <w:t>, November 2018.</w:t>
      </w:r>
    </w:p>
    <w:p w14:paraId="45947EC3" w14:textId="77777777" w:rsidR="00021CB0" w:rsidRPr="006B002D" w:rsidRDefault="00021CB0" w:rsidP="00121961">
      <w:pPr>
        <w:widowControl w:val="0"/>
        <w:overflowPunct/>
        <w:autoSpaceDE/>
        <w:adjustRightInd/>
        <w:spacing w:after="120"/>
        <w:ind w:left="420"/>
        <w:jc w:val="both"/>
        <w:textAlignment w:val="auto"/>
        <w:rPr>
          <w:lang w:val="en-US"/>
        </w:rPr>
      </w:pPr>
    </w:p>
    <w:sectPr w:rsidR="00021CB0" w:rsidRPr="006B002D"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E3BF8" w14:textId="77777777" w:rsidR="00584353" w:rsidRDefault="00584353">
      <w:r>
        <w:separator/>
      </w:r>
    </w:p>
  </w:endnote>
  <w:endnote w:type="continuationSeparator" w:id="0">
    <w:p w14:paraId="5E4F997C" w14:textId="77777777" w:rsidR="00584353" w:rsidRDefault="0058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E33A269"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25CF7">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25CF7">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674EB" w14:textId="77777777" w:rsidR="00584353" w:rsidRDefault="00584353">
      <w:r>
        <w:separator/>
      </w:r>
    </w:p>
  </w:footnote>
  <w:footnote w:type="continuationSeparator" w:id="0">
    <w:p w14:paraId="40AEC3D3" w14:textId="77777777" w:rsidR="00584353" w:rsidRDefault="00584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B569E8"/>
    <w:multiLevelType w:val="hybridMultilevel"/>
    <w:tmpl w:val="21AC046C"/>
    <w:lvl w:ilvl="0" w:tplc="04090001">
      <w:start w:val="1"/>
      <w:numFmt w:val="bullet"/>
      <w:lvlText w:val=""/>
      <w:lvlJc w:val="left"/>
      <w:pPr>
        <w:ind w:left="720" w:hanging="360"/>
      </w:pPr>
      <w:rPr>
        <w:rFonts w:ascii="Symbol" w:hAnsi="Symbol" w:hint="default"/>
      </w:rPr>
    </w:lvl>
    <w:lvl w:ilvl="1" w:tplc="2D7EC9F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D110541"/>
    <w:multiLevelType w:val="hybridMultilevel"/>
    <w:tmpl w:val="68286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4"/>
  </w:num>
  <w:num w:numId="8">
    <w:abstractNumId w:val="9"/>
  </w:num>
  <w:num w:numId="9">
    <w:abstractNumId w:val="5"/>
  </w:num>
  <w:num w:numId="10">
    <w:abstractNumId w:val="4"/>
  </w:num>
  <w:num w:numId="11">
    <w:abstractNumId w:val="20"/>
  </w:num>
  <w:num w:numId="12">
    <w:abstractNumId w:val="24"/>
  </w:num>
  <w:num w:numId="13">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3"/>
  </w:num>
  <w:num w:numId="16">
    <w:abstractNumId w:val="13"/>
  </w:num>
  <w:num w:numId="17">
    <w:abstractNumId w:val="17"/>
  </w:num>
  <w:num w:numId="18">
    <w:abstractNumId w:val="18"/>
  </w:num>
  <w:num w:numId="19">
    <w:abstractNumId w:val="10"/>
  </w:num>
  <w:num w:numId="20">
    <w:abstractNumId w:val="19"/>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5"/>
  </w:num>
  <w:num w:numId="25">
    <w:abstractNumId w:val="16"/>
  </w:num>
  <w:num w:numId="26">
    <w:abstractNumId w:val="21"/>
  </w:num>
  <w:num w:numId="27">
    <w:abstractNumId w:val="12"/>
  </w:num>
  <w:num w:numId="2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CB0"/>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5CB"/>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D4E"/>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E20"/>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C19"/>
    <w:rsid w:val="00091FF2"/>
    <w:rsid w:val="000921E3"/>
    <w:rsid w:val="00092301"/>
    <w:rsid w:val="00092334"/>
    <w:rsid w:val="0009253D"/>
    <w:rsid w:val="00092C03"/>
    <w:rsid w:val="00093097"/>
    <w:rsid w:val="0009313F"/>
    <w:rsid w:val="000931C3"/>
    <w:rsid w:val="0009361B"/>
    <w:rsid w:val="0009366D"/>
    <w:rsid w:val="000937F4"/>
    <w:rsid w:val="00093918"/>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5A0"/>
    <w:rsid w:val="000B081C"/>
    <w:rsid w:val="000B08B5"/>
    <w:rsid w:val="000B0C1F"/>
    <w:rsid w:val="000B0DBC"/>
    <w:rsid w:val="000B1016"/>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583"/>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5C63"/>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7D"/>
    <w:rsid w:val="000F4EAE"/>
    <w:rsid w:val="000F4F44"/>
    <w:rsid w:val="000F52D7"/>
    <w:rsid w:val="000F53CB"/>
    <w:rsid w:val="000F54CB"/>
    <w:rsid w:val="000F5567"/>
    <w:rsid w:val="000F5A5E"/>
    <w:rsid w:val="000F5F35"/>
    <w:rsid w:val="000F6088"/>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AA"/>
    <w:rsid w:val="00103D39"/>
    <w:rsid w:val="00104058"/>
    <w:rsid w:val="0010405D"/>
    <w:rsid w:val="00104228"/>
    <w:rsid w:val="00104240"/>
    <w:rsid w:val="0010496A"/>
    <w:rsid w:val="00104A80"/>
    <w:rsid w:val="00104D74"/>
    <w:rsid w:val="00104DE9"/>
    <w:rsid w:val="001050B7"/>
    <w:rsid w:val="0010521E"/>
    <w:rsid w:val="00105262"/>
    <w:rsid w:val="001052CF"/>
    <w:rsid w:val="0010555C"/>
    <w:rsid w:val="0010568A"/>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897"/>
    <w:rsid w:val="00121961"/>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6D78"/>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56C"/>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2B"/>
    <w:rsid w:val="00135BAA"/>
    <w:rsid w:val="00135D02"/>
    <w:rsid w:val="001360FE"/>
    <w:rsid w:val="0013612A"/>
    <w:rsid w:val="001368AF"/>
    <w:rsid w:val="00136998"/>
    <w:rsid w:val="00136AAD"/>
    <w:rsid w:val="00136B7B"/>
    <w:rsid w:val="00136BA1"/>
    <w:rsid w:val="00136DF8"/>
    <w:rsid w:val="00136F19"/>
    <w:rsid w:val="00136F35"/>
    <w:rsid w:val="001370F2"/>
    <w:rsid w:val="00137280"/>
    <w:rsid w:val="00137288"/>
    <w:rsid w:val="0013736D"/>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36A"/>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244"/>
    <w:rsid w:val="0018765F"/>
    <w:rsid w:val="0018767B"/>
    <w:rsid w:val="00190307"/>
    <w:rsid w:val="001907F6"/>
    <w:rsid w:val="00190927"/>
    <w:rsid w:val="00190BD5"/>
    <w:rsid w:val="0019110C"/>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3AF"/>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89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0F68"/>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1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2E3"/>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8F"/>
    <w:rsid w:val="001F0DDF"/>
    <w:rsid w:val="001F1553"/>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CF"/>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009"/>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B21"/>
    <w:rsid w:val="00237C6F"/>
    <w:rsid w:val="00237D22"/>
    <w:rsid w:val="00240B1C"/>
    <w:rsid w:val="00240B7D"/>
    <w:rsid w:val="00240D92"/>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75"/>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A50"/>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474"/>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49"/>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DBD"/>
    <w:rsid w:val="00290FC4"/>
    <w:rsid w:val="00291403"/>
    <w:rsid w:val="002916AD"/>
    <w:rsid w:val="0029178F"/>
    <w:rsid w:val="00291B01"/>
    <w:rsid w:val="00291BA0"/>
    <w:rsid w:val="00292235"/>
    <w:rsid w:val="00292265"/>
    <w:rsid w:val="00292C97"/>
    <w:rsid w:val="00292E58"/>
    <w:rsid w:val="00293504"/>
    <w:rsid w:val="0029440E"/>
    <w:rsid w:val="002944CA"/>
    <w:rsid w:val="002945AF"/>
    <w:rsid w:val="002945EB"/>
    <w:rsid w:val="00294722"/>
    <w:rsid w:val="00294AB1"/>
    <w:rsid w:val="00295226"/>
    <w:rsid w:val="0029548C"/>
    <w:rsid w:val="00295539"/>
    <w:rsid w:val="002956E0"/>
    <w:rsid w:val="00295B24"/>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861"/>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29B"/>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645"/>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E93"/>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249"/>
    <w:rsid w:val="003308C4"/>
    <w:rsid w:val="00330AA6"/>
    <w:rsid w:val="00330C30"/>
    <w:rsid w:val="00330DE8"/>
    <w:rsid w:val="00331406"/>
    <w:rsid w:val="00331428"/>
    <w:rsid w:val="00331609"/>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26"/>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1D"/>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04"/>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3BD"/>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6E8"/>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3EF"/>
    <w:rsid w:val="00424E5F"/>
    <w:rsid w:val="004250E7"/>
    <w:rsid w:val="004258D1"/>
    <w:rsid w:val="00425C97"/>
    <w:rsid w:val="00425E05"/>
    <w:rsid w:val="00425FFD"/>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E10"/>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957"/>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C36"/>
    <w:rsid w:val="00471DB0"/>
    <w:rsid w:val="00471E77"/>
    <w:rsid w:val="00471EAE"/>
    <w:rsid w:val="00471ED6"/>
    <w:rsid w:val="00471F3B"/>
    <w:rsid w:val="00471FAB"/>
    <w:rsid w:val="00471FF6"/>
    <w:rsid w:val="004720E5"/>
    <w:rsid w:val="00472A35"/>
    <w:rsid w:val="00472ACB"/>
    <w:rsid w:val="0047396D"/>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A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C83"/>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35"/>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6E3"/>
    <w:rsid w:val="004A4900"/>
    <w:rsid w:val="004A4D38"/>
    <w:rsid w:val="004A4E7E"/>
    <w:rsid w:val="004A4E95"/>
    <w:rsid w:val="004A4ECE"/>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9"/>
    <w:rsid w:val="004D4A8A"/>
    <w:rsid w:val="004D4BEA"/>
    <w:rsid w:val="004D50CC"/>
    <w:rsid w:val="004D58A3"/>
    <w:rsid w:val="004D58D1"/>
    <w:rsid w:val="004D5AC3"/>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268"/>
    <w:rsid w:val="004F6302"/>
    <w:rsid w:val="004F64B1"/>
    <w:rsid w:val="004F66E4"/>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77C"/>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CB6"/>
    <w:rsid w:val="00530DE4"/>
    <w:rsid w:val="00530F75"/>
    <w:rsid w:val="00531191"/>
    <w:rsid w:val="005313CD"/>
    <w:rsid w:val="005316A9"/>
    <w:rsid w:val="0053173A"/>
    <w:rsid w:val="00531824"/>
    <w:rsid w:val="00531AF4"/>
    <w:rsid w:val="00531BD3"/>
    <w:rsid w:val="00531C80"/>
    <w:rsid w:val="00531E4F"/>
    <w:rsid w:val="00531F71"/>
    <w:rsid w:val="005322CE"/>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0BD"/>
    <w:rsid w:val="0054154E"/>
    <w:rsid w:val="005417A0"/>
    <w:rsid w:val="00541A6F"/>
    <w:rsid w:val="00541E2B"/>
    <w:rsid w:val="0054203B"/>
    <w:rsid w:val="005421F5"/>
    <w:rsid w:val="0054239A"/>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D22"/>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B6"/>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6F5"/>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B53"/>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35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BD"/>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472"/>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430"/>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1C14"/>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982"/>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72E"/>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00"/>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DC8"/>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67F7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99"/>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02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9E0"/>
    <w:rsid w:val="006F1ADB"/>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0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07DF8"/>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7E"/>
    <w:rsid w:val="00721AC9"/>
    <w:rsid w:val="00721E1D"/>
    <w:rsid w:val="00722B72"/>
    <w:rsid w:val="0072326D"/>
    <w:rsid w:val="007234E8"/>
    <w:rsid w:val="00723701"/>
    <w:rsid w:val="00723748"/>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0DB"/>
    <w:rsid w:val="00743757"/>
    <w:rsid w:val="00743867"/>
    <w:rsid w:val="007438A1"/>
    <w:rsid w:val="00744055"/>
    <w:rsid w:val="007440E5"/>
    <w:rsid w:val="0074431A"/>
    <w:rsid w:val="00744563"/>
    <w:rsid w:val="007446AF"/>
    <w:rsid w:val="00744A31"/>
    <w:rsid w:val="00744FB1"/>
    <w:rsid w:val="0074541B"/>
    <w:rsid w:val="00745494"/>
    <w:rsid w:val="0074576E"/>
    <w:rsid w:val="00745EB9"/>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8BC"/>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59"/>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7D2"/>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172"/>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911"/>
    <w:rsid w:val="00773CD6"/>
    <w:rsid w:val="00773F28"/>
    <w:rsid w:val="007741EB"/>
    <w:rsid w:val="007743A1"/>
    <w:rsid w:val="007744EF"/>
    <w:rsid w:val="0077486B"/>
    <w:rsid w:val="007750DC"/>
    <w:rsid w:val="00775330"/>
    <w:rsid w:val="0077599E"/>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C98"/>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2B5"/>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45"/>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19"/>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0F38"/>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197"/>
    <w:rsid w:val="0083225E"/>
    <w:rsid w:val="008324EC"/>
    <w:rsid w:val="00832A6E"/>
    <w:rsid w:val="00832C18"/>
    <w:rsid w:val="00832CAF"/>
    <w:rsid w:val="008330DB"/>
    <w:rsid w:val="00833EF5"/>
    <w:rsid w:val="008340F5"/>
    <w:rsid w:val="0083417A"/>
    <w:rsid w:val="00834512"/>
    <w:rsid w:val="00834746"/>
    <w:rsid w:val="0083499A"/>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6EF"/>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D1F"/>
    <w:rsid w:val="008A42D8"/>
    <w:rsid w:val="008A457F"/>
    <w:rsid w:val="008A46F6"/>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B81"/>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4EF"/>
    <w:rsid w:val="008E5B5F"/>
    <w:rsid w:val="008E5D5A"/>
    <w:rsid w:val="008E5D7A"/>
    <w:rsid w:val="008E5E0A"/>
    <w:rsid w:val="008E6333"/>
    <w:rsid w:val="008E6788"/>
    <w:rsid w:val="008E6B9F"/>
    <w:rsid w:val="008E7DB3"/>
    <w:rsid w:val="008F01AB"/>
    <w:rsid w:val="008F0460"/>
    <w:rsid w:val="008F072E"/>
    <w:rsid w:val="008F0C10"/>
    <w:rsid w:val="008F0D27"/>
    <w:rsid w:val="008F190A"/>
    <w:rsid w:val="008F19B7"/>
    <w:rsid w:val="008F1CF8"/>
    <w:rsid w:val="008F2201"/>
    <w:rsid w:val="008F2595"/>
    <w:rsid w:val="008F2B4B"/>
    <w:rsid w:val="008F2C91"/>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2A55"/>
    <w:rsid w:val="00913BC8"/>
    <w:rsid w:val="00913F4C"/>
    <w:rsid w:val="0091404B"/>
    <w:rsid w:val="0091423A"/>
    <w:rsid w:val="0091461B"/>
    <w:rsid w:val="009148A1"/>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6D37"/>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46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457"/>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43"/>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2A"/>
    <w:rsid w:val="00974182"/>
    <w:rsid w:val="009744FF"/>
    <w:rsid w:val="00974520"/>
    <w:rsid w:val="00974D6B"/>
    <w:rsid w:val="00974EBD"/>
    <w:rsid w:val="009751BA"/>
    <w:rsid w:val="00975502"/>
    <w:rsid w:val="0097556A"/>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CA7"/>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B2F"/>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47B"/>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780"/>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AB8"/>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3F6D"/>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4D4"/>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C6"/>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CF"/>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552B"/>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19"/>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A6E"/>
    <w:rsid w:val="00AF3C80"/>
    <w:rsid w:val="00AF3C8C"/>
    <w:rsid w:val="00AF3CE0"/>
    <w:rsid w:val="00AF41FC"/>
    <w:rsid w:val="00AF4345"/>
    <w:rsid w:val="00AF457C"/>
    <w:rsid w:val="00AF4648"/>
    <w:rsid w:val="00AF5021"/>
    <w:rsid w:val="00AF5088"/>
    <w:rsid w:val="00AF5178"/>
    <w:rsid w:val="00AF5193"/>
    <w:rsid w:val="00AF51E9"/>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9B8"/>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CE1"/>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CE6"/>
    <w:rsid w:val="00B25D20"/>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6A2"/>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3E7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36E"/>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09"/>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3D7"/>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14E"/>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336"/>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4CC"/>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3FFD"/>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2DCD"/>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1E45"/>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6"/>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1D10"/>
    <w:rsid w:val="00C820A1"/>
    <w:rsid w:val="00C82375"/>
    <w:rsid w:val="00C82387"/>
    <w:rsid w:val="00C82496"/>
    <w:rsid w:val="00C82640"/>
    <w:rsid w:val="00C83AEB"/>
    <w:rsid w:val="00C83B30"/>
    <w:rsid w:val="00C83C7A"/>
    <w:rsid w:val="00C83D34"/>
    <w:rsid w:val="00C84317"/>
    <w:rsid w:val="00C843AB"/>
    <w:rsid w:val="00C845CE"/>
    <w:rsid w:val="00C85116"/>
    <w:rsid w:val="00C8534D"/>
    <w:rsid w:val="00C85A05"/>
    <w:rsid w:val="00C8610A"/>
    <w:rsid w:val="00C86154"/>
    <w:rsid w:val="00C8624E"/>
    <w:rsid w:val="00C86379"/>
    <w:rsid w:val="00C864DB"/>
    <w:rsid w:val="00C87081"/>
    <w:rsid w:val="00C870B0"/>
    <w:rsid w:val="00C872D8"/>
    <w:rsid w:val="00C877DD"/>
    <w:rsid w:val="00C8781D"/>
    <w:rsid w:val="00C901A9"/>
    <w:rsid w:val="00C905AC"/>
    <w:rsid w:val="00C90B43"/>
    <w:rsid w:val="00C90C65"/>
    <w:rsid w:val="00C90C82"/>
    <w:rsid w:val="00C90ED4"/>
    <w:rsid w:val="00C90F7A"/>
    <w:rsid w:val="00C91476"/>
    <w:rsid w:val="00C91707"/>
    <w:rsid w:val="00C917C5"/>
    <w:rsid w:val="00C918AF"/>
    <w:rsid w:val="00C91CFB"/>
    <w:rsid w:val="00C91DF3"/>
    <w:rsid w:val="00C91EB2"/>
    <w:rsid w:val="00C91FAC"/>
    <w:rsid w:val="00C9220C"/>
    <w:rsid w:val="00C92215"/>
    <w:rsid w:val="00C922C5"/>
    <w:rsid w:val="00C92352"/>
    <w:rsid w:val="00C92541"/>
    <w:rsid w:val="00C926FD"/>
    <w:rsid w:val="00C9272E"/>
    <w:rsid w:val="00C927C7"/>
    <w:rsid w:val="00C92C2A"/>
    <w:rsid w:val="00C9318C"/>
    <w:rsid w:val="00C9323B"/>
    <w:rsid w:val="00C93297"/>
    <w:rsid w:val="00C945C2"/>
    <w:rsid w:val="00C945EC"/>
    <w:rsid w:val="00C94C81"/>
    <w:rsid w:val="00C94CA6"/>
    <w:rsid w:val="00C94E45"/>
    <w:rsid w:val="00C95300"/>
    <w:rsid w:val="00C9545D"/>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6BF"/>
    <w:rsid w:val="00CA18D2"/>
    <w:rsid w:val="00CA1A2D"/>
    <w:rsid w:val="00CA1B31"/>
    <w:rsid w:val="00CA1E4E"/>
    <w:rsid w:val="00CA2645"/>
    <w:rsid w:val="00CA2793"/>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0C3"/>
    <w:rsid w:val="00CB6343"/>
    <w:rsid w:val="00CB6535"/>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16E"/>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72C"/>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23D"/>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E2"/>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573"/>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14E"/>
    <w:rsid w:val="00D14204"/>
    <w:rsid w:val="00D1445D"/>
    <w:rsid w:val="00D145FE"/>
    <w:rsid w:val="00D15D5B"/>
    <w:rsid w:val="00D15D9D"/>
    <w:rsid w:val="00D1624D"/>
    <w:rsid w:val="00D16481"/>
    <w:rsid w:val="00D1678C"/>
    <w:rsid w:val="00D16BA8"/>
    <w:rsid w:val="00D174E5"/>
    <w:rsid w:val="00D17D60"/>
    <w:rsid w:val="00D17F37"/>
    <w:rsid w:val="00D20171"/>
    <w:rsid w:val="00D202D3"/>
    <w:rsid w:val="00D2032A"/>
    <w:rsid w:val="00D2032F"/>
    <w:rsid w:val="00D2054C"/>
    <w:rsid w:val="00D20F57"/>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CF7"/>
    <w:rsid w:val="00D25EC9"/>
    <w:rsid w:val="00D261FB"/>
    <w:rsid w:val="00D26283"/>
    <w:rsid w:val="00D263B5"/>
    <w:rsid w:val="00D26553"/>
    <w:rsid w:val="00D26586"/>
    <w:rsid w:val="00D2698B"/>
    <w:rsid w:val="00D26DBE"/>
    <w:rsid w:val="00D2728D"/>
    <w:rsid w:val="00D27A53"/>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4F"/>
    <w:rsid w:val="00D4149D"/>
    <w:rsid w:val="00D41901"/>
    <w:rsid w:val="00D41CD0"/>
    <w:rsid w:val="00D420BE"/>
    <w:rsid w:val="00D421D9"/>
    <w:rsid w:val="00D422E4"/>
    <w:rsid w:val="00D42316"/>
    <w:rsid w:val="00D429DA"/>
    <w:rsid w:val="00D42B71"/>
    <w:rsid w:val="00D42BB2"/>
    <w:rsid w:val="00D42E4D"/>
    <w:rsid w:val="00D432A8"/>
    <w:rsid w:val="00D435FC"/>
    <w:rsid w:val="00D43888"/>
    <w:rsid w:val="00D43A49"/>
    <w:rsid w:val="00D440D2"/>
    <w:rsid w:val="00D4429F"/>
    <w:rsid w:val="00D44336"/>
    <w:rsid w:val="00D44607"/>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0E6"/>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B49"/>
    <w:rsid w:val="00D80C93"/>
    <w:rsid w:val="00D80CCB"/>
    <w:rsid w:val="00D80FEB"/>
    <w:rsid w:val="00D81307"/>
    <w:rsid w:val="00D814DD"/>
    <w:rsid w:val="00D817FD"/>
    <w:rsid w:val="00D81E9C"/>
    <w:rsid w:val="00D81F7B"/>
    <w:rsid w:val="00D82048"/>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34"/>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6DAA"/>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7CC"/>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02F"/>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0F9"/>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53A"/>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DD8"/>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709"/>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35"/>
    <w:rsid w:val="00E347CD"/>
    <w:rsid w:val="00E34AEC"/>
    <w:rsid w:val="00E34CA9"/>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4F31"/>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2BF"/>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4D31"/>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5"/>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A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AF"/>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8E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3CC"/>
    <w:rsid w:val="00F57637"/>
    <w:rsid w:val="00F5765A"/>
    <w:rsid w:val="00F57704"/>
    <w:rsid w:val="00F577F9"/>
    <w:rsid w:val="00F57BD3"/>
    <w:rsid w:val="00F57C72"/>
    <w:rsid w:val="00F57E66"/>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09D"/>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B8D"/>
    <w:rsid w:val="00F83E5F"/>
    <w:rsid w:val="00F841A2"/>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61B"/>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7C6"/>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3EB"/>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6ED4"/>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187244"/>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7244"/>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92636F9-B031-469B-8BA6-0559B983941C}">
  <ds:schemaRefs>
    <ds:schemaRef ds:uri="http://schemas.openxmlformats.org/officeDocument/2006/bibliography"/>
  </ds:schemaRefs>
</ds:datastoreItem>
</file>

<file path=customXml/itemProps6.xml><?xml version="1.0" encoding="utf-8"?>
<ds:datastoreItem xmlns:ds="http://schemas.openxmlformats.org/officeDocument/2006/customXml" ds:itemID="{BE8AE02C-36E0-4CDF-A8D2-1FB79B8B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9788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Thomas, Robin Rajan</cp:lastModifiedBy>
  <cp:revision>2</cp:revision>
  <cp:lastPrinted>2017-11-16T14:00:00Z</cp:lastPrinted>
  <dcterms:created xsi:type="dcterms:W3CDTF">2018-11-01T16:07:00Z</dcterms:created>
  <dcterms:modified xsi:type="dcterms:W3CDTF">2018-11-01T16:07:00Z</dcterms:modified>
  <cp:category/>
</cp:coreProperties>
</file>