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CDA47" w14:textId="71241238" w:rsidR="00206152" w:rsidRPr="004F506B" w:rsidRDefault="00206152" w:rsidP="00206152">
      <w:pPr>
        <w:pStyle w:val="3GPPHeader"/>
        <w:spacing w:after="60"/>
        <w:rPr>
          <w:sz w:val="32"/>
          <w:szCs w:val="32"/>
          <w:highlight w:val="yellow"/>
        </w:rPr>
      </w:pPr>
      <w:r w:rsidRPr="004F506B">
        <w:t>3GPP TSG-RAN WG2#103</w:t>
      </w:r>
      <w:r>
        <w:t>bis</w:t>
      </w:r>
      <w:r w:rsidRPr="004F506B">
        <w:tab/>
      </w:r>
      <w:r w:rsidRPr="004F506B">
        <w:rPr>
          <w:sz w:val="32"/>
          <w:szCs w:val="32"/>
        </w:rPr>
        <w:t xml:space="preserve">Tdoc </w:t>
      </w:r>
      <w:r w:rsidR="00455778">
        <w:rPr>
          <w:sz w:val="32"/>
          <w:szCs w:val="32"/>
        </w:rPr>
        <w:t>R2-1815587</w:t>
      </w:r>
      <w:bookmarkStart w:id="0" w:name="_GoBack"/>
      <w:bookmarkEnd w:id="0"/>
    </w:p>
    <w:p w14:paraId="7F6EAB95" w14:textId="5BE70D03" w:rsidR="00206152" w:rsidRPr="004F506B" w:rsidRDefault="00206152" w:rsidP="00206152">
      <w:pPr>
        <w:pStyle w:val="3GPPHeader"/>
      </w:pPr>
      <w:r w:rsidRPr="001B17E3">
        <w:t>Chengdu, China, 8th – 12th October 2018</w:t>
      </w:r>
      <w:r w:rsidR="00455778">
        <w:t xml:space="preserve">. </w:t>
      </w:r>
      <w:r w:rsidR="00455778">
        <w:rPr>
          <w:b w:val="0"/>
          <w:noProof/>
          <w:lang w:eastAsia="ko-KR"/>
        </w:rPr>
        <w:t xml:space="preserve">  </w:t>
      </w:r>
      <w:r w:rsidR="00455778">
        <w:rPr>
          <w:b w:val="0"/>
          <w:noProof/>
          <w:lang w:eastAsia="ko-KR"/>
        </w:rPr>
        <w:tab/>
      </w:r>
      <w:r w:rsidR="00455778">
        <w:rPr>
          <w:b w:val="0"/>
          <w:noProof/>
          <w:lang w:eastAsia="ko-KR"/>
        </w:rPr>
        <w:t xml:space="preserve">  </w:t>
      </w:r>
      <w:r w:rsidR="00455778" w:rsidRPr="00872BE9">
        <w:rPr>
          <w:b w:val="0"/>
          <w:noProof/>
          <w:lang w:eastAsia="ko-KR"/>
        </w:rPr>
        <w:t>(</w:t>
      </w:r>
      <w:r w:rsidR="00455778">
        <w:rPr>
          <w:b w:val="0"/>
          <w:noProof/>
          <w:lang w:eastAsia="ko-KR"/>
        </w:rPr>
        <w:t>Revision of R2-1814648</w:t>
      </w:r>
      <w:r w:rsidR="00455778" w:rsidRPr="00872BE9">
        <w:rPr>
          <w:b w:val="0"/>
          <w:noProof/>
          <w:lang w:eastAsia="ko-KR"/>
        </w:rPr>
        <w:t>)</w:t>
      </w:r>
    </w:p>
    <w:p w14:paraId="26915266" w14:textId="77777777" w:rsidR="00E90E49" w:rsidRPr="00CE0424" w:rsidRDefault="00E90E49" w:rsidP="00357380">
      <w:pPr>
        <w:pStyle w:val="3GPPHeader"/>
      </w:pPr>
    </w:p>
    <w:p w14:paraId="3012D8F7" w14:textId="14E169C6" w:rsidR="00E90E49" w:rsidRPr="00CE0424" w:rsidRDefault="00E90E49" w:rsidP="00311702">
      <w:pPr>
        <w:pStyle w:val="3GPPHeader"/>
        <w:rPr>
          <w:sz w:val="22"/>
          <w:szCs w:val="22"/>
        </w:rPr>
      </w:pPr>
      <w:r w:rsidRPr="00D85990">
        <w:rPr>
          <w:sz w:val="22"/>
          <w:szCs w:val="22"/>
        </w:rPr>
        <w:t>Agenda Item:</w:t>
      </w:r>
      <w:r w:rsidRPr="00D85990">
        <w:rPr>
          <w:sz w:val="22"/>
          <w:szCs w:val="22"/>
        </w:rPr>
        <w:tab/>
      </w:r>
      <w:r w:rsidR="00206152" w:rsidRPr="00206152">
        <w:rPr>
          <w:sz w:val="22"/>
          <w:szCs w:val="22"/>
        </w:rPr>
        <w:t>10.4.1.4.4</w:t>
      </w:r>
      <w:r w:rsidR="00206152">
        <w:rPr>
          <w:sz w:val="22"/>
          <w:szCs w:val="22"/>
        </w:rPr>
        <w:t xml:space="preserve"> </w:t>
      </w:r>
      <w:r w:rsidR="00206152" w:rsidRPr="00206152">
        <w:rPr>
          <w:sz w:val="22"/>
          <w:szCs w:val="22"/>
        </w:rPr>
        <w:t>ANR</w:t>
      </w:r>
    </w:p>
    <w:p w14:paraId="5E1A4143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304696C2" w14:textId="71227EE9" w:rsidR="00E90E49" w:rsidRPr="00CE0424" w:rsidRDefault="003D3C45" w:rsidP="00311702">
      <w:pPr>
        <w:pStyle w:val="3GPPHeader"/>
        <w:rPr>
          <w:sz w:val="22"/>
          <w:szCs w:val="22"/>
        </w:rPr>
      </w:pPr>
      <w:r w:rsidRPr="00AE1D85">
        <w:rPr>
          <w:sz w:val="22"/>
          <w:szCs w:val="22"/>
        </w:rPr>
        <w:t>Title:</w:t>
      </w:r>
      <w:r w:rsidR="00E90E49" w:rsidRPr="00AE1D85">
        <w:rPr>
          <w:sz w:val="22"/>
          <w:szCs w:val="22"/>
        </w:rPr>
        <w:tab/>
      </w:r>
      <w:r w:rsidR="00AE1D85" w:rsidRPr="00AE1D85">
        <w:rPr>
          <w:sz w:val="22"/>
          <w:szCs w:val="22"/>
        </w:rPr>
        <w:t xml:space="preserve">SSBs without SIB1 </w:t>
      </w:r>
      <w:r w:rsidR="00B50751">
        <w:rPr>
          <w:sz w:val="22"/>
          <w:szCs w:val="22"/>
        </w:rPr>
        <w:t xml:space="preserve">and CD-SSB in </w:t>
      </w:r>
      <w:r w:rsidR="00AE1D85" w:rsidRPr="00AE1D85">
        <w:rPr>
          <w:sz w:val="22"/>
          <w:szCs w:val="22"/>
        </w:rPr>
        <w:t>CGI reporting</w:t>
      </w:r>
    </w:p>
    <w:p w14:paraId="21181081" w14:textId="32135BA2" w:rsidR="00E90E49" w:rsidRPr="00AE1D85" w:rsidRDefault="008250B9" w:rsidP="00AE1D85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</w:t>
      </w:r>
    </w:p>
    <w:p w14:paraId="333DEBE5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89A67CD" w14:textId="77777777" w:rsidR="00AE1D85" w:rsidRPr="00231F6D" w:rsidRDefault="00AE1D85" w:rsidP="00AE1D85">
      <w:pPr>
        <w:pStyle w:val="BodyText"/>
      </w:pPr>
      <w:r w:rsidRPr="001C16A2">
        <w:t xml:space="preserve">In RAN2#102 in Busan, CGI reporting was discussed and the following baseline was </w:t>
      </w:r>
      <w:r w:rsidRPr="00231F6D">
        <w:t>agreed:</w:t>
      </w:r>
    </w:p>
    <w:p w14:paraId="268CE7A9" w14:textId="77777777" w:rsidR="00AE1D85" w:rsidRPr="00231F6D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1F6D">
        <w:t>Agreements for ANR (reportCGI functionality in RRC)Z</w:t>
      </w:r>
    </w:p>
    <w:p w14:paraId="069FFD1D" w14:textId="77777777" w:rsidR="00AE1D85" w:rsidRPr="00231F6D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1F6D">
        <w:t>1: For ANR, including Intra and Inter RAT cases, the following ANR configuration are supported:wq</w:t>
      </w:r>
    </w:p>
    <w:p w14:paraId="42BDF649" w14:textId="77777777" w:rsidR="00AE1D85" w:rsidRPr="00F455FF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455FF">
        <w:t>-</w:t>
      </w:r>
      <w:r w:rsidRPr="00F455FF">
        <w:tab/>
        <w:t>Inter-RAT ANR towards NR configured by eNB</w:t>
      </w:r>
    </w:p>
    <w:p w14:paraId="0C9E2391" w14:textId="77777777" w:rsidR="00AE1D85" w:rsidRPr="00F455FF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95D7E">
        <w:t>-</w:t>
      </w:r>
      <w:r w:rsidRPr="00A95D7E">
        <w:tab/>
        <w:t>Intra-RAT ANR towards NR configured by gNB</w:t>
      </w:r>
    </w:p>
    <w:p w14:paraId="29C72B5F" w14:textId="77777777" w:rsidR="00AE1D85" w:rsidRPr="00F455FF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455FF">
        <w:t>-</w:t>
      </w:r>
      <w:r w:rsidRPr="00F455FF">
        <w:tab/>
        <w:t>Inter-RAT ANR towards LTE configured by gNB</w:t>
      </w:r>
    </w:p>
    <w:p w14:paraId="58D7B01B" w14:textId="77777777" w:rsidR="00AE1D85" w:rsidRPr="00F455FF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455FF">
        <w:t>2</w:t>
      </w:r>
      <w:r w:rsidRPr="00F455FF">
        <w:tab/>
        <w:t xml:space="preserve"> In case of EN-DC UE, ANR function towards NR cell can be configured by SN. </w:t>
      </w:r>
    </w:p>
    <w:p w14:paraId="658BD86B" w14:textId="77777777" w:rsidR="00AE1D85" w:rsidRPr="00F455FF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455FF">
        <w:t>2i</w:t>
      </w:r>
      <w:r w:rsidRPr="00F455FF">
        <w:tab/>
        <w:t>The UE can only be configured with a single reportCGI configuration, from either MN or SN.</w:t>
      </w:r>
    </w:p>
    <w:p w14:paraId="40FA6E31" w14:textId="77777777" w:rsidR="00AE1D85" w:rsidRPr="00F455FF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455FF">
        <w:t>2ii</w:t>
      </w:r>
      <w:r w:rsidRPr="00F455FF">
        <w:tab/>
        <w:t>Configuration of ANR towards NR cell requires coordination between MN and SN</w:t>
      </w:r>
    </w:p>
    <w:p w14:paraId="6262282A" w14:textId="77777777" w:rsidR="00AE1D85" w:rsidRPr="00F455FF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455FF">
        <w:t>3: For ANR reporting, the CGI content includes:</w:t>
      </w:r>
    </w:p>
    <w:p w14:paraId="6AABAF58" w14:textId="77777777" w:rsidR="00AE1D85" w:rsidRPr="00F455FF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455FF">
        <w:t>-</w:t>
      </w:r>
      <w:r w:rsidRPr="00F455FF">
        <w:tab/>
        <w:t>a: PLMN list, TAC, frequency band list and CGI as baseline</w:t>
      </w:r>
    </w:p>
    <w:p w14:paraId="5772A5DF" w14:textId="77777777" w:rsidR="00AE1D85" w:rsidRPr="00F455FF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455FF">
        <w:t>-</w:t>
      </w:r>
      <w:r w:rsidRPr="00F455FF">
        <w:tab/>
        <w:t>b: RANAC is also reported, if included in SIB1</w:t>
      </w:r>
    </w:p>
    <w:p w14:paraId="64525339" w14:textId="77777777" w:rsidR="00AE1D85" w:rsidRPr="002A5EFD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yellow"/>
        </w:rPr>
      </w:pPr>
      <w:r w:rsidRPr="002A5EFD">
        <w:rPr>
          <w:highlight w:val="yellow"/>
        </w:rPr>
        <w:t>4:</w:t>
      </w:r>
      <w:r w:rsidRPr="002A5EFD">
        <w:rPr>
          <w:highlight w:val="yellow"/>
        </w:rPr>
        <w:tab/>
        <w:t>In the case SIB1/RMSI is not broadcast, UE should report a notification to network. UE report includes:</w:t>
      </w:r>
    </w:p>
    <w:p w14:paraId="454F8B2C" w14:textId="77777777" w:rsidR="00AE1D85" w:rsidRPr="002A5EFD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yellow"/>
        </w:rPr>
      </w:pPr>
      <w:r w:rsidRPr="002A5EFD">
        <w:rPr>
          <w:highlight w:val="yellow"/>
        </w:rPr>
        <w:t>-</w:t>
      </w:r>
      <w:r w:rsidRPr="002A5EFD">
        <w:rPr>
          <w:highlight w:val="yellow"/>
        </w:rPr>
        <w:tab/>
        <w:t>a: “no SIB1 provided” indication</w:t>
      </w:r>
    </w:p>
    <w:p w14:paraId="179AEC2E" w14:textId="77777777" w:rsidR="00AE1D85" w:rsidRPr="00611435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A5EFD">
        <w:rPr>
          <w:highlight w:val="yellow"/>
        </w:rPr>
        <w:t>FFS whether UE should also report where CD-SSB of the measured SSB can be found</w:t>
      </w:r>
    </w:p>
    <w:p w14:paraId="2D636858" w14:textId="77777777" w:rsidR="00AE1D85" w:rsidRPr="00611435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11435">
        <w:t>5:</w:t>
      </w:r>
      <w:r w:rsidRPr="00611435">
        <w:tab/>
        <w:t>In the case SIB1/RMSI is not broadcast, UE should report UE should report “no SIB1 provided indication” without waiting for T321 timer expiry and stop timer</w:t>
      </w:r>
    </w:p>
    <w:p w14:paraId="59A6C452" w14:textId="77777777" w:rsidR="00AE1D85" w:rsidRPr="00611435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11435">
        <w:t>6</w:t>
      </w:r>
      <w:r w:rsidRPr="00611435">
        <w:tab/>
        <w:t>In case of EN-DC, if reportCGI for NR cell is configured by eNB, then UE behavior follows inter-RAT ANR T321 value; if reportCGI for NR cell is configured by gNB, then UE behavior follows intra-RAT ANR T321 value. RAN2 sends an Ls to RAN4 to confirm RAN2 understanding</w:t>
      </w:r>
    </w:p>
    <w:p w14:paraId="6DC65B26" w14:textId="77777777" w:rsidR="00AE1D85" w:rsidRPr="00611435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11435">
        <w:t>7</w:t>
      </w:r>
      <w:r w:rsidRPr="00611435">
        <w:tab/>
        <w:t>RAN2 to send an Ls to RAN4 on guidance for T321 values in the following ANR measurement cases:</w:t>
      </w:r>
    </w:p>
    <w:p w14:paraId="6DA3A714" w14:textId="77777777" w:rsidR="00AE1D85" w:rsidRPr="00611435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11435">
        <w:t>-</w:t>
      </w:r>
      <w:r w:rsidRPr="00611435">
        <w:tab/>
        <w:t xml:space="preserve">UE served by LTE cell towards NR cell </w:t>
      </w:r>
    </w:p>
    <w:p w14:paraId="3A4DA839" w14:textId="77777777" w:rsidR="00AE1D85" w:rsidRPr="00611435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11435">
        <w:t>-</w:t>
      </w:r>
      <w:r w:rsidRPr="00611435">
        <w:tab/>
        <w:t>UE served by NR cell towards NR cell</w:t>
      </w:r>
    </w:p>
    <w:p w14:paraId="503B5338" w14:textId="77777777" w:rsidR="00AE1D85" w:rsidRPr="00611435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11435">
        <w:t>-</w:t>
      </w:r>
      <w:r w:rsidRPr="00611435">
        <w:tab/>
        <w:t>UE served by NR cell towards LTE cell</w:t>
      </w:r>
    </w:p>
    <w:p w14:paraId="0EF4743F" w14:textId="77777777" w:rsidR="00AE1D85" w:rsidRPr="00611435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11435">
        <w:t>8</w:t>
      </w:r>
      <w:r w:rsidRPr="00611435">
        <w:tab/>
        <w:t>For UE capability for ANR towards NR cell:</w:t>
      </w:r>
    </w:p>
    <w:p w14:paraId="531C53C0" w14:textId="77777777" w:rsidR="00AE1D85" w:rsidRPr="00611435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11435">
        <w:t>-</w:t>
      </w:r>
      <w:r w:rsidRPr="00611435">
        <w:tab/>
        <w:t>a: DRX based reading of ANR towards NR cell related measurement should be supported</w:t>
      </w:r>
    </w:p>
    <w:p w14:paraId="00C5D5CE" w14:textId="77777777" w:rsidR="00AE1D85" w:rsidRPr="00611435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11435">
        <w:t>9</w:t>
      </w:r>
      <w:r w:rsidRPr="00611435">
        <w:tab/>
        <w:t xml:space="preserve">RAN2 to send an Ls to RAN4 to ask whether it is feasible to use autonomous gap </w:t>
      </w:r>
    </w:p>
    <w:p w14:paraId="40A7E646" w14:textId="77777777" w:rsidR="00AE1D85" w:rsidRPr="00611435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11435">
        <w:t>10</w:t>
      </w:r>
      <w:r w:rsidRPr="00611435">
        <w:tab/>
        <w:t>For ANR CGI reporting, only one NR neighbor cell configuration is support at a time</w:t>
      </w:r>
    </w:p>
    <w:p w14:paraId="0439EC3E" w14:textId="77777777" w:rsidR="00AE1D85" w:rsidRPr="00611435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11435">
        <w:t xml:space="preserve">11: </w:t>
      </w:r>
    </w:p>
    <w:p w14:paraId="3D28B92D" w14:textId="77777777" w:rsidR="00AE1D85" w:rsidRPr="00611435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11435">
        <w:t>a.</w:t>
      </w:r>
      <w:r w:rsidRPr="00611435">
        <w:tab/>
        <w:t xml:space="preserve">Introduce a UE capability bit in NR for Intra-RAT ANR (including inter and Intra frequency) </w:t>
      </w:r>
    </w:p>
    <w:p w14:paraId="5E54C518" w14:textId="77777777" w:rsidR="00AE1D85" w:rsidRPr="00611435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11435">
        <w:t>b.</w:t>
      </w:r>
      <w:r w:rsidRPr="00611435">
        <w:tab/>
        <w:t xml:space="preserve">Introduce a UE capability bit in NR for Inter-RAT ANR towards LTE cell. </w:t>
      </w:r>
    </w:p>
    <w:p w14:paraId="751A0A13" w14:textId="77777777" w:rsidR="00AE1D85" w:rsidRPr="00611435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11435">
        <w:t>c.</w:t>
      </w:r>
      <w:r w:rsidRPr="00611435">
        <w:tab/>
        <w:t>Introduce a UE capability bit in LTE for Inter-RAT ANR towards NR cell.</w:t>
      </w:r>
    </w:p>
    <w:p w14:paraId="03016B60" w14:textId="77777777" w:rsidR="00AE1D85" w:rsidRPr="00611435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11435">
        <w:t>FFS Whether 2 separate capability bits are needed for LTE with and without EN-DC configured.</w:t>
      </w:r>
    </w:p>
    <w:p w14:paraId="6880E7B6" w14:textId="77777777" w:rsidR="00AE1D85" w:rsidRPr="00611435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11435">
        <w:t>12: For ANR support, RAN2 sees no need to differentiate between FR1 and FR2. RAN2 to send an Ls to RAN4 to ask for opinion</w:t>
      </w:r>
    </w:p>
    <w:p w14:paraId="344626E8" w14:textId="77777777" w:rsidR="00AE1D85" w:rsidRPr="00611435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11435">
        <w:t>FFS where cellsForWhichToReportCGI is added (measID or reportConfig)</w:t>
      </w:r>
    </w:p>
    <w:p w14:paraId="024F7172" w14:textId="77777777" w:rsidR="00AE1D85" w:rsidRPr="00611435" w:rsidRDefault="00AE1D85" w:rsidP="00AE1D85">
      <w:pPr>
        <w:pStyle w:val="BodyText"/>
      </w:pPr>
    </w:p>
    <w:p w14:paraId="698F9185" w14:textId="4A8C2306" w:rsidR="00477768" w:rsidRPr="00CE0424" w:rsidRDefault="00AE1D85" w:rsidP="00CE0424">
      <w:pPr>
        <w:pStyle w:val="BodyText"/>
      </w:pPr>
      <w:r>
        <w:lastRenderedPageBreak/>
        <w:t xml:space="preserve">This contribution addresses the highlighted FFS i.e. </w:t>
      </w:r>
      <w:r w:rsidRPr="00AE1D85">
        <w:t>whether UE should also report where CD-SSB of the measured SSB can be found</w:t>
      </w:r>
      <w:r>
        <w:t>.</w:t>
      </w:r>
    </w:p>
    <w:p w14:paraId="43CE99A5" w14:textId="388BB78B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0B847395" w14:textId="7E24BCA9" w:rsidR="00AE1D85" w:rsidRDefault="00AE1D85" w:rsidP="00AE1D85">
      <w:pPr>
        <w:pStyle w:val="BodyText"/>
      </w:pPr>
      <w:r>
        <w:t xml:space="preserve">In the current version of the RRC </w:t>
      </w:r>
      <w:r w:rsidR="00F94A8E">
        <w:t>specifications</w:t>
      </w:r>
      <w:r>
        <w:t xml:space="preserve">, upon being configured to report CGI for a particular cell (PCI + measObject) and identifying that SIB1 is not broadcast, the UE includes additional information about where to find a possibly associated CD-SSB of the measured SSB. More precisely, UE reports </w:t>
      </w:r>
      <w:r w:rsidRPr="009A5466">
        <w:rPr>
          <w:i/>
        </w:rPr>
        <w:t>ssb-SubcarrierOffset</w:t>
      </w:r>
      <w:r>
        <w:t xml:space="preserve"> and </w:t>
      </w:r>
      <w:r w:rsidRPr="009A5466">
        <w:rPr>
          <w:i/>
        </w:rPr>
        <w:t>pdcch-ConfigSIB1</w:t>
      </w:r>
      <w:r>
        <w:t xml:space="preserve"> parameters acquired from MIB and includes that information along with the no SIB1 indication.</w:t>
      </w:r>
    </w:p>
    <w:p w14:paraId="7352C409" w14:textId="77777777" w:rsidR="00AE1D85" w:rsidRPr="009A5466" w:rsidRDefault="00AE1D85" w:rsidP="00AE1D85">
      <w:pPr>
        <w:pStyle w:val="PL"/>
      </w:pPr>
      <w:r w:rsidRPr="009A5466">
        <w:tab/>
        <w:t>cgi-Info</w:t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  <w:t>SEQUENCE {</w:t>
      </w:r>
    </w:p>
    <w:p w14:paraId="49379437" w14:textId="77777777" w:rsidR="00AE1D85" w:rsidRPr="009A5466" w:rsidRDefault="00AE1D85" w:rsidP="00AE1D85">
      <w:pPr>
        <w:pStyle w:val="PL"/>
      </w:pPr>
      <w:r w:rsidRPr="009A5466">
        <w:tab/>
      </w:r>
      <w:r w:rsidRPr="009A5466">
        <w:tab/>
        <w:t>cellGlobalId</w:t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  <w:t>CellGlobalIdNR,</w:t>
      </w:r>
    </w:p>
    <w:p w14:paraId="743DE110" w14:textId="77777777" w:rsidR="00AE1D85" w:rsidRPr="009A5466" w:rsidRDefault="00AE1D85" w:rsidP="00AE1D85">
      <w:pPr>
        <w:pStyle w:val="PL"/>
      </w:pPr>
      <w:r w:rsidRPr="009A5466">
        <w:tab/>
      </w:r>
      <w:r w:rsidRPr="009A5466">
        <w:tab/>
        <w:t>trackingAreaCode</w:t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  <w:t>TrackingAreaCode,</w:t>
      </w:r>
    </w:p>
    <w:p w14:paraId="04F00FE9" w14:textId="77777777" w:rsidR="00AE1D85" w:rsidRPr="009A5466" w:rsidRDefault="00AE1D85" w:rsidP="00AE1D85">
      <w:pPr>
        <w:pStyle w:val="PL"/>
      </w:pPr>
      <w:r w:rsidRPr="009A5466">
        <w:tab/>
      </w:r>
      <w:r w:rsidRPr="009A5466">
        <w:tab/>
        <w:t>plmn-IdentityList</w:t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  <w:t xml:space="preserve">PLMN-IdentityInfoList </w:t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  <w:t>OPTIONAL,</w:t>
      </w:r>
    </w:p>
    <w:p w14:paraId="089F231B" w14:textId="77777777" w:rsidR="00AE1D85" w:rsidRPr="009A5466" w:rsidRDefault="00AE1D85" w:rsidP="00AE1D85">
      <w:pPr>
        <w:pStyle w:val="PL"/>
      </w:pPr>
      <w:r w:rsidRPr="009A5466">
        <w:tab/>
      </w:r>
      <w:r w:rsidRPr="009A5466">
        <w:tab/>
        <w:t>frequencyBandList</w:t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  <w:t>MultiFrequencyBandListNR</w:t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  <w:t>OPTIONAL,</w:t>
      </w:r>
    </w:p>
    <w:p w14:paraId="5C1284E5" w14:textId="77777777" w:rsidR="00AE1D85" w:rsidRPr="009A5466" w:rsidRDefault="00AE1D85" w:rsidP="00AE1D85">
      <w:pPr>
        <w:pStyle w:val="PL"/>
        <w:rPr>
          <w:highlight w:val="yellow"/>
        </w:rPr>
      </w:pPr>
      <w:r w:rsidRPr="009A5466">
        <w:tab/>
      </w:r>
      <w:r w:rsidRPr="009A5466">
        <w:tab/>
      </w:r>
      <w:r w:rsidRPr="009A5466">
        <w:rPr>
          <w:highlight w:val="yellow"/>
        </w:rPr>
        <w:t>noSIB1</w:t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  <w:t>SEQUENCE {</w:t>
      </w:r>
    </w:p>
    <w:p w14:paraId="4D8126F9" w14:textId="77777777" w:rsidR="00AE1D85" w:rsidRPr="009A5466" w:rsidRDefault="00AE1D85" w:rsidP="00AE1D85">
      <w:pPr>
        <w:pStyle w:val="PL"/>
        <w:rPr>
          <w:highlight w:val="yellow"/>
        </w:rPr>
      </w:pP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  <w:t>ssb-SubcarrierOffset</w:t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color w:val="993366"/>
          <w:highlight w:val="yellow"/>
        </w:rPr>
        <w:t>INTEGER</w:t>
      </w:r>
      <w:r w:rsidRPr="009A5466">
        <w:rPr>
          <w:highlight w:val="yellow"/>
        </w:rPr>
        <w:t xml:space="preserve"> (0..15),</w:t>
      </w:r>
    </w:p>
    <w:p w14:paraId="6EC0F9DE" w14:textId="77777777" w:rsidR="00AE1D85" w:rsidRPr="009A5466" w:rsidRDefault="00AE1D85" w:rsidP="00AE1D85">
      <w:pPr>
        <w:pStyle w:val="PL"/>
        <w:tabs>
          <w:tab w:val="clear" w:pos="1152"/>
          <w:tab w:val="clear" w:pos="1536"/>
          <w:tab w:val="left" w:pos="1232"/>
        </w:tabs>
        <w:rPr>
          <w:highlight w:val="yellow"/>
        </w:rPr>
      </w:pPr>
      <w:bookmarkStart w:id="2" w:name="_Hlk519189707"/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  <w:t>pdcch-ConfigSIB1</w:t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  <w:t>PDCCH-ConfigSIB1</w:t>
      </w:r>
    </w:p>
    <w:bookmarkEnd w:id="2"/>
    <w:p w14:paraId="7C3EAA90" w14:textId="77777777" w:rsidR="00AE1D85" w:rsidRPr="009A5466" w:rsidRDefault="00AE1D85" w:rsidP="00AE1D85">
      <w:pPr>
        <w:pStyle w:val="PL"/>
      </w:pPr>
      <w:r w:rsidRPr="009A5466">
        <w:rPr>
          <w:highlight w:val="yellow"/>
        </w:rPr>
        <w:tab/>
      </w:r>
      <w:r w:rsidRPr="009A5466">
        <w:rPr>
          <w:highlight w:val="yellow"/>
        </w:rPr>
        <w:tab/>
        <w:t>}</w:t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  <w:t>OPTIONAL</w:t>
      </w:r>
    </w:p>
    <w:p w14:paraId="0B224C54" w14:textId="77777777" w:rsidR="00AE1D85" w:rsidRDefault="00AE1D85" w:rsidP="00AE1D85">
      <w:pPr>
        <w:pStyle w:val="PL"/>
      </w:pPr>
      <w:r w:rsidRPr="0098142F">
        <w:tab/>
        <w:t>}</w:t>
      </w:r>
      <w:r w:rsidRPr="0098142F">
        <w:tab/>
      </w:r>
      <w:r w:rsidRPr="0098142F">
        <w:tab/>
      </w:r>
      <w:r w:rsidRPr="0098142F">
        <w:tab/>
      </w:r>
      <w:r w:rsidRPr="0098142F">
        <w:tab/>
      </w:r>
      <w:r w:rsidRPr="0098142F">
        <w:tab/>
      </w:r>
      <w:r w:rsidRPr="0098142F">
        <w:tab/>
      </w:r>
      <w:r w:rsidRPr="0098142F">
        <w:tab/>
      </w:r>
      <w:r w:rsidRPr="0098142F">
        <w:tab/>
      </w:r>
      <w:r w:rsidRPr="0098142F">
        <w:tab/>
      </w:r>
      <w:r w:rsidRPr="0098142F">
        <w:tab/>
      </w:r>
      <w:r w:rsidRPr="0098142F">
        <w:tab/>
      </w:r>
      <w:r w:rsidRPr="0098142F">
        <w:tab/>
      </w:r>
      <w:r w:rsidRPr="0098142F">
        <w:tab/>
      </w:r>
      <w:r w:rsidRPr="0098142F">
        <w:tab/>
      </w:r>
      <w:r w:rsidRPr="0098142F">
        <w:tab/>
      </w:r>
      <w:r w:rsidRPr="0098142F">
        <w:tab/>
      </w:r>
      <w:r w:rsidRPr="0098142F">
        <w:tab/>
      </w:r>
      <w:r w:rsidRPr="0098142F">
        <w:tab/>
      </w:r>
      <w:r w:rsidRPr="0098142F">
        <w:tab/>
      </w:r>
      <w:r w:rsidRPr="0098142F">
        <w:tab/>
      </w:r>
      <w:r w:rsidRPr="0098142F">
        <w:tab/>
      </w:r>
      <w:r w:rsidRPr="0098142F">
        <w:tab/>
      </w:r>
      <w:r w:rsidRPr="0098142F">
        <w:tab/>
      </w:r>
    </w:p>
    <w:p w14:paraId="3DD6E94A" w14:textId="77777777" w:rsidR="00AE1D85" w:rsidRDefault="00AE1D85" w:rsidP="00AE1D85">
      <w:pPr>
        <w:pStyle w:val="BodyText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42CDB" w14:paraId="588F885E" w14:textId="77777777" w:rsidTr="00242CDB">
        <w:tc>
          <w:tcPr>
            <w:tcW w:w="9629" w:type="dxa"/>
          </w:tcPr>
          <w:p w14:paraId="7DCE4E28" w14:textId="77777777" w:rsidR="00242CDB" w:rsidRPr="00AE1D85" w:rsidRDefault="00242CDB" w:rsidP="00242CDB">
            <w:pPr>
              <w:pStyle w:val="TAL"/>
              <w:jc w:val="both"/>
            </w:pPr>
            <w:r w:rsidRPr="00AE1D85">
              <w:rPr>
                <w:b/>
                <w:i/>
              </w:rPr>
              <w:t>ssb-SubcarrierOffset</w:t>
            </w:r>
          </w:p>
          <w:p w14:paraId="65F08E4A" w14:textId="7643FEC4" w:rsidR="00242CDB" w:rsidRPr="00242CDB" w:rsidRDefault="00242CDB" w:rsidP="00AE1D85">
            <w:pPr>
              <w:pStyle w:val="TAL"/>
              <w:jc w:val="both"/>
              <w:rPr>
                <w:lang w:val="en-US"/>
              </w:rPr>
            </w:pPr>
            <w:r w:rsidRPr="00AE1D85">
              <w:t xml:space="preserve">Corresponds 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SSB</m:t>
                  </m:r>
                </m:sub>
              </m:sSub>
            </m:oMath>
            <w:r w:rsidRPr="00AE1D85">
              <w:t xml:space="preserve"> (see TS 38.213 [13]), which is </w:t>
            </w:r>
            <w:r w:rsidRPr="00AE1D85">
              <w:rPr>
                <w:lang w:val="en-US"/>
              </w:rPr>
              <w:t>t</w:t>
            </w:r>
            <w:r w:rsidRPr="00AE1D85">
              <w:t>he frequency domain offset between SSB and the overall resource block grid in number of subcarriers. (See 38.211)</w:t>
            </w:r>
            <w:r w:rsidRPr="00AE1D85">
              <w:rPr>
                <w:lang w:val="en-US"/>
              </w:rPr>
              <w:t xml:space="preserve">. </w:t>
            </w:r>
            <w:r w:rsidRPr="00AE1D85">
              <w:t>The value range of this field may be extended by an additional most significant bit encoded within PBCH as specified in 38.213 [13]</w:t>
            </w:r>
            <w:r w:rsidRPr="00AE1D85">
              <w:rPr>
                <w:lang w:val="en-US"/>
              </w:rPr>
              <w:t xml:space="preserve">. </w:t>
            </w:r>
            <w:r w:rsidRPr="00AE1D85">
              <w:rPr>
                <w:highlight w:val="yellow"/>
                <w:lang w:val="en-US"/>
              </w:rPr>
              <w:t xml:space="preserve">This field may </w:t>
            </w:r>
            <w:r w:rsidRPr="00AE1D85">
              <w:rPr>
                <w:highlight w:val="yellow"/>
              </w:rPr>
              <w:t xml:space="preserve">indicate that this cell does not provide </w:t>
            </w:r>
            <w:r w:rsidRPr="00AE1D85">
              <w:rPr>
                <w:i/>
                <w:highlight w:val="yellow"/>
              </w:rPr>
              <w:t>SIB1</w:t>
            </w:r>
            <w:r w:rsidRPr="00AE1D85">
              <w:rPr>
                <w:i/>
              </w:rPr>
              <w:t xml:space="preserve"> </w:t>
            </w:r>
            <w:r w:rsidRPr="00AE1D85">
              <w:t xml:space="preserve">and that there is hence no common CORESET (see TS 38.213 [13], section 13). In this case, </w:t>
            </w:r>
            <w:r w:rsidRPr="00AE1D85">
              <w:rPr>
                <w:highlight w:val="yellow"/>
              </w:rPr>
              <w:t xml:space="preserve">the field </w:t>
            </w:r>
            <w:r w:rsidRPr="00AE1D85">
              <w:rPr>
                <w:i/>
                <w:highlight w:val="yellow"/>
              </w:rPr>
              <w:t>pdcch-ConfigSIB1</w:t>
            </w:r>
            <w:r w:rsidRPr="00AE1D85">
              <w:rPr>
                <w:highlight w:val="yellow"/>
              </w:rPr>
              <w:t xml:space="preserve"> may indicate the frequency positions where the UE may (not) find a SS/PBCH with a control resource set and search space for SIB1</w:t>
            </w:r>
            <w:r w:rsidRPr="00AE1D85">
              <w:t xml:space="preserve"> (see 38.213 [13], section 13).</w:t>
            </w:r>
          </w:p>
        </w:tc>
      </w:tr>
      <w:tr w:rsidR="00242CDB" w14:paraId="701002B8" w14:textId="77777777" w:rsidTr="00242CDB">
        <w:tc>
          <w:tcPr>
            <w:tcW w:w="9629" w:type="dxa"/>
          </w:tcPr>
          <w:p w14:paraId="443520B1" w14:textId="77777777" w:rsidR="00242CDB" w:rsidRPr="00AE1D85" w:rsidRDefault="00242CDB" w:rsidP="00242CDB">
            <w:pPr>
              <w:pStyle w:val="TAL"/>
            </w:pPr>
            <w:r w:rsidRPr="00AE1D85">
              <w:rPr>
                <w:b/>
                <w:i/>
              </w:rPr>
              <w:t>pdcch-ConfigSIB1</w:t>
            </w:r>
          </w:p>
          <w:p w14:paraId="156F7609" w14:textId="299197EC" w:rsidR="00242CDB" w:rsidRPr="00242CDB" w:rsidRDefault="00242CDB" w:rsidP="00242CDB">
            <w:pPr>
              <w:pStyle w:val="BodyText"/>
              <w:rPr>
                <w:sz w:val="18"/>
              </w:rPr>
            </w:pPr>
            <w:r w:rsidRPr="00AE1D85">
              <w:rPr>
                <w:sz w:val="18"/>
                <w:lang w:eastAsia="en-GB"/>
              </w:rPr>
              <w:t>See</w:t>
            </w:r>
            <w:r w:rsidRPr="00AE1D85">
              <w:rPr>
                <w:sz w:val="18"/>
              </w:rPr>
              <w:t xml:space="preserve"> TS 38.213 [13]. Determines a bandwidth for PDCCH/SIB, a common </w:t>
            </w:r>
            <w:r w:rsidRPr="00AE1D85">
              <w:rPr>
                <w:i/>
                <w:sz w:val="18"/>
              </w:rPr>
              <w:t>ControlResourceSet</w:t>
            </w:r>
            <w:r w:rsidRPr="00AE1D85">
              <w:rPr>
                <w:sz w:val="18"/>
              </w:rPr>
              <w:t xml:space="preserve"> (CORESET) a common search space and necessary PDCCH parameters. </w:t>
            </w:r>
            <w:r w:rsidRPr="00AE1D85">
              <w:rPr>
                <w:noProof/>
                <w:sz w:val="18"/>
                <w:lang w:eastAsia="en-GB"/>
              </w:rPr>
              <w:t xml:space="preserve"> </w:t>
            </w:r>
            <w:r w:rsidRPr="00AE1D85">
              <w:rPr>
                <w:noProof/>
                <w:sz w:val="18"/>
                <w:highlight w:val="yellow"/>
                <w:lang w:eastAsia="en-GB"/>
              </w:rPr>
              <w:t xml:space="preserve">If the field </w:t>
            </w:r>
            <w:r w:rsidRPr="00AE1D85">
              <w:rPr>
                <w:i/>
                <w:noProof/>
                <w:sz w:val="18"/>
                <w:highlight w:val="yellow"/>
                <w:lang w:eastAsia="en-GB"/>
              </w:rPr>
              <w:t xml:space="preserve">ssb-SubcarrierOffset  </w:t>
            </w:r>
            <w:r w:rsidRPr="00AE1D85">
              <w:rPr>
                <w:noProof/>
                <w:sz w:val="18"/>
                <w:highlight w:val="yellow"/>
                <w:lang w:eastAsia="en-GB"/>
              </w:rPr>
              <w:t xml:space="preserve">indicates that </w:t>
            </w:r>
            <w:r w:rsidRPr="00AE1D85">
              <w:rPr>
                <w:i/>
                <w:noProof/>
                <w:sz w:val="18"/>
                <w:highlight w:val="yellow"/>
                <w:lang w:val="en-US" w:eastAsia="en-GB"/>
              </w:rPr>
              <w:t>SIB1</w:t>
            </w:r>
            <w:r w:rsidRPr="00AE1D85">
              <w:rPr>
                <w:noProof/>
                <w:sz w:val="18"/>
                <w:highlight w:val="yellow"/>
                <w:lang w:val="en-US" w:eastAsia="en-GB"/>
              </w:rPr>
              <w:t xml:space="preserve"> </w:t>
            </w:r>
            <w:r w:rsidRPr="00AE1D85">
              <w:rPr>
                <w:noProof/>
                <w:sz w:val="18"/>
                <w:highlight w:val="yellow"/>
                <w:lang w:eastAsia="en-GB"/>
              </w:rPr>
              <w:t xml:space="preserve">is not present, the field </w:t>
            </w:r>
            <w:r w:rsidRPr="00AE1D85">
              <w:rPr>
                <w:i/>
                <w:noProof/>
                <w:sz w:val="18"/>
                <w:highlight w:val="yellow"/>
                <w:lang w:eastAsia="en-GB"/>
              </w:rPr>
              <w:t>pdcch-ConfigSIB1</w:t>
            </w:r>
            <w:r w:rsidRPr="00AE1D85">
              <w:rPr>
                <w:noProof/>
                <w:sz w:val="18"/>
                <w:highlight w:val="yellow"/>
                <w:lang w:eastAsia="en-GB"/>
              </w:rPr>
              <w:t xml:space="preserve"> indicate the frequency positions where the UE may find SS/PBCH block with </w:t>
            </w:r>
            <w:r w:rsidRPr="00AE1D85">
              <w:rPr>
                <w:i/>
                <w:noProof/>
                <w:sz w:val="18"/>
                <w:highlight w:val="yellow"/>
                <w:lang w:val="en-US" w:eastAsia="en-GB"/>
              </w:rPr>
              <w:t>SIB1</w:t>
            </w:r>
            <w:r w:rsidRPr="00AE1D85">
              <w:rPr>
                <w:noProof/>
                <w:sz w:val="18"/>
                <w:highlight w:val="yellow"/>
                <w:lang w:val="en-US" w:eastAsia="en-GB"/>
              </w:rPr>
              <w:t xml:space="preserve"> or the frequency range where the network does not provide </w:t>
            </w:r>
            <w:r w:rsidRPr="00AE1D85">
              <w:rPr>
                <w:noProof/>
                <w:sz w:val="18"/>
                <w:highlight w:val="yellow"/>
                <w:lang w:eastAsia="en-GB"/>
              </w:rPr>
              <w:t xml:space="preserve">SS/PBCH block with </w:t>
            </w:r>
            <w:r w:rsidRPr="00AE1D85">
              <w:rPr>
                <w:i/>
                <w:noProof/>
                <w:sz w:val="18"/>
                <w:highlight w:val="yellow"/>
                <w:lang w:val="en-US" w:eastAsia="en-GB"/>
              </w:rPr>
              <w:t>SIB1</w:t>
            </w:r>
            <w:r w:rsidRPr="00AE1D85">
              <w:rPr>
                <w:noProof/>
                <w:sz w:val="18"/>
                <w:lang w:val="en-US" w:eastAsia="en-GB"/>
              </w:rPr>
              <w:t xml:space="preserve"> (see TS 38.213 [13], section 13)</w:t>
            </w:r>
            <w:r w:rsidRPr="00AE1D85">
              <w:rPr>
                <w:noProof/>
                <w:sz w:val="18"/>
                <w:lang w:eastAsia="en-GB"/>
              </w:rPr>
              <w:t>.</w:t>
            </w:r>
          </w:p>
        </w:tc>
      </w:tr>
    </w:tbl>
    <w:p w14:paraId="46529814" w14:textId="77777777" w:rsidR="00AE1D85" w:rsidRDefault="00AE1D85" w:rsidP="00AE1D85">
      <w:pPr>
        <w:pStyle w:val="BodyText"/>
      </w:pPr>
    </w:p>
    <w:p w14:paraId="78C08D40" w14:textId="7D7348AF" w:rsidR="00AE1D85" w:rsidRDefault="008D4528" w:rsidP="00AE1D85">
      <w:pPr>
        <w:pStyle w:val="BodyText"/>
      </w:pPr>
      <w:r>
        <w:t xml:space="preserve">The envisioned scenario is the one with multiple SSBs (without SIB1) are associated to a single CD-SSB (possibly with a SIB1). Based </w:t>
      </w:r>
      <w:r w:rsidR="00AE1D85">
        <w:t>on the information</w:t>
      </w:r>
      <w:r>
        <w:t xml:space="preserve"> </w:t>
      </w:r>
      <w:r w:rsidR="00AE1D85">
        <w:t xml:space="preserve">the network could possibly configure a subsequent CGI report and request the UE to obtain SIB1 for that NR cell and report CGI. </w:t>
      </w:r>
      <w:r w:rsidR="001837AB">
        <w:t xml:space="preserve">A potential issue exists concerning </w:t>
      </w:r>
      <w:r w:rsidR="00242CDB">
        <w:t>which measurement object to configure in this subsequent CGI report configuration.</w:t>
      </w:r>
    </w:p>
    <w:p w14:paraId="4F87C528" w14:textId="055FB960" w:rsidR="00242CDB" w:rsidRDefault="00242CDB" w:rsidP="001837AB">
      <w:pPr>
        <w:jc w:val="center"/>
      </w:pPr>
      <w:r>
        <w:rPr>
          <w:noProof/>
        </w:rPr>
        <w:drawing>
          <wp:inline distT="0" distB="0" distL="0" distR="0" wp14:anchorId="7B38D54A" wp14:editId="6762AE29">
            <wp:extent cx="2502170" cy="3178636"/>
            <wp:effectExtent l="4762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511095" cy="31899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3454CAC" w14:textId="77777777" w:rsidR="001837AB" w:rsidRDefault="001837AB" w:rsidP="00242CDB">
      <w:pPr>
        <w:pStyle w:val="BodyText"/>
        <w:rPr>
          <w:i/>
          <w:u w:val="single"/>
        </w:rPr>
      </w:pPr>
    </w:p>
    <w:p w14:paraId="1CBB19A0" w14:textId="77777777" w:rsidR="005A4926" w:rsidRDefault="005A4926" w:rsidP="00242CDB">
      <w:pPr>
        <w:pStyle w:val="BodyText"/>
        <w:rPr>
          <w:i/>
          <w:u w:val="single"/>
        </w:rPr>
      </w:pPr>
    </w:p>
    <w:p w14:paraId="3FFC2591" w14:textId="77777777" w:rsidR="005A4926" w:rsidRDefault="005A4926" w:rsidP="00242CDB">
      <w:pPr>
        <w:pStyle w:val="BodyText"/>
        <w:rPr>
          <w:i/>
          <w:u w:val="single"/>
        </w:rPr>
      </w:pPr>
    </w:p>
    <w:p w14:paraId="00CC11AB" w14:textId="50D2BF27" w:rsidR="008D4528" w:rsidRPr="001837AB" w:rsidRDefault="001837AB" w:rsidP="00242CDB">
      <w:pPr>
        <w:pStyle w:val="BodyText"/>
        <w:rPr>
          <w:i/>
          <w:u w:val="single"/>
        </w:rPr>
      </w:pPr>
      <w:r w:rsidRPr="001837AB">
        <w:rPr>
          <w:i/>
          <w:u w:val="single"/>
        </w:rPr>
        <w:lastRenderedPageBreak/>
        <w:t>Measurement Object in subsequent CGI report configuration based on CD-SSB</w:t>
      </w:r>
    </w:p>
    <w:p w14:paraId="38EB5D76" w14:textId="479F58B9" w:rsidR="001837AB" w:rsidRDefault="001837AB" w:rsidP="008D4528">
      <w:pPr>
        <w:pStyle w:val="BodyText"/>
      </w:pPr>
      <w:r>
        <w:t xml:space="preserve">After a first CGI report with the </w:t>
      </w:r>
      <w:r w:rsidRPr="001837AB">
        <w:rPr>
          <w:i/>
        </w:rPr>
        <w:t>noSIB1</w:t>
      </w:r>
      <w:r>
        <w:t xml:space="preserve"> information</w:t>
      </w:r>
      <w:r w:rsidR="008D4528">
        <w:t xml:space="preserve">, it is not certain that the network and/or the UE has a MeasObject associated to that CD-SSB frequency indicated by </w:t>
      </w:r>
      <w:r w:rsidR="008D4528" w:rsidRPr="00242CDB">
        <w:rPr>
          <w:i/>
        </w:rPr>
        <w:t>ssb-SubcarrierOffset</w:t>
      </w:r>
      <w:r w:rsidR="008D4528" w:rsidRPr="00242CDB">
        <w:t xml:space="preserve"> and </w:t>
      </w:r>
      <w:r w:rsidR="008D4528" w:rsidRPr="00242CDB">
        <w:rPr>
          <w:i/>
        </w:rPr>
        <w:t>pdcch-ConfigSIB1</w:t>
      </w:r>
      <w:r w:rsidR="008D4528">
        <w:t xml:space="preserve">. </w:t>
      </w:r>
      <w:r>
        <w:t xml:space="preserve">Network could </w:t>
      </w:r>
      <w:r w:rsidR="008D4528">
        <w:t xml:space="preserve">create a measurement object, possibly with dummy mandatory parameters (such as CQD, threshold, cell lists, etc), </w:t>
      </w:r>
      <w:r>
        <w:t xml:space="preserve">but that would </w:t>
      </w:r>
      <w:r w:rsidR="008D4528">
        <w:t xml:space="preserve">be </w:t>
      </w:r>
      <w:r>
        <w:t xml:space="preserve">cumbersome and </w:t>
      </w:r>
      <w:r w:rsidR="008D4528">
        <w:t xml:space="preserve">require </w:t>
      </w:r>
      <w:r>
        <w:t>two messages (additional configuration and additional CGI report).</w:t>
      </w:r>
      <w:r w:rsidR="008D4528">
        <w:t xml:space="preserve"> </w:t>
      </w:r>
      <w:r>
        <w:t xml:space="preserve">A </w:t>
      </w:r>
      <w:r w:rsidR="008D4528">
        <w:t xml:space="preserve">simpler </w:t>
      </w:r>
      <w:r>
        <w:t>alternative</w:t>
      </w:r>
      <w:r w:rsidR="008D4528">
        <w:t xml:space="preserve"> could be to configure the UE in each CGI report to acquire SIB1 from the CD-SSB in case a configured SSB </w:t>
      </w:r>
      <w:r>
        <w:t xml:space="preserve">does not broadcast SIB1. </w:t>
      </w:r>
      <w:r w:rsidR="008D4528">
        <w:t xml:space="preserve">In that case, the UE can report the </w:t>
      </w:r>
      <w:r w:rsidR="008D4528" w:rsidRPr="001837AB">
        <w:rPr>
          <w:i/>
        </w:rPr>
        <w:t>noSIB1</w:t>
      </w:r>
      <w:r w:rsidR="008D4528">
        <w:t xml:space="preserve"> </w:t>
      </w:r>
      <w:r>
        <w:t>content</w:t>
      </w:r>
      <w:r w:rsidR="008D4528">
        <w:t xml:space="preserve">, indicating where in the frequency domain the CD-SSB is located, and the CGI report content acquired from the CD-SSB (such as TAC, PLMN list, etc.). </w:t>
      </w:r>
      <w:r>
        <w:t xml:space="preserve">The alternative </w:t>
      </w:r>
      <w:r w:rsidR="008D4528">
        <w:t xml:space="preserve">would </w:t>
      </w:r>
      <w:r>
        <w:t xml:space="preserve">also save two additional messages from/to the UE and avoid the complexities in the network in creating a dummy </w:t>
      </w:r>
      <w:r w:rsidR="008D4528">
        <w:t>measurement object just for that purpose.</w:t>
      </w:r>
    </w:p>
    <w:p w14:paraId="4EB40EFA" w14:textId="04615B93" w:rsidR="008D4528" w:rsidRPr="00D277A5" w:rsidRDefault="008D4528" w:rsidP="00242CDB">
      <w:pPr>
        <w:pStyle w:val="Proposal"/>
        <w:tabs>
          <w:tab w:val="num" w:pos="1304"/>
        </w:tabs>
        <w:ind w:left="1304" w:hanging="1304"/>
        <w:rPr>
          <w:rFonts w:cs="Arial"/>
          <w:spacing w:val="2"/>
        </w:rPr>
      </w:pPr>
      <w:r>
        <w:rPr>
          <w:rStyle w:val="IvDbodytextChar"/>
        </w:rPr>
        <w:t>UE acquires SIB1 from CD-SSB in case an SSB does not have SIB1 (without the need of subsequent CGI report configuration).</w:t>
      </w:r>
    </w:p>
    <w:p w14:paraId="1FC5B318" w14:textId="77777777" w:rsidR="00D277A5" w:rsidRDefault="00D277A5" w:rsidP="00242CDB">
      <w:pPr>
        <w:pStyle w:val="BodyText"/>
      </w:pPr>
    </w:p>
    <w:p w14:paraId="0561CC2B" w14:textId="7AE67CC1" w:rsidR="001837AB" w:rsidRPr="001837AB" w:rsidRDefault="001837AB" w:rsidP="00242CDB">
      <w:pPr>
        <w:pStyle w:val="BodyText"/>
        <w:rPr>
          <w:i/>
          <w:u w:val="single"/>
        </w:rPr>
      </w:pPr>
      <w:r>
        <w:rPr>
          <w:i/>
          <w:u w:val="single"/>
        </w:rPr>
        <w:t>Which PCI to assume in the CD-SSB</w:t>
      </w:r>
    </w:p>
    <w:p w14:paraId="65A0C180" w14:textId="7DF5FC4B" w:rsidR="00242CDB" w:rsidRDefault="001837AB" w:rsidP="00242CDB">
      <w:pPr>
        <w:pStyle w:val="BodyText"/>
      </w:pPr>
      <w:r>
        <w:t xml:space="preserve">Another </w:t>
      </w:r>
      <w:r w:rsidR="00D64B17">
        <w:t xml:space="preserve">aspect that was not discussed </w:t>
      </w:r>
      <w:r>
        <w:t xml:space="preserve">is </w:t>
      </w:r>
      <w:r w:rsidR="008D4528">
        <w:t xml:space="preserve">which PCI </w:t>
      </w:r>
      <w:r w:rsidR="00D64B17">
        <w:t xml:space="preserve">the UE searches for in </w:t>
      </w:r>
      <w:r w:rsidR="008D4528">
        <w:t>the CD-SSB.</w:t>
      </w:r>
      <w:r w:rsidR="00D64B17">
        <w:t xml:space="preserve"> One solution is to possibly broadcast an additional PCI in the MIB of each SSB without SIB1 and, consequently, be included in the </w:t>
      </w:r>
      <w:r w:rsidR="00D64B17" w:rsidRPr="00081708">
        <w:rPr>
          <w:i/>
        </w:rPr>
        <w:t>noSIB1</w:t>
      </w:r>
      <w:r w:rsidR="00D64B17">
        <w:t xml:space="preserve"> indication so that the subsequent CGI reporting configuration can also have a different PCI associated to the CD-SSB. An alternative to that is to </w:t>
      </w:r>
      <w:r w:rsidR="008D4528">
        <w:t xml:space="preserve">only allow deployments with </w:t>
      </w:r>
      <w:r w:rsidR="00242CDB">
        <w:t>the same PCI for the same cell for SSBs in multiple frequency locations associated to the same CD-SSB. For simplicity, at least for Rel-15, one can assume without major limitations that only deployments with same PCIs are allowed so that there is no need to introduce additional information in MIB.</w:t>
      </w:r>
    </w:p>
    <w:p w14:paraId="1B1C0EAE" w14:textId="66BDD800" w:rsidR="00C473A5" w:rsidRPr="00F94A8E" w:rsidRDefault="001837AB" w:rsidP="00F94A8E">
      <w:pPr>
        <w:pStyle w:val="Proposal"/>
        <w:tabs>
          <w:tab w:val="num" w:pos="1304"/>
        </w:tabs>
        <w:ind w:left="1304" w:hanging="1304"/>
        <w:rPr>
          <w:rFonts w:cs="Arial"/>
          <w:spacing w:val="2"/>
        </w:rPr>
        <w:sectPr w:rsidR="00C473A5" w:rsidRPr="00F94A8E" w:rsidSect="006615DB">
          <w:headerReference w:type="even" r:id="rId14"/>
          <w:footerReference w:type="default" r:id="rId15"/>
          <w:footnotePr>
            <w:numRestart w:val="eachSect"/>
          </w:footnotePr>
          <w:type w:val="continuous"/>
          <w:pgSz w:w="11907" w:h="16840" w:code="9"/>
          <w:pgMar w:top="1134" w:right="1134" w:bottom="1134" w:left="1134" w:header="680" w:footer="567" w:gutter="0"/>
          <w:cols w:space="720"/>
          <w:docGrid w:linePitch="272"/>
        </w:sectPr>
      </w:pPr>
      <w:r>
        <w:rPr>
          <w:rStyle w:val="IvDbodytextChar"/>
        </w:rPr>
        <w:t xml:space="preserve">UE searches for the </w:t>
      </w:r>
      <w:r w:rsidR="00D277A5">
        <w:rPr>
          <w:rStyle w:val="IvDbodytextChar"/>
        </w:rPr>
        <w:t xml:space="preserve">same configured </w:t>
      </w:r>
      <w:r w:rsidR="00242CDB">
        <w:rPr>
          <w:rStyle w:val="IvDbodytextChar"/>
        </w:rPr>
        <w:t xml:space="preserve">PCI </w:t>
      </w:r>
      <w:r w:rsidR="00D277A5">
        <w:rPr>
          <w:rStyle w:val="IvDbodytextChar"/>
        </w:rPr>
        <w:t xml:space="preserve">(in CGI report configuration) </w:t>
      </w:r>
      <w:r>
        <w:rPr>
          <w:rStyle w:val="IvDbodytextChar"/>
        </w:rPr>
        <w:t xml:space="preserve">in the </w:t>
      </w:r>
      <w:r w:rsidR="00D277A5">
        <w:rPr>
          <w:rStyle w:val="IvDbodytextChar"/>
        </w:rPr>
        <w:t xml:space="preserve">frequency location of </w:t>
      </w:r>
      <w:r w:rsidR="001902C0">
        <w:rPr>
          <w:rStyle w:val="IvDbodytextChar"/>
        </w:rPr>
        <w:t xml:space="preserve">the </w:t>
      </w:r>
      <w:r w:rsidR="00242CDB">
        <w:rPr>
          <w:rStyle w:val="IvDbodytextChar"/>
        </w:rPr>
        <w:t>CD-SSB</w:t>
      </w:r>
      <w:r w:rsidR="00D277A5">
        <w:rPr>
          <w:rStyle w:val="IvDbodytextChar"/>
        </w:rPr>
        <w:t xml:space="preserve"> </w:t>
      </w:r>
      <w:r w:rsidR="001902C0">
        <w:rPr>
          <w:rStyle w:val="IvDbodytextChar"/>
        </w:rPr>
        <w:t xml:space="preserve">obtained in MIB </w:t>
      </w:r>
      <w:r w:rsidR="00D277A5">
        <w:rPr>
          <w:rStyle w:val="IvDbodytextChar"/>
        </w:rPr>
        <w:t xml:space="preserve">to acquire </w:t>
      </w:r>
      <w:r w:rsidR="001902C0">
        <w:rPr>
          <w:rStyle w:val="IvDbodytextChar"/>
        </w:rPr>
        <w:t>CGI information</w:t>
      </w:r>
      <w:r w:rsidR="00242CDB">
        <w:rPr>
          <w:rStyle w:val="IvDbodytextChar"/>
        </w:rPr>
        <w:t>.</w:t>
      </w:r>
    </w:p>
    <w:p w14:paraId="1E6BD8B8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1FA7AADE" w14:textId="1FFDF751" w:rsidR="006E1C82" w:rsidRPr="006615DB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7E52C596" w14:textId="71322301" w:rsidR="008E065E" w:rsidRPr="005A4926" w:rsidRDefault="006615DB" w:rsidP="008E065E">
      <w:pPr>
        <w:pStyle w:val="Proposal"/>
        <w:numPr>
          <w:ilvl w:val="0"/>
          <w:numId w:val="25"/>
        </w:numPr>
        <w:rPr>
          <w:rFonts w:cs="Arial"/>
          <w:spacing w:val="2"/>
        </w:rPr>
      </w:pPr>
      <w:r>
        <w:rPr>
          <w:rStyle w:val="IvDbodytextChar"/>
        </w:rPr>
        <w:t>UE acquires SIB1 from CD-SSB in case an SSB does not have SIB1 (without the need of subsequent CGI report configuration).</w:t>
      </w:r>
    </w:p>
    <w:p w14:paraId="5A1B7861" w14:textId="31249E4C" w:rsidR="003A7EF3" w:rsidRPr="00F94A8E" w:rsidRDefault="006615DB" w:rsidP="00CE0424">
      <w:pPr>
        <w:pStyle w:val="Proposal"/>
        <w:tabs>
          <w:tab w:val="num" w:pos="1304"/>
        </w:tabs>
        <w:ind w:left="1304" w:hanging="1304"/>
        <w:rPr>
          <w:rFonts w:cs="Arial"/>
          <w:spacing w:val="2"/>
        </w:rPr>
      </w:pPr>
      <w:r>
        <w:rPr>
          <w:rStyle w:val="IvDbodytextChar"/>
        </w:rPr>
        <w:t>UE searches for the same configured PCI (in CGI report configuration) in the frequency location of the CD-SSB obtained in MIB to acquire CGI information.</w:t>
      </w:r>
    </w:p>
    <w:sectPr w:rsidR="003A7EF3" w:rsidRPr="00F94A8E" w:rsidSect="006615DB">
      <w:footnotePr>
        <w:numRestart w:val="eachSect"/>
      </w:footnotePr>
      <w:type w:val="continuous"/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A14DE2" w14:textId="77777777" w:rsidR="00BE438C" w:rsidRDefault="00BE438C">
      <w:r>
        <w:separator/>
      </w:r>
    </w:p>
  </w:endnote>
  <w:endnote w:type="continuationSeparator" w:id="0">
    <w:p w14:paraId="65C2A664" w14:textId="77777777" w:rsidR="00BE438C" w:rsidRDefault="00BE4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altName w:val="Calibri"/>
    <w:panose1 w:val="020B0604020202020204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EEC8A6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60B626" w14:textId="77777777" w:rsidR="00BE438C" w:rsidRDefault="00BE438C">
      <w:r>
        <w:separator/>
      </w:r>
    </w:p>
  </w:footnote>
  <w:footnote w:type="continuationSeparator" w:id="0">
    <w:p w14:paraId="134ADBC1" w14:textId="77777777" w:rsidR="00BE438C" w:rsidRDefault="00BE43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015A18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03624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B688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CAD3C9C"/>
    <w:multiLevelType w:val="hybridMultilevel"/>
    <w:tmpl w:val="1DBAAD2C"/>
    <w:lvl w:ilvl="0" w:tplc="9110A36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DDD127B"/>
    <w:multiLevelType w:val="hybridMultilevel"/>
    <w:tmpl w:val="0E1A39C4"/>
    <w:lvl w:ilvl="0" w:tplc="14D6A1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19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4"/>
  </w:num>
  <w:num w:numId="16">
    <w:abstractNumId w:val="20"/>
  </w:num>
  <w:num w:numId="17">
    <w:abstractNumId w:val="6"/>
  </w:num>
  <w:num w:numId="18">
    <w:abstractNumId w:val="7"/>
  </w:num>
  <w:num w:numId="19">
    <w:abstractNumId w:val="4"/>
  </w:num>
  <w:num w:numId="20">
    <w:abstractNumId w:val="23"/>
  </w:num>
  <w:num w:numId="21">
    <w:abstractNumId w:val="11"/>
  </w:num>
  <w:num w:numId="22">
    <w:abstractNumId w:val="22"/>
  </w:num>
  <w:num w:numId="23">
    <w:abstractNumId w:val="21"/>
  </w:num>
  <w:num w:numId="24">
    <w:abstractNumId w:val="5"/>
  </w:num>
  <w:num w:numId="25">
    <w:abstractNumId w:val="12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4C3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16E31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5575E"/>
    <w:rsid w:val="001659C1"/>
    <w:rsid w:val="00173A8E"/>
    <w:rsid w:val="0017502C"/>
    <w:rsid w:val="0018143F"/>
    <w:rsid w:val="00181FF8"/>
    <w:rsid w:val="001837AB"/>
    <w:rsid w:val="001902C0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B6E3D"/>
    <w:rsid w:val="001C1CE5"/>
    <w:rsid w:val="001C3D2A"/>
    <w:rsid w:val="001D4DB3"/>
    <w:rsid w:val="001D51BA"/>
    <w:rsid w:val="001D53E7"/>
    <w:rsid w:val="001D6342"/>
    <w:rsid w:val="001D6D53"/>
    <w:rsid w:val="001E58E2"/>
    <w:rsid w:val="001E7AED"/>
    <w:rsid w:val="001F3916"/>
    <w:rsid w:val="001F3A3C"/>
    <w:rsid w:val="001F54C5"/>
    <w:rsid w:val="001F662C"/>
    <w:rsid w:val="001F7074"/>
    <w:rsid w:val="00200490"/>
    <w:rsid w:val="00201F3A"/>
    <w:rsid w:val="00203F96"/>
    <w:rsid w:val="00206152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2CDB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0DE"/>
    <w:rsid w:val="002B24D6"/>
    <w:rsid w:val="002B312D"/>
    <w:rsid w:val="002B5155"/>
    <w:rsid w:val="002C0D70"/>
    <w:rsid w:val="002C41E6"/>
    <w:rsid w:val="002D071A"/>
    <w:rsid w:val="002D34B2"/>
    <w:rsid w:val="002D48B0"/>
    <w:rsid w:val="002D5B37"/>
    <w:rsid w:val="002D7637"/>
    <w:rsid w:val="002E17F2"/>
    <w:rsid w:val="002E7CAE"/>
    <w:rsid w:val="002F1BAC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1DC5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5778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185F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68D"/>
    <w:rsid w:val="00546970"/>
    <w:rsid w:val="00547B03"/>
    <w:rsid w:val="00554E19"/>
    <w:rsid w:val="0056121F"/>
    <w:rsid w:val="00572505"/>
    <w:rsid w:val="00582809"/>
    <w:rsid w:val="0058767A"/>
    <w:rsid w:val="0058798C"/>
    <w:rsid w:val="005900FA"/>
    <w:rsid w:val="005935A4"/>
    <w:rsid w:val="005948C2"/>
    <w:rsid w:val="00595DCA"/>
    <w:rsid w:val="0059779B"/>
    <w:rsid w:val="005A209A"/>
    <w:rsid w:val="005A4926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E6FC9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15DB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516C"/>
    <w:rsid w:val="00706101"/>
    <w:rsid w:val="00707072"/>
    <w:rsid w:val="00707D61"/>
    <w:rsid w:val="00712287"/>
    <w:rsid w:val="00712772"/>
    <w:rsid w:val="00712937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A84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1872"/>
    <w:rsid w:val="00803FAE"/>
    <w:rsid w:val="0080605F"/>
    <w:rsid w:val="00807786"/>
    <w:rsid w:val="00811FCB"/>
    <w:rsid w:val="008158D6"/>
    <w:rsid w:val="00817196"/>
    <w:rsid w:val="00820D38"/>
    <w:rsid w:val="008235DB"/>
    <w:rsid w:val="00824AB4"/>
    <w:rsid w:val="008250B9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4528"/>
    <w:rsid w:val="008D5003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374D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3137"/>
    <w:rsid w:val="00985253"/>
    <w:rsid w:val="009853B3"/>
    <w:rsid w:val="0098598D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4C3"/>
    <w:rsid w:val="00AB4AB8"/>
    <w:rsid w:val="00AB655E"/>
    <w:rsid w:val="00AC007F"/>
    <w:rsid w:val="00AC2ECD"/>
    <w:rsid w:val="00AC3119"/>
    <w:rsid w:val="00AC49FB"/>
    <w:rsid w:val="00AC5A10"/>
    <w:rsid w:val="00AD0AA3"/>
    <w:rsid w:val="00AD0C8E"/>
    <w:rsid w:val="00AD3F94"/>
    <w:rsid w:val="00AD4A5A"/>
    <w:rsid w:val="00AE1D85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45B2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0751"/>
    <w:rsid w:val="00B548B7"/>
    <w:rsid w:val="00B664C7"/>
    <w:rsid w:val="00B739F6"/>
    <w:rsid w:val="00B81A6C"/>
    <w:rsid w:val="00B85DE5"/>
    <w:rsid w:val="00B90F73"/>
    <w:rsid w:val="00B93B59"/>
    <w:rsid w:val="00B9406A"/>
    <w:rsid w:val="00B96CB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438C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87A00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00CD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277A5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4B17"/>
    <w:rsid w:val="00D652B5"/>
    <w:rsid w:val="00D66155"/>
    <w:rsid w:val="00D708B0"/>
    <w:rsid w:val="00D77B1D"/>
    <w:rsid w:val="00D8021F"/>
    <w:rsid w:val="00D80383"/>
    <w:rsid w:val="00D823C6"/>
    <w:rsid w:val="00D8327F"/>
    <w:rsid w:val="00D85990"/>
    <w:rsid w:val="00D86CA3"/>
    <w:rsid w:val="00D871CE"/>
    <w:rsid w:val="00D9196D"/>
    <w:rsid w:val="00D92982"/>
    <w:rsid w:val="00D94A0B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0E75"/>
    <w:rsid w:val="00DF15E0"/>
    <w:rsid w:val="00DF37A0"/>
    <w:rsid w:val="00E04285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1EE6"/>
    <w:rsid w:val="00E9250F"/>
    <w:rsid w:val="00E9291C"/>
    <w:rsid w:val="00E93FFE"/>
    <w:rsid w:val="00E94F8A"/>
    <w:rsid w:val="00EA7A41"/>
    <w:rsid w:val="00EB077B"/>
    <w:rsid w:val="00EB4EA2"/>
    <w:rsid w:val="00EC24D5"/>
    <w:rsid w:val="00EC27C6"/>
    <w:rsid w:val="00EC2E83"/>
    <w:rsid w:val="00EC4207"/>
    <w:rsid w:val="00EC5653"/>
    <w:rsid w:val="00EC6E0D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4A8E"/>
    <w:rsid w:val="00F96985"/>
    <w:rsid w:val="00F97838"/>
    <w:rsid w:val="00FA2BB3"/>
    <w:rsid w:val="00FB1C7E"/>
    <w:rsid w:val="00FB4C80"/>
    <w:rsid w:val="00FB6A6A"/>
    <w:rsid w:val="00FC7429"/>
    <w:rsid w:val="00FD07F6"/>
    <w:rsid w:val="00FD1EC8"/>
    <w:rsid w:val="00FD26AD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463A9C1"/>
  <w15:chartTrackingRefBased/>
  <w15:docId w15:val="{069404C3-4928-4F7C-BE39-34F943AF5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D4D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1D4DB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1D4DB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D4DB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D4DB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D4DB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D4DB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D4DB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D4DB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4DB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1D4DB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D4DB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1D4DB3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1D4DB3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1D4DB3"/>
    <w:pPr>
      <w:ind w:left="1701" w:hanging="1701"/>
    </w:pPr>
  </w:style>
  <w:style w:type="paragraph" w:styleId="TOC4">
    <w:name w:val="toc 4"/>
    <w:basedOn w:val="TOC3"/>
    <w:uiPriority w:val="39"/>
    <w:rsid w:val="001D4DB3"/>
    <w:pPr>
      <w:ind w:left="1418" w:hanging="1418"/>
    </w:pPr>
  </w:style>
  <w:style w:type="paragraph" w:styleId="TOC3">
    <w:name w:val="toc 3"/>
    <w:basedOn w:val="TOC2"/>
    <w:uiPriority w:val="39"/>
    <w:rsid w:val="001D4DB3"/>
    <w:pPr>
      <w:ind w:left="1134" w:hanging="1134"/>
    </w:pPr>
  </w:style>
  <w:style w:type="paragraph" w:styleId="TOC2">
    <w:name w:val="toc 2"/>
    <w:basedOn w:val="TOC1"/>
    <w:uiPriority w:val="39"/>
    <w:rsid w:val="001D4DB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D4DB3"/>
    <w:pPr>
      <w:ind w:left="284"/>
    </w:pPr>
  </w:style>
  <w:style w:type="paragraph" w:styleId="Index1">
    <w:name w:val="index 1"/>
    <w:basedOn w:val="Normal"/>
    <w:rsid w:val="001D4DB3"/>
    <w:pPr>
      <w:keepLines/>
      <w:spacing w:after="0"/>
    </w:pPr>
  </w:style>
  <w:style w:type="paragraph" w:styleId="DocumentMap">
    <w:name w:val="Document Map"/>
    <w:basedOn w:val="Normal"/>
    <w:link w:val="DocumentMapChar"/>
    <w:rsid w:val="001D4DB3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1D4DB3"/>
    <w:pPr>
      <w:numPr>
        <w:numId w:val="22"/>
      </w:numPr>
    </w:pPr>
  </w:style>
  <w:style w:type="paragraph" w:styleId="ListNumber">
    <w:name w:val="List Number"/>
    <w:basedOn w:val="List"/>
    <w:rsid w:val="001D4DB3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1D4DB3"/>
    <w:pPr>
      <w:ind w:left="568" w:hanging="284"/>
    </w:pPr>
  </w:style>
  <w:style w:type="paragraph" w:styleId="Header">
    <w:name w:val="header"/>
    <w:link w:val="HeaderChar"/>
    <w:rsid w:val="001D4DB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1D4DB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D4DB3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1D4DB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1D4DB3"/>
    <w:pPr>
      <w:ind w:left="1418" w:hanging="1418"/>
    </w:pPr>
  </w:style>
  <w:style w:type="paragraph" w:styleId="TOC6">
    <w:name w:val="toc 6"/>
    <w:basedOn w:val="TOC5"/>
    <w:next w:val="Normal"/>
    <w:uiPriority w:val="39"/>
    <w:rsid w:val="001D4DB3"/>
    <w:pPr>
      <w:ind w:left="1985" w:hanging="1985"/>
    </w:pPr>
  </w:style>
  <w:style w:type="paragraph" w:styleId="TOC7">
    <w:name w:val="toc 7"/>
    <w:basedOn w:val="TOC6"/>
    <w:next w:val="Normal"/>
    <w:uiPriority w:val="39"/>
    <w:rsid w:val="001D4DB3"/>
    <w:pPr>
      <w:ind w:left="2268" w:hanging="2268"/>
    </w:pPr>
  </w:style>
  <w:style w:type="paragraph" w:styleId="ListBullet2">
    <w:name w:val="List Bullet 2"/>
    <w:basedOn w:val="ListBullet"/>
    <w:rsid w:val="001D4DB3"/>
    <w:pPr>
      <w:numPr>
        <w:numId w:val="17"/>
      </w:numPr>
    </w:pPr>
  </w:style>
  <w:style w:type="paragraph" w:styleId="ListBullet">
    <w:name w:val="List Bullet"/>
    <w:basedOn w:val="List"/>
    <w:rsid w:val="001D4DB3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1D4DB3"/>
    <w:pPr>
      <w:numPr>
        <w:numId w:val="18"/>
      </w:numPr>
    </w:pPr>
  </w:style>
  <w:style w:type="paragraph" w:customStyle="1" w:styleId="EQ">
    <w:name w:val="EQ"/>
    <w:basedOn w:val="Normal"/>
    <w:next w:val="Normal"/>
    <w:rsid w:val="001D4DB3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1D4DB3"/>
    <w:pPr>
      <w:ind w:left="851"/>
    </w:pPr>
    <w:rPr>
      <w:lang w:eastAsia="ja-JP"/>
    </w:rPr>
  </w:style>
  <w:style w:type="paragraph" w:styleId="List3">
    <w:name w:val="List 3"/>
    <w:basedOn w:val="List2"/>
    <w:rsid w:val="001D4DB3"/>
    <w:pPr>
      <w:ind w:left="1135"/>
    </w:pPr>
  </w:style>
  <w:style w:type="paragraph" w:styleId="List4">
    <w:name w:val="List 4"/>
    <w:basedOn w:val="List3"/>
    <w:rsid w:val="001D4DB3"/>
    <w:pPr>
      <w:ind w:left="1418"/>
    </w:pPr>
  </w:style>
  <w:style w:type="paragraph" w:styleId="List5">
    <w:name w:val="List 5"/>
    <w:basedOn w:val="List4"/>
    <w:rsid w:val="001D4DB3"/>
    <w:pPr>
      <w:ind w:left="1702"/>
    </w:pPr>
  </w:style>
  <w:style w:type="paragraph" w:customStyle="1" w:styleId="EditorsNote">
    <w:name w:val="Editor's Note"/>
    <w:basedOn w:val="NO"/>
    <w:link w:val="EditorsNoteChar"/>
    <w:rsid w:val="001D4DB3"/>
    <w:rPr>
      <w:color w:val="FF0000"/>
      <w:lang w:val="x-none" w:eastAsia="x-none"/>
    </w:rPr>
  </w:style>
  <w:style w:type="paragraph" w:styleId="ListBullet4">
    <w:name w:val="List Bullet 4"/>
    <w:basedOn w:val="ListBullet3"/>
    <w:rsid w:val="001D4DB3"/>
    <w:pPr>
      <w:numPr>
        <w:numId w:val="19"/>
      </w:numPr>
    </w:pPr>
  </w:style>
  <w:style w:type="paragraph" w:styleId="ListBullet5">
    <w:name w:val="List Bullet 5"/>
    <w:basedOn w:val="ListBullet4"/>
    <w:rsid w:val="001D4DB3"/>
    <w:pPr>
      <w:numPr>
        <w:numId w:val="20"/>
      </w:numPr>
    </w:pPr>
  </w:style>
  <w:style w:type="paragraph" w:styleId="Footer">
    <w:name w:val="footer"/>
    <w:basedOn w:val="Header"/>
    <w:link w:val="FooterChar"/>
    <w:rsid w:val="001D4DB3"/>
    <w:pPr>
      <w:jc w:val="center"/>
    </w:pPr>
    <w:rPr>
      <w:i/>
    </w:rPr>
  </w:style>
  <w:style w:type="paragraph" w:customStyle="1" w:styleId="Reference">
    <w:name w:val="Reference"/>
    <w:basedOn w:val="BodyText"/>
    <w:rsid w:val="001D4DB3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1D4DB3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1D4DB3"/>
  </w:style>
  <w:style w:type="paragraph" w:styleId="BodyText">
    <w:name w:val="Body Text"/>
    <w:basedOn w:val="Normal"/>
    <w:link w:val="BodyTextChar"/>
    <w:rsid w:val="001D4DB3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1D4DB3"/>
    <w:rPr>
      <w:color w:val="0000FF"/>
      <w:u w:val="single"/>
    </w:rPr>
  </w:style>
  <w:style w:type="character" w:styleId="FollowedHyperlink">
    <w:name w:val="FollowedHyperlink"/>
    <w:unhideWhenUsed/>
    <w:rsid w:val="001D4DB3"/>
    <w:rPr>
      <w:color w:val="800080"/>
      <w:u w:val="single"/>
    </w:rPr>
  </w:style>
  <w:style w:type="character" w:styleId="CommentReference">
    <w:name w:val="annotation reference"/>
    <w:uiPriority w:val="99"/>
    <w:qFormat/>
    <w:rsid w:val="001D4D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1D4DB3"/>
  </w:style>
  <w:style w:type="paragraph" w:styleId="CommentSubject">
    <w:name w:val="annotation subject"/>
    <w:basedOn w:val="CommentText"/>
    <w:next w:val="CommentText"/>
    <w:link w:val="CommentSubjectChar"/>
    <w:rsid w:val="001D4DB3"/>
    <w:rPr>
      <w:b/>
      <w:bCs/>
    </w:rPr>
  </w:style>
  <w:style w:type="character" w:customStyle="1" w:styleId="Heading1Char">
    <w:name w:val="Heading 1 Char"/>
    <w:link w:val="Heading1"/>
    <w:rsid w:val="001D4DB3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1D4DB3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1D4DB3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1D4DB3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1D4DB3"/>
    <w:rPr>
      <w:rFonts w:ascii="Times New Roman" w:hAnsi="Times New Roman"/>
    </w:rPr>
  </w:style>
  <w:style w:type="paragraph" w:customStyle="1" w:styleId="Proposal">
    <w:name w:val="Proposal"/>
    <w:basedOn w:val="BodyText"/>
    <w:rsid w:val="001D4DB3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1D4DB3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1D4DB3"/>
    <w:rPr>
      <w:rFonts w:ascii="Times New Roman" w:hAnsi="Times New Roman"/>
    </w:rPr>
  </w:style>
  <w:style w:type="paragraph" w:customStyle="1" w:styleId="EX">
    <w:name w:val="EX"/>
    <w:basedOn w:val="Normal"/>
    <w:rsid w:val="001D4DB3"/>
    <w:pPr>
      <w:keepLines/>
      <w:ind w:left="1702" w:hanging="1418"/>
    </w:pPr>
  </w:style>
  <w:style w:type="paragraph" w:customStyle="1" w:styleId="EW">
    <w:name w:val="EW"/>
    <w:basedOn w:val="EX"/>
    <w:rsid w:val="001D4DB3"/>
    <w:pPr>
      <w:spacing w:after="0"/>
    </w:pPr>
  </w:style>
  <w:style w:type="paragraph" w:customStyle="1" w:styleId="TAL">
    <w:name w:val="TAL"/>
    <w:basedOn w:val="Normal"/>
    <w:link w:val="TALCar"/>
    <w:rsid w:val="001D4DB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1D4DB3"/>
    <w:pPr>
      <w:jc w:val="center"/>
    </w:pPr>
  </w:style>
  <w:style w:type="paragraph" w:customStyle="1" w:styleId="TAH">
    <w:name w:val="TAH"/>
    <w:basedOn w:val="TAC"/>
    <w:link w:val="TAHCar"/>
    <w:rsid w:val="001D4DB3"/>
    <w:rPr>
      <w:b/>
    </w:rPr>
  </w:style>
  <w:style w:type="paragraph" w:customStyle="1" w:styleId="TAN">
    <w:name w:val="TAN"/>
    <w:basedOn w:val="TAL"/>
    <w:rsid w:val="001D4DB3"/>
    <w:pPr>
      <w:ind w:left="851" w:hanging="851"/>
    </w:pPr>
  </w:style>
  <w:style w:type="paragraph" w:customStyle="1" w:styleId="TAR">
    <w:name w:val="TAR"/>
    <w:basedOn w:val="TAL"/>
    <w:rsid w:val="001D4DB3"/>
    <w:pPr>
      <w:jc w:val="right"/>
    </w:pPr>
  </w:style>
  <w:style w:type="paragraph" w:customStyle="1" w:styleId="TH">
    <w:name w:val="TH"/>
    <w:basedOn w:val="Normal"/>
    <w:link w:val="THChar"/>
    <w:rsid w:val="001D4DB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1D4DB3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1D4DB3"/>
    <w:pPr>
      <w:outlineLvl w:val="9"/>
    </w:pPr>
  </w:style>
  <w:style w:type="paragraph" w:customStyle="1" w:styleId="ZA">
    <w:name w:val="ZA"/>
    <w:rsid w:val="001D4DB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1D4DB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1D4DB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1D4DB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1D4DB3"/>
  </w:style>
  <w:style w:type="paragraph" w:customStyle="1" w:styleId="ZH">
    <w:name w:val="ZH"/>
    <w:rsid w:val="001D4DB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1D4DB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1D4DB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D4DB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1D4DB3"/>
    <w:pPr>
      <w:framePr w:wrap="notBeside" w:y="16161"/>
    </w:pPr>
  </w:style>
  <w:style w:type="paragraph" w:customStyle="1" w:styleId="FP">
    <w:name w:val="FP"/>
    <w:basedOn w:val="Normal"/>
    <w:rsid w:val="001D4DB3"/>
    <w:pPr>
      <w:spacing w:after="0"/>
    </w:pPr>
  </w:style>
  <w:style w:type="paragraph" w:customStyle="1" w:styleId="Observation">
    <w:name w:val="Observation"/>
    <w:basedOn w:val="Proposal"/>
    <w:qFormat/>
    <w:rsid w:val="001D4DB3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1D4DB3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1D4DB3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1D4DB3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1D4DB3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1D4DB3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1D4DB3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1D4DB3"/>
    <w:pPr>
      <w:ind w:left="1985"/>
    </w:pPr>
  </w:style>
  <w:style w:type="character" w:customStyle="1" w:styleId="B6Char">
    <w:name w:val="B6 Char"/>
    <w:link w:val="B6"/>
    <w:rsid w:val="001D4DB3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1D4DB3"/>
    <w:pPr>
      <w:ind w:left="2269"/>
    </w:pPr>
  </w:style>
  <w:style w:type="character" w:customStyle="1" w:styleId="B7Char">
    <w:name w:val="B7 Char"/>
    <w:basedOn w:val="B6Char"/>
    <w:link w:val="B7"/>
    <w:rsid w:val="001D4DB3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1D4DB3"/>
    <w:pPr>
      <w:ind w:left="2552"/>
    </w:pPr>
  </w:style>
  <w:style w:type="character" w:customStyle="1" w:styleId="BalloonTextChar">
    <w:name w:val="Balloon Text Char"/>
    <w:link w:val="BalloonText"/>
    <w:rsid w:val="001D4DB3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1D4DB3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1D4DB3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1D4DB3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1D4DB3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1D4DB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1D4DB3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1D4DB3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1D4DB3"/>
    <w:pPr>
      <w:keepLines/>
      <w:ind w:left="1135" w:hanging="851"/>
    </w:pPr>
  </w:style>
  <w:style w:type="character" w:customStyle="1" w:styleId="NOChar">
    <w:name w:val="NO Char"/>
    <w:link w:val="NO"/>
    <w:qFormat/>
    <w:rsid w:val="001D4DB3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1D4DB3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1D4DB3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1D4DB3"/>
    <w:rPr>
      <w:i/>
      <w:iCs/>
    </w:rPr>
  </w:style>
  <w:style w:type="paragraph" w:customStyle="1" w:styleId="FigureTitle">
    <w:name w:val="Figure_Title"/>
    <w:basedOn w:val="Normal"/>
    <w:next w:val="Normal"/>
    <w:rsid w:val="001D4DB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1D4DB3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1D4DB3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1D4DB3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1D4DB3"/>
    <w:rPr>
      <w:i/>
      <w:color w:val="0000FF"/>
    </w:rPr>
  </w:style>
  <w:style w:type="character" w:customStyle="1" w:styleId="Heading2Char">
    <w:name w:val="Heading 2 Char"/>
    <w:link w:val="Heading2"/>
    <w:rsid w:val="001D4DB3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1D4DB3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1D4DB3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1D4DB3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1D4DB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1D4DB3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1D4DB3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1D4DB3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1D4DB3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1D4DB3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1D4DB3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1D4DB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1D4DB3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1D4DB3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1D4DB3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1D4DB3"/>
    <w:pPr>
      <w:spacing w:after="0"/>
    </w:pPr>
  </w:style>
  <w:style w:type="paragraph" w:customStyle="1" w:styleId="PL">
    <w:name w:val="PL"/>
    <w:link w:val="PLChar"/>
    <w:qFormat/>
    <w:rsid w:val="001D4DB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D4DB3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1D4DB3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1D4DB3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1D4DB3"/>
    <w:rPr>
      <w:b/>
      <w:bCs/>
    </w:rPr>
  </w:style>
  <w:style w:type="table" w:styleId="TableGrid">
    <w:name w:val="Table Grid"/>
    <w:basedOn w:val="TableNormal"/>
    <w:uiPriority w:val="39"/>
    <w:rsid w:val="001D4DB3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1D4DB3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1D4DB3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1D4DB3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1D4DB3"/>
  </w:style>
  <w:style w:type="paragraph" w:customStyle="1" w:styleId="TALCharChar">
    <w:name w:val="TAL Char Char"/>
    <w:basedOn w:val="Normal"/>
    <w:link w:val="TALCharCharChar"/>
    <w:rsid w:val="001D4DB3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1D4DB3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1D4DB3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1D4DB3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1D4DB3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1D4DB3"/>
    <w:pPr>
      <w:numPr>
        <w:numId w:val="10"/>
      </w:numPr>
      <w:contextualSpacing/>
    </w:pPr>
  </w:style>
  <w:style w:type="character" w:customStyle="1" w:styleId="IvDbodytextChar">
    <w:name w:val="IvD bodytext Char"/>
    <w:basedOn w:val="DefaultParagraphFont"/>
    <w:link w:val="IvDbodytext"/>
    <w:locked/>
    <w:rsid w:val="00242CD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242CD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eicajer\Documents\swea-ran2\RAN2_AdHoc_2018_07_NR\R2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5NUHHDQN7SK2-1476151046-33005</_dlc_DocId>
    <_dlc_DocIdUrl xmlns="f166a696-7b5b-4ccd-9f0c-ffde0cceec81">
      <Url>https://ericsson.sharepoint.com/sites/star/_layouts/15/DocIdRedir.aspx?ID=5NUHHDQN7SK2-1476151046-33005</Url>
      <Description>5NUHHDQN7SK2-1476151046-33005</Description>
    </_dlc_DocIdUrl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9A11E4-BBC9-40B1-A159-982CBFFCBDEA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393CBD54-1A4A-409E-A12D-3FE2D21FDA1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671C810-7ED3-4D83-B9B1-F77FB5AEFE0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DFFBA69-F02A-4CD3-88A6-4AFB220CF9A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B468E7E-7F6F-4B2C-8B7E-76B12E3D40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A9493B5-3CA5-FB44-B439-271B9CCE7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C:\Users\eicajer\Documents\swea-ran2\RAN2_AdHoc_2018_07_NR\R2-xxxxxx Contribution Template.dotx</Template>
  <TotalTime>0</TotalTime>
  <Pages>3</Pages>
  <Words>1151</Words>
  <Characters>6561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7697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Icaro</dc:creator>
  <cp:keywords>3GPP; Ericsson; TDoc</cp:keywords>
  <dc:description/>
  <cp:lastModifiedBy>Wahaj Arshad</cp:lastModifiedBy>
  <cp:revision>3</cp:revision>
  <cp:lastPrinted>2008-01-31T07:09:00Z</cp:lastPrinted>
  <dcterms:created xsi:type="dcterms:W3CDTF">2018-09-27T18:33:00Z</dcterms:created>
  <dcterms:modified xsi:type="dcterms:W3CDTF">2018-10-03T22:35:00Z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68fb8c3b-6ab9-4020-8ca6-673ba689bebb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</Properties>
</file>