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3614B" w14:textId="62FEB64E" w:rsidR="00463675" w:rsidRDefault="007F7F25">
      <w:pPr>
        <w:pStyle w:val="a3"/>
        <w:tabs>
          <w:tab w:val="clear" w:pos="8306"/>
          <w:tab w:val="right" w:pos="7088"/>
          <w:tab w:val="right" w:pos="9781"/>
        </w:tabs>
        <w:rPr>
          <w:rFonts w:ascii="Arial" w:hAnsi="Arial" w:cs="Arial"/>
          <w:b/>
          <w:bCs/>
          <w:sz w:val="22"/>
        </w:rPr>
      </w:pPr>
      <w:r>
        <w:rPr>
          <w:rFonts w:ascii="Arial" w:hAnsi="Arial" w:cs="Arial"/>
          <w:b/>
          <w:bCs/>
          <w:sz w:val="22"/>
        </w:rPr>
        <w:t>3GPP TSG-RAN WG2 Meeting #102</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t xml:space="preserve">Tdoc </w:t>
      </w:r>
      <w:r w:rsidR="00CB1A00">
        <w:rPr>
          <w:rFonts w:ascii="Arial" w:hAnsi="Arial" w:cs="Arial"/>
          <w:b/>
          <w:bCs/>
          <w:sz w:val="22"/>
        </w:rPr>
        <w:t>R2-180</w:t>
      </w:r>
      <w:r w:rsidR="007E1404">
        <w:rPr>
          <w:rFonts w:ascii="Arial" w:hAnsi="Arial" w:cs="Arial"/>
          <w:b/>
          <w:bCs/>
          <w:sz w:val="22"/>
        </w:rPr>
        <w:t>8947</w:t>
      </w:r>
    </w:p>
    <w:p w14:paraId="5048428D" w14:textId="77777777" w:rsidR="00463675" w:rsidRDefault="007F7F25">
      <w:pPr>
        <w:pStyle w:val="a3"/>
        <w:tabs>
          <w:tab w:val="clear" w:pos="8306"/>
          <w:tab w:val="right" w:pos="9639"/>
        </w:tabs>
        <w:rPr>
          <w:rFonts w:ascii="Arial" w:hAnsi="Arial" w:cs="Arial"/>
          <w:b/>
          <w:bCs/>
          <w:sz w:val="22"/>
        </w:rPr>
      </w:pPr>
      <w:r>
        <w:rPr>
          <w:rFonts w:ascii="Arial" w:hAnsi="Arial" w:cs="Arial"/>
          <w:b/>
          <w:bCs/>
          <w:sz w:val="22"/>
        </w:rPr>
        <w:t>Busan, Korea</w:t>
      </w:r>
      <w:r w:rsidR="00463675">
        <w:rPr>
          <w:rFonts w:ascii="Arial" w:hAnsi="Arial" w:cs="Arial"/>
          <w:b/>
          <w:bCs/>
          <w:sz w:val="22"/>
        </w:rPr>
        <w:t xml:space="preserve">, </w:t>
      </w:r>
      <w:r w:rsidR="007E538C">
        <w:rPr>
          <w:rFonts w:ascii="Arial" w:hAnsi="Arial" w:cs="Arial"/>
          <w:b/>
          <w:bCs/>
          <w:sz w:val="22"/>
        </w:rPr>
        <w:t>21</w:t>
      </w:r>
      <w:r w:rsidR="007E538C">
        <w:rPr>
          <w:rFonts w:ascii="Arial" w:hAnsi="Arial" w:cs="Arial"/>
          <w:b/>
          <w:bCs/>
          <w:sz w:val="22"/>
          <w:vertAlign w:val="superscript"/>
        </w:rPr>
        <w:t>st</w:t>
      </w:r>
      <w:r w:rsidR="00CB1A00">
        <w:rPr>
          <w:rFonts w:ascii="Arial" w:hAnsi="Arial" w:cs="Arial"/>
          <w:b/>
          <w:bCs/>
          <w:sz w:val="22"/>
        </w:rPr>
        <w:t xml:space="preserve"> – 2</w:t>
      </w:r>
      <w:r w:rsidR="007E538C">
        <w:rPr>
          <w:rFonts w:ascii="Arial" w:hAnsi="Arial" w:cs="Arial"/>
          <w:b/>
          <w:bCs/>
          <w:sz w:val="22"/>
        </w:rPr>
        <w:t>5</w:t>
      </w:r>
      <w:r w:rsidR="00CB1A00">
        <w:rPr>
          <w:rFonts w:ascii="Arial" w:hAnsi="Arial" w:cs="Arial"/>
          <w:b/>
          <w:bCs/>
          <w:sz w:val="22"/>
          <w:vertAlign w:val="superscript"/>
        </w:rPr>
        <w:t>th</w:t>
      </w:r>
      <w:r>
        <w:rPr>
          <w:rFonts w:ascii="Arial" w:hAnsi="Arial" w:cs="Arial"/>
          <w:b/>
          <w:bCs/>
          <w:sz w:val="22"/>
        </w:rPr>
        <w:t xml:space="preserve"> May</w:t>
      </w:r>
      <w:r w:rsidR="00CB1A00">
        <w:rPr>
          <w:rFonts w:ascii="Arial" w:hAnsi="Arial" w:cs="Arial"/>
          <w:b/>
          <w:bCs/>
          <w:sz w:val="22"/>
        </w:rPr>
        <w:t xml:space="preserve"> 2018</w:t>
      </w:r>
      <w:r w:rsidR="00463675">
        <w:rPr>
          <w:rFonts w:ascii="Arial" w:hAnsi="Arial" w:cs="Arial"/>
          <w:b/>
          <w:bCs/>
          <w:sz w:val="22"/>
        </w:rPr>
        <w:t>.</w:t>
      </w:r>
    </w:p>
    <w:p w14:paraId="7F2DFFEC" w14:textId="77777777" w:rsidR="00463675" w:rsidRDefault="00463675">
      <w:pPr>
        <w:rPr>
          <w:rFonts w:ascii="Arial" w:hAnsi="Arial" w:cs="Arial"/>
        </w:rPr>
      </w:pPr>
    </w:p>
    <w:p w14:paraId="22C005BC" w14:textId="77777777" w:rsidR="00463675" w:rsidRPr="000B5232"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0"/>
      <w:r>
        <w:rPr>
          <w:rFonts w:ascii="Arial" w:hAnsi="Arial" w:cs="Arial"/>
          <w:b/>
          <w:color w:val="FF0000"/>
        </w:rPr>
        <w:t>[DRAFT]</w:t>
      </w:r>
      <w:commentRangeEnd w:id="0"/>
      <w:r>
        <w:rPr>
          <w:rStyle w:val="a8"/>
          <w:rFonts w:ascii="Arial" w:hAnsi="Arial"/>
          <w:vanish/>
          <w:sz w:val="20"/>
        </w:rPr>
        <w:commentReference w:id="0"/>
      </w:r>
      <w:r>
        <w:rPr>
          <w:rFonts w:ascii="Arial" w:hAnsi="Arial" w:cs="Arial"/>
          <w:bCs/>
          <w:color w:val="FF0000"/>
        </w:rPr>
        <w:t xml:space="preserve"> </w:t>
      </w:r>
      <w:r w:rsidR="007F7F25">
        <w:rPr>
          <w:rFonts w:ascii="Arial" w:hAnsi="Arial" w:cs="Arial"/>
          <w:bCs/>
        </w:rPr>
        <w:t>LS on Bandwidth configuration for initial BWP</w:t>
      </w:r>
    </w:p>
    <w:p w14:paraId="3BA8C0A8" w14:textId="77777777" w:rsidR="00463675" w:rsidRPr="000B5232" w:rsidRDefault="00463675">
      <w:pPr>
        <w:spacing w:after="60"/>
        <w:ind w:left="1985" w:hanging="1985"/>
        <w:rPr>
          <w:rFonts w:ascii="Arial" w:hAnsi="Arial" w:cs="Arial"/>
          <w:bCs/>
        </w:rPr>
      </w:pPr>
      <w:r w:rsidRPr="000B5232">
        <w:rPr>
          <w:rFonts w:ascii="Arial" w:hAnsi="Arial" w:cs="Arial"/>
          <w:b/>
        </w:rPr>
        <w:t>Response to:</w:t>
      </w:r>
      <w:r w:rsidRPr="000B5232">
        <w:rPr>
          <w:rFonts w:ascii="Arial" w:hAnsi="Arial" w:cs="Arial"/>
          <w:bCs/>
        </w:rPr>
        <w:tab/>
      </w:r>
    </w:p>
    <w:p w14:paraId="53F3D22F" w14:textId="77777777" w:rsidR="00463675" w:rsidRPr="000B5232" w:rsidRDefault="00463675">
      <w:pPr>
        <w:spacing w:after="60"/>
        <w:ind w:left="1985" w:hanging="1985"/>
        <w:rPr>
          <w:rFonts w:ascii="Arial" w:hAnsi="Arial" w:cs="Arial"/>
          <w:bCs/>
        </w:rPr>
      </w:pPr>
      <w:r w:rsidRPr="000B5232">
        <w:rPr>
          <w:rFonts w:ascii="Arial" w:hAnsi="Arial" w:cs="Arial"/>
          <w:b/>
        </w:rPr>
        <w:t>Release:</w:t>
      </w:r>
      <w:r w:rsidRPr="000B5232">
        <w:rPr>
          <w:rFonts w:ascii="Arial" w:hAnsi="Arial" w:cs="Arial"/>
          <w:bCs/>
        </w:rPr>
        <w:tab/>
      </w:r>
      <w:r w:rsidR="000B5232" w:rsidRPr="000B5232">
        <w:rPr>
          <w:rFonts w:ascii="Arial" w:hAnsi="Arial" w:cs="Arial"/>
          <w:bCs/>
        </w:rPr>
        <w:t>Release 15</w:t>
      </w:r>
    </w:p>
    <w:p w14:paraId="4BD33728" w14:textId="77777777" w:rsidR="00463675" w:rsidRPr="000B5232" w:rsidRDefault="00463675">
      <w:pPr>
        <w:spacing w:after="60"/>
        <w:ind w:left="1985" w:hanging="1985"/>
        <w:rPr>
          <w:rFonts w:ascii="Arial" w:hAnsi="Arial" w:cs="Arial"/>
          <w:bCs/>
        </w:rPr>
      </w:pPr>
      <w:r w:rsidRPr="000B5232">
        <w:rPr>
          <w:rFonts w:ascii="Arial" w:hAnsi="Arial" w:cs="Arial"/>
          <w:b/>
        </w:rPr>
        <w:t>Work Item:</w:t>
      </w:r>
      <w:r w:rsidRPr="000B5232">
        <w:rPr>
          <w:rFonts w:ascii="Arial" w:hAnsi="Arial" w:cs="Arial"/>
          <w:bCs/>
        </w:rPr>
        <w:tab/>
      </w:r>
      <w:r w:rsidR="000B5232" w:rsidRPr="000B5232">
        <w:rPr>
          <w:rFonts w:ascii="Arial" w:hAnsi="Arial" w:cs="Arial"/>
          <w:bCs/>
        </w:rPr>
        <w:t>NR_newRAT-Core</w:t>
      </w:r>
    </w:p>
    <w:p w14:paraId="00F7CA75" w14:textId="77777777" w:rsidR="00463675" w:rsidRPr="000B5232" w:rsidRDefault="00463675">
      <w:pPr>
        <w:spacing w:after="60"/>
        <w:ind w:left="1985" w:hanging="1985"/>
        <w:rPr>
          <w:rFonts w:ascii="Arial" w:hAnsi="Arial" w:cs="Arial"/>
          <w:b/>
        </w:rPr>
      </w:pPr>
    </w:p>
    <w:p w14:paraId="3D1EA493" w14:textId="77777777" w:rsidR="00463675" w:rsidRPr="000B5232" w:rsidRDefault="00463675">
      <w:pPr>
        <w:spacing w:after="60"/>
        <w:ind w:left="1985" w:hanging="1985"/>
        <w:rPr>
          <w:rFonts w:ascii="Arial" w:hAnsi="Arial" w:cs="Arial"/>
          <w:bCs/>
        </w:rPr>
      </w:pPr>
      <w:r w:rsidRPr="000B5232">
        <w:rPr>
          <w:rFonts w:ascii="Arial" w:hAnsi="Arial" w:cs="Arial"/>
          <w:b/>
        </w:rPr>
        <w:t>Source:</w:t>
      </w:r>
      <w:r w:rsidR="000B5232">
        <w:rPr>
          <w:rFonts w:ascii="Arial" w:hAnsi="Arial" w:cs="Arial"/>
          <w:bCs/>
        </w:rPr>
        <w:tab/>
        <w:t>NTT DOCOMO, INC. (to be RAN2)</w:t>
      </w:r>
    </w:p>
    <w:p w14:paraId="5B9C6C79" w14:textId="77777777" w:rsidR="00463675" w:rsidRPr="000B5232" w:rsidRDefault="00463675">
      <w:pPr>
        <w:spacing w:after="60"/>
        <w:ind w:left="1985" w:hanging="1985"/>
        <w:rPr>
          <w:rFonts w:ascii="Arial" w:hAnsi="Arial" w:cs="Arial"/>
          <w:bCs/>
        </w:rPr>
      </w:pPr>
      <w:r w:rsidRPr="000B5232">
        <w:rPr>
          <w:rFonts w:ascii="Arial" w:hAnsi="Arial" w:cs="Arial"/>
          <w:b/>
        </w:rPr>
        <w:t>To:</w:t>
      </w:r>
      <w:r w:rsidRPr="000B5232">
        <w:rPr>
          <w:rFonts w:ascii="Arial" w:hAnsi="Arial" w:cs="Arial"/>
          <w:bCs/>
        </w:rPr>
        <w:tab/>
      </w:r>
      <w:r w:rsidR="000B5232">
        <w:rPr>
          <w:rFonts w:ascii="Arial" w:hAnsi="Arial" w:cs="Arial"/>
          <w:bCs/>
        </w:rPr>
        <w:t>RAN1</w:t>
      </w:r>
    </w:p>
    <w:p w14:paraId="1AFA57CB" w14:textId="77777777" w:rsidR="00463675" w:rsidRPr="000B5232" w:rsidRDefault="00463675">
      <w:pPr>
        <w:spacing w:after="60"/>
        <w:ind w:left="1985" w:hanging="1985"/>
        <w:rPr>
          <w:rFonts w:ascii="Arial" w:hAnsi="Arial" w:cs="Arial"/>
          <w:bCs/>
        </w:rPr>
      </w:pPr>
      <w:r w:rsidRPr="000B5232">
        <w:rPr>
          <w:rFonts w:ascii="Arial" w:hAnsi="Arial" w:cs="Arial"/>
          <w:b/>
        </w:rPr>
        <w:t>Cc:</w:t>
      </w:r>
      <w:r w:rsidRPr="000B5232">
        <w:rPr>
          <w:rFonts w:ascii="Arial" w:hAnsi="Arial" w:cs="Arial"/>
          <w:bCs/>
        </w:rPr>
        <w:tab/>
      </w:r>
      <w:r w:rsidR="007E1404">
        <w:rPr>
          <w:rFonts w:ascii="Arial" w:hAnsi="Arial" w:cs="Arial"/>
          <w:bCs/>
        </w:rPr>
        <w:t>RAN4</w:t>
      </w:r>
    </w:p>
    <w:p w14:paraId="1106C790" w14:textId="77777777" w:rsidR="00463675" w:rsidRDefault="00463675">
      <w:pPr>
        <w:spacing w:after="60"/>
        <w:ind w:left="1985" w:hanging="1985"/>
        <w:rPr>
          <w:rFonts w:ascii="Arial" w:hAnsi="Arial" w:cs="Arial"/>
          <w:bCs/>
        </w:rPr>
      </w:pPr>
    </w:p>
    <w:p w14:paraId="4C22975C"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615792A" w14:textId="77777777" w:rsidR="00463675" w:rsidRDefault="00463675">
      <w:pPr>
        <w:pStyle w:val="4"/>
        <w:tabs>
          <w:tab w:val="left" w:pos="2268"/>
        </w:tabs>
        <w:ind w:left="567"/>
        <w:rPr>
          <w:rFonts w:cs="Arial"/>
          <w:b w:val="0"/>
          <w:bCs/>
        </w:rPr>
      </w:pPr>
      <w:r>
        <w:rPr>
          <w:rFonts w:cs="Arial"/>
        </w:rPr>
        <w:t>Name:</w:t>
      </w:r>
      <w:r>
        <w:rPr>
          <w:rFonts w:cs="Arial"/>
          <w:b w:val="0"/>
          <w:bCs/>
        </w:rPr>
        <w:tab/>
      </w:r>
      <w:r w:rsidR="00FF6BA5">
        <w:rPr>
          <w:rFonts w:cs="Arial"/>
          <w:b w:val="0"/>
          <w:bCs/>
        </w:rPr>
        <w:t>Hideaki Takahashi</w:t>
      </w:r>
    </w:p>
    <w:p w14:paraId="60D62ACE"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FF6BA5">
        <w:rPr>
          <w:rFonts w:ascii="Arial" w:hAnsi="Arial" w:cs="Arial"/>
          <w:bCs/>
        </w:rPr>
        <w:t>+81 46 840 3190</w:t>
      </w:r>
    </w:p>
    <w:p w14:paraId="133505EB" w14:textId="77777777" w:rsidR="00463675" w:rsidRDefault="00463675">
      <w:pPr>
        <w:pStyle w:val="7"/>
        <w:tabs>
          <w:tab w:val="left" w:pos="2268"/>
        </w:tabs>
        <w:ind w:left="567"/>
        <w:rPr>
          <w:rFonts w:cs="Arial"/>
          <w:b w:val="0"/>
          <w:bCs/>
        </w:rPr>
      </w:pPr>
      <w:r>
        <w:rPr>
          <w:rFonts w:cs="Arial"/>
        </w:rPr>
        <w:t>E-mail Address:</w:t>
      </w:r>
      <w:r>
        <w:rPr>
          <w:rFonts w:cs="Arial"/>
          <w:b w:val="0"/>
          <w:bCs/>
        </w:rPr>
        <w:tab/>
      </w:r>
      <w:r w:rsidR="00FF6BA5">
        <w:rPr>
          <w:rFonts w:cs="Arial"/>
          <w:b w:val="0"/>
          <w:bCs/>
        </w:rPr>
        <w:t>hideaki dot takahashi dot vx at nttdocomo dot com</w:t>
      </w:r>
    </w:p>
    <w:p w14:paraId="7430BD1E" w14:textId="77777777" w:rsidR="00463675" w:rsidRDefault="00463675">
      <w:pPr>
        <w:spacing w:after="60"/>
        <w:ind w:left="1985" w:hanging="1985"/>
        <w:rPr>
          <w:rFonts w:ascii="Arial" w:hAnsi="Arial" w:cs="Arial"/>
          <w:b/>
        </w:rPr>
      </w:pPr>
    </w:p>
    <w:p w14:paraId="0CD4234F"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415B4778" w14:textId="77777777" w:rsidR="00923E7C" w:rsidRDefault="00923E7C">
      <w:pPr>
        <w:spacing w:after="60"/>
        <w:ind w:left="1985" w:hanging="1985"/>
        <w:rPr>
          <w:rFonts w:ascii="Arial" w:hAnsi="Arial" w:cs="Arial"/>
          <w:b/>
        </w:rPr>
      </w:pPr>
    </w:p>
    <w:p w14:paraId="65D1A227" w14:textId="77777777" w:rsidR="00463675" w:rsidRDefault="00463675">
      <w:pPr>
        <w:spacing w:after="60"/>
        <w:ind w:left="1985" w:hanging="1985"/>
        <w:rPr>
          <w:rFonts w:ascii="Arial" w:hAnsi="Arial" w:cs="Arial"/>
          <w:bCs/>
        </w:rPr>
      </w:pPr>
      <w:r>
        <w:rPr>
          <w:rFonts w:ascii="Arial" w:hAnsi="Arial" w:cs="Arial"/>
          <w:b/>
        </w:rPr>
        <w:t>Attachments:</w:t>
      </w:r>
      <w:r w:rsidR="003B780F">
        <w:rPr>
          <w:rFonts w:ascii="Arial" w:hAnsi="Arial" w:cs="Arial"/>
          <w:bCs/>
        </w:rPr>
        <w:tab/>
      </w:r>
    </w:p>
    <w:p w14:paraId="3646B106" w14:textId="77777777" w:rsidR="00463675" w:rsidRDefault="00463675">
      <w:pPr>
        <w:pBdr>
          <w:bottom w:val="single" w:sz="4" w:space="1" w:color="auto"/>
        </w:pBdr>
        <w:rPr>
          <w:rFonts w:ascii="Arial" w:hAnsi="Arial" w:cs="Arial"/>
        </w:rPr>
      </w:pPr>
    </w:p>
    <w:p w14:paraId="5101FA83" w14:textId="77777777" w:rsidR="00463675" w:rsidRDefault="00463675">
      <w:pPr>
        <w:rPr>
          <w:rFonts w:ascii="Arial" w:hAnsi="Arial" w:cs="Arial"/>
        </w:rPr>
      </w:pPr>
    </w:p>
    <w:p w14:paraId="53F44A6E" w14:textId="77777777" w:rsidR="00463675" w:rsidRDefault="00463675">
      <w:pPr>
        <w:spacing w:after="120"/>
        <w:rPr>
          <w:rFonts w:ascii="Arial" w:hAnsi="Arial" w:cs="Arial"/>
          <w:b/>
        </w:rPr>
      </w:pPr>
      <w:r>
        <w:rPr>
          <w:rFonts w:ascii="Arial" w:hAnsi="Arial" w:cs="Arial"/>
          <w:b/>
        </w:rPr>
        <w:t>1. Overall Description:</w:t>
      </w:r>
    </w:p>
    <w:p w14:paraId="5DD84BCE" w14:textId="77777777" w:rsidR="00134E90" w:rsidRDefault="00AE2C90" w:rsidP="00CA6A37">
      <w:pPr>
        <w:rPr>
          <w:rFonts w:ascii="Arial" w:hAnsi="Arial" w:cs="Arial"/>
        </w:rPr>
      </w:pPr>
      <w:r w:rsidRPr="00AE2C90">
        <w:rPr>
          <w:rFonts w:ascii="Arial" w:hAnsi="Arial" w:cs="Arial"/>
        </w:rPr>
        <w:t>R</w:t>
      </w:r>
      <w:r w:rsidR="00F509F0">
        <w:rPr>
          <w:rFonts w:ascii="Arial" w:hAnsi="Arial" w:cs="Arial"/>
        </w:rPr>
        <w:t>AN2 agreed that a</w:t>
      </w:r>
      <w:r w:rsidR="00F509F0" w:rsidRPr="00F509F0">
        <w:rPr>
          <w:rFonts w:ascii="Arial" w:hAnsi="Arial" w:cs="Arial"/>
        </w:rPr>
        <w:t>t P/SCell addition and at HO</w:t>
      </w:r>
      <w:r w:rsidR="00F509F0">
        <w:rPr>
          <w:rFonts w:ascii="Arial" w:hAnsi="Arial" w:cs="Arial"/>
        </w:rPr>
        <w:t>,</w:t>
      </w:r>
      <w:r w:rsidR="00F509F0" w:rsidRPr="00F509F0">
        <w:rPr>
          <w:rFonts w:ascii="Arial" w:hAnsi="Arial" w:cs="Arial"/>
        </w:rPr>
        <w:t xml:space="preserve"> it shall be possible that the UE immediately uses a BWP as configured by the network and not be limited to initially using the Initial BWP as in </w:t>
      </w:r>
      <w:r w:rsidR="00F509F0">
        <w:rPr>
          <w:rFonts w:ascii="Arial" w:hAnsi="Arial" w:cs="Arial"/>
        </w:rPr>
        <w:t>MIB</w:t>
      </w:r>
      <w:r w:rsidR="00F509F0" w:rsidRPr="00F509F0">
        <w:rPr>
          <w:rFonts w:ascii="Arial" w:hAnsi="Arial" w:cs="Arial"/>
        </w:rPr>
        <w:t xml:space="preserve"> (</w:t>
      </w:r>
      <w:r w:rsidR="00F509F0">
        <w:rPr>
          <w:rFonts w:ascii="Arial" w:hAnsi="Arial" w:cs="Arial"/>
        </w:rPr>
        <w:t xml:space="preserve">i.e. 24/48/96 PRBs obtained via </w:t>
      </w:r>
      <w:r w:rsidR="00F509F0" w:rsidRPr="00F509F0">
        <w:rPr>
          <w:rFonts w:ascii="Arial" w:hAnsi="Arial" w:cs="Arial"/>
          <w:i/>
        </w:rPr>
        <w:t>pdcch-ConfigSIB1</w:t>
      </w:r>
      <w:r w:rsidR="00F509F0" w:rsidRPr="00F509F0">
        <w:rPr>
          <w:rFonts w:ascii="Arial" w:hAnsi="Arial" w:cs="Arial"/>
        </w:rPr>
        <w:t>).</w:t>
      </w:r>
      <w:r w:rsidR="00AE3B90">
        <w:rPr>
          <w:rFonts w:ascii="Arial" w:hAnsi="Arial" w:cs="Arial"/>
        </w:rPr>
        <w:t xml:space="preserve"> RAN2 analysed in details how this can be achieved for the case where a UE only supports the basic BWP operation (#6-1 in RAN1 feature list in [1]).</w:t>
      </w:r>
      <w:r w:rsidR="00134E90">
        <w:rPr>
          <w:rFonts w:ascii="Arial" w:hAnsi="Arial" w:cs="Arial"/>
        </w:rPr>
        <w:t xml:space="preserve"> With this basic functionality, RAN2 understands that the UE can be configured with the following two options:</w:t>
      </w:r>
    </w:p>
    <w:p w14:paraId="4DE1029D" w14:textId="77777777" w:rsidR="00CA6A37" w:rsidRDefault="00CA6A37" w:rsidP="00CA6A37">
      <w:pPr>
        <w:rPr>
          <w:rFonts w:ascii="Arial" w:hAnsi="Arial" w:cs="Arial"/>
        </w:rPr>
      </w:pPr>
    </w:p>
    <w:p w14:paraId="4C2E26A3" w14:textId="77777777" w:rsidR="00CA6A37" w:rsidRDefault="00CA6A37" w:rsidP="00CA6A37">
      <w:pPr>
        <w:ind w:left="1440" w:hanging="1440"/>
        <w:rPr>
          <w:rFonts w:ascii="Arial" w:hAnsi="Arial" w:cs="Arial"/>
        </w:rPr>
      </w:pPr>
      <w:r w:rsidRPr="004C0354">
        <w:rPr>
          <w:rFonts w:ascii="Arial" w:hAnsi="Arial" w:cs="Arial"/>
          <w:b/>
        </w:rPr>
        <w:t>Option 1:</w:t>
      </w:r>
      <w:r>
        <w:rPr>
          <w:rFonts w:ascii="Arial" w:hAnsi="Arial" w:cs="Arial"/>
        </w:rPr>
        <w:tab/>
      </w:r>
      <w:r w:rsidRPr="009A20B7">
        <w:rPr>
          <w:rFonts w:ascii="Arial" w:hAnsi="Arial" w:cs="Arial"/>
          <w:i/>
        </w:rPr>
        <w:t>BWP-DownlinkCommon/UplinkCommon</w:t>
      </w:r>
      <w:r w:rsidRPr="00CA6A37">
        <w:rPr>
          <w:rFonts w:ascii="Arial" w:hAnsi="Arial" w:cs="Arial"/>
        </w:rPr>
        <w:t xml:space="preserve"> for </w:t>
      </w:r>
      <w:r w:rsidRPr="009A20B7">
        <w:rPr>
          <w:rFonts w:ascii="Arial" w:hAnsi="Arial" w:cs="Arial"/>
          <w:i/>
        </w:rPr>
        <w:t>initialDownlink/UplinkBWP</w:t>
      </w:r>
      <w:r w:rsidRPr="00CA6A37">
        <w:rPr>
          <w:rFonts w:ascii="Arial" w:hAnsi="Arial" w:cs="Arial"/>
        </w:rPr>
        <w:t xml:space="preserve"> (BWP ID #0) plus </w:t>
      </w:r>
      <w:r w:rsidRPr="009A20B7">
        <w:rPr>
          <w:rFonts w:ascii="Arial" w:hAnsi="Arial" w:cs="Arial"/>
          <w:i/>
        </w:rPr>
        <w:t>BWP-Downlink/Uplink</w:t>
      </w:r>
      <w:r w:rsidRPr="00CA6A37">
        <w:rPr>
          <w:rFonts w:ascii="Arial" w:hAnsi="Arial" w:cs="Arial"/>
        </w:rPr>
        <w:t xml:space="preserve"> for one configured </w:t>
      </w:r>
      <w:r w:rsidRPr="009A20B7">
        <w:rPr>
          <w:rFonts w:ascii="Arial" w:hAnsi="Arial" w:cs="Arial"/>
          <w:i/>
        </w:rPr>
        <w:t>downlink/uplinkBWP</w:t>
      </w:r>
      <w:r w:rsidRPr="00CA6A37">
        <w:rPr>
          <w:rFonts w:ascii="Arial" w:hAnsi="Arial" w:cs="Arial"/>
        </w:rPr>
        <w:t xml:space="preserve"> (BWP ID #1)</w:t>
      </w:r>
      <w:r>
        <w:rPr>
          <w:rFonts w:ascii="Arial" w:hAnsi="Arial" w:cs="Arial"/>
        </w:rPr>
        <w:t>;</w:t>
      </w:r>
    </w:p>
    <w:p w14:paraId="218D20BF" w14:textId="77777777" w:rsidR="00CA6A37" w:rsidRPr="00134E90" w:rsidRDefault="00CA6A37" w:rsidP="00CA6A37">
      <w:pPr>
        <w:ind w:left="1440" w:hanging="1440"/>
        <w:rPr>
          <w:rFonts w:ascii="Arial" w:hAnsi="Arial" w:cs="Arial"/>
          <w:lang w:eastAsia="ja-JP"/>
        </w:rPr>
      </w:pPr>
      <w:r w:rsidRPr="004C0354">
        <w:rPr>
          <w:rFonts w:ascii="Arial" w:hAnsi="Arial" w:cs="Arial"/>
          <w:b/>
        </w:rPr>
        <w:t>Option 2:</w:t>
      </w:r>
      <w:r>
        <w:rPr>
          <w:rFonts w:ascii="Arial" w:hAnsi="Arial" w:cs="Arial"/>
        </w:rPr>
        <w:tab/>
      </w:r>
      <w:r w:rsidRPr="009A20B7">
        <w:rPr>
          <w:rFonts w:ascii="Arial" w:hAnsi="Arial" w:cs="Arial"/>
          <w:i/>
        </w:rPr>
        <w:t>BWP-DownlinkCommon/UplinkCommon</w:t>
      </w:r>
      <w:r w:rsidRPr="00CA6A37">
        <w:rPr>
          <w:rFonts w:ascii="Arial" w:hAnsi="Arial" w:cs="Arial"/>
        </w:rPr>
        <w:t xml:space="preserve"> and </w:t>
      </w:r>
      <w:r w:rsidRPr="009A20B7">
        <w:rPr>
          <w:rFonts w:ascii="Arial" w:hAnsi="Arial" w:cs="Arial"/>
          <w:i/>
        </w:rPr>
        <w:t>BWP-DownlinkDedicated/UplinkDedicated</w:t>
      </w:r>
      <w:r w:rsidRPr="00CA6A37">
        <w:rPr>
          <w:rFonts w:ascii="Arial" w:hAnsi="Arial" w:cs="Arial"/>
        </w:rPr>
        <w:t xml:space="preserve"> for </w:t>
      </w:r>
      <w:r w:rsidRPr="009A20B7">
        <w:rPr>
          <w:rFonts w:ascii="Arial" w:hAnsi="Arial" w:cs="Arial"/>
          <w:i/>
        </w:rPr>
        <w:t>initialDownlink/UplinkBWP</w:t>
      </w:r>
      <w:r w:rsidRPr="00CA6A37">
        <w:rPr>
          <w:rFonts w:ascii="Arial" w:hAnsi="Arial" w:cs="Arial"/>
        </w:rPr>
        <w:t xml:space="preserve"> (BWP ID #0</w:t>
      </w:r>
      <w:bookmarkStart w:id="1" w:name="_GoBack"/>
      <w:bookmarkEnd w:id="1"/>
      <w:r w:rsidRPr="00CA6A37">
        <w:rPr>
          <w:rFonts w:ascii="Arial" w:hAnsi="Arial" w:cs="Arial"/>
        </w:rPr>
        <w:t>)</w:t>
      </w:r>
      <w:r>
        <w:rPr>
          <w:rFonts w:ascii="Arial" w:hAnsi="Arial" w:cs="Arial"/>
        </w:rPr>
        <w:t>.</w:t>
      </w:r>
    </w:p>
    <w:p w14:paraId="3E2DF795" w14:textId="77777777" w:rsidR="00AE2C90" w:rsidRDefault="00AE2C90">
      <w:pPr>
        <w:pStyle w:val="a3"/>
        <w:tabs>
          <w:tab w:val="clear" w:pos="4153"/>
          <w:tab w:val="clear" w:pos="8306"/>
        </w:tabs>
        <w:rPr>
          <w:rFonts w:ascii="Arial" w:hAnsi="Arial" w:cs="Arial"/>
        </w:rPr>
      </w:pPr>
    </w:p>
    <w:p w14:paraId="047FF1D0" w14:textId="03600EC6" w:rsidR="00BD6F57" w:rsidRPr="00BD6F57" w:rsidRDefault="00C577C5" w:rsidP="00BD6F57">
      <w:pPr>
        <w:pStyle w:val="a3"/>
        <w:rPr>
          <w:rFonts w:ascii="Arial" w:hAnsi="Arial" w:cs="Arial"/>
          <w:lang w:eastAsia="ja-JP"/>
        </w:rPr>
      </w:pPr>
      <w:r>
        <w:rPr>
          <w:rFonts w:ascii="Arial" w:hAnsi="Arial" w:cs="Arial" w:hint="eastAsia"/>
          <w:lang w:eastAsia="ja-JP"/>
        </w:rPr>
        <w:t xml:space="preserve">With regards to Option 1, </w:t>
      </w:r>
      <w:r>
        <w:rPr>
          <w:rFonts w:ascii="Arial" w:hAnsi="Arial" w:cs="Arial"/>
          <w:lang w:eastAsia="ja-JP"/>
        </w:rPr>
        <w:t xml:space="preserve">although two BWPs are configured, the UE considers BWP ID #1 as the UE-specific RRC configured BWP. If this configuration is possible from Layer-1 viewpoints, wider bandwidth than initial BWP (BWP #0) can be configured to BWP #1. Thus, the UE can immediately utilise the wider bandwidth after BWP #1 is </w:t>
      </w:r>
      <w:r w:rsidR="005960D5">
        <w:rPr>
          <w:rFonts w:ascii="Arial" w:hAnsi="Arial" w:cs="Arial"/>
          <w:lang w:eastAsia="ja-JP"/>
        </w:rPr>
        <w:t>configured to P/</w:t>
      </w:r>
      <w:r>
        <w:rPr>
          <w:rFonts w:ascii="Arial" w:hAnsi="Arial" w:cs="Arial"/>
          <w:lang w:eastAsia="ja-JP"/>
        </w:rPr>
        <w:t>SCell.</w:t>
      </w:r>
      <w:r w:rsidR="00BD6F57" w:rsidRPr="00BD6F57">
        <w:t xml:space="preserve"> </w:t>
      </w:r>
      <w:r w:rsidR="00BD6F57" w:rsidRPr="00DE7D0D">
        <w:rPr>
          <w:rFonts w:ascii="Arial" w:hAnsi="Arial" w:cs="Arial"/>
          <w:lang w:eastAsia="ja-JP"/>
        </w:rPr>
        <w:t xml:space="preserve">Using this option, </w:t>
      </w:r>
      <w:r w:rsidR="00DE7D0D" w:rsidRPr="00B52275">
        <w:rPr>
          <w:rFonts w:ascii="Arial" w:hAnsi="Arial" w:cs="Arial"/>
          <w:lang w:eastAsia="ja-JP"/>
        </w:rPr>
        <w:t>RAN2 observes the potential RAN1 specification impact</w:t>
      </w:r>
      <w:r w:rsidR="00DE7D0D">
        <w:rPr>
          <w:rFonts w:ascii="Arial" w:hAnsi="Arial" w:cs="Arial"/>
          <w:lang w:eastAsia="ja-JP"/>
        </w:rPr>
        <w:t xml:space="preserve"> that </w:t>
      </w:r>
      <w:r w:rsidR="00BD6F57" w:rsidRPr="00DE7D0D">
        <w:rPr>
          <w:rFonts w:ascii="Arial" w:hAnsi="Arial" w:cs="Arial"/>
          <w:lang w:eastAsia="ja-JP"/>
        </w:rPr>
        <w:t>the DCI bit-</w:t>
      </w:r>
      <w:r w:rsidR="00DE7D0D">
        <w:rPr>
          <w:rFonts w:ascii="Arial" w:hAnsi="Arial" w:cs="Arial"/>
          <w:lang w:eastAsia="ja-JP"/>
        </w:rPr>
        <w:t>width calculation for BWP needs</w:t>
      </w:r>
      <w:r w:rsidR="00BD6F57" w:rsidRPr="00DE7D0D">
        <w:rPr>
          <w:rFonts w:ascii="Arial" w:hAnsi="Arial" w:cs="Arial"/>
          <w:lang w:eastAsia="ja-JP"/>
        </w:rPr>
        <w:t xml:space="preserve"> </w:t>
      </w:r>
      <w:r w:rsidR="00DE7D0D">
        <w:rPr>
          <w:rFonts w:ascii="Arial" w:hAnsi="Arial" w:cs="Arial"/>
          <w:lang w:eastAsia="ja-JP"/>
        </w:rPr>
        <w:t xml:space="preserve">to </w:t>
      </w:r>
      <w:r w:rsidR="00BD6F57" w:rsidRPr="00DE7D0D">
        <w:rPr>
          <w:rFonts w:ascii="Arial" w:hAnsi="Arial" w:cs="Arial"/>
          <w:lang w:eastAsia="ja-JP"/>
        </w:rPr>
        <w:t>be modified to not be used for UEs capable of #6-1 for this option/configuration.</w:t>
      </w:r>
    </w:p>
    <w:p w14:paraId="3B6C7481" w14:textId="77777777" w:rsidR="008F6A78" w:rsidRPr="00F93EDC" w:rsidRDefault="008F6A78" w:rsidP="00BD6F57">
      <w:pPr>
        <w:pStyle w:val="a3"/>
        <w:rPr>
          <w:rFonts w:ascii="Arial" w:hAnsi="Arial" w:cs="Arial"/>
          <w:lang w:val="en-US" w:eastAsia="ja-JP"/>
        </w:rPr>
      </w:pPr>
    </w:p>
    <w:p w14:paraId="4ABE5EB1" w14:textId="77777777" w:rsidR="00C577C5" w:rsidRDefault="00C577C5">
      <w:pPr>
        <w:pStyle w:val="a3"/>
        <w:tabs>
          <w:tab w:val="clear" w:pos="4153"/>
          <w:tab w:val="clear" w:pos="8306"/>
        </w:tabs>
        <w:rPr>
          <w:rFonts w:ascii="Arial" w:hAnsi="Arial" w:cs="Arial"/>
          <w:lang w:eastAsia="ja-JP"/>
        </w:rPr>
      </w:pPr>
    </w:p>
    <w:p w14:paraId="04438060" w14:textId="7BE48D09" w:rsidR="00C577C5" w:rsidRDefault="00C577C5">
      <w:pPr>
        <w:pStyle w:val="a3"/>
        <w:tabs>
          <w:tab w:val="clear" w:pos="4153"/>
          <w:tab w:val="clear" w:pos="8306"/>
        </w:tabs>
        <w:rPr>
          <w:rFonts w:ascii="Arial" w:hAnsi="Arial" w:cs="Arial"/>
          <w:lang w:eastAsia="ja-JP"/>
        </w:rPr>
      </w:pPr>
      <w:r>
        <w:rPr>
          <w:rFonts w:ascii="Arial" w:hAnsi="Arial" w:cs="Arial"/>
          <w:lang w:eastAsia="ja-JP"/>
        </w:rPr>
        <w:t>With regards to Op</w:t>
      </w:r>
      <w:r w:rsidRPr="00F93EDC">
        <w:rPr>
          <w:rFonts w:ascii="Arial" w:hAnsi="Arial" w:cs="Arial"/>
          <w:lang w:eastAsia="ja-JP"/>
        </w:rPr>
        <w:t xml:space="preserve">tion 2, </w:t>
      </w:r>
      <w:r w:rsidR="00B52275" w:rsidRPr="00F93EDC">
        <w:rPr>
          <w:rFonts w:ascii="Arial" w:hAnsi="Arial" w:cs="Arial"/>
          <w:lang w:eastAsia="ja-JP"/>
        </w:rPr>
        <w:t>the width of the initial BWP (BWP-Id #0) is configured in SIB1 (for the PCell) and in ServingCellConfigCommon (for HO and for addition of other serving cells) using the field locationAndBandwidth (this signalling structure is already in place in RRC). The field pdcch-ConfigSIB1 in MIB indicates, as the name suggests, only the width of the CORESET#0 but not the width of the initial-BWP. Hence, the option 2 allows configuring the initial BWP to cover the entire carrier (and not just 24/48/96 PRBs used by the CORESET#0).</w:t>
      </w:r>
    </w:p>
    <w:p w14:paraId="2CA08EB6" w14:textId="77777777" w:rsidR="008F6A78" w:rsidRDefault="008F6A78">
      <w:pPr>
        <w:pStyle w:val="a3"/>
        <w:tabs>
          <w:tab w:val="clear" w:pos="4153"/>
          <w:tab w:val="clear" w:pos="8306"/>
        </w:tabs>
        <w:rPr>
          <w:rFonts w:ascii="Arial" w:hAnsi="Arial" w:cs="Arial"/>
        </w:rPr>
      </w:pPr>
    </w:p>
    <w:p w14:paraId="268F998F" w14:textId="0A037A6C" w:rsidR="00647FB2" w:rsidRDefault="00647FB2">
      <w:pPr>
        <w:pStyle w:val="a3"/>
        <w:tabs>
          <w:tab w:val="clear" w:pos="4153"/>
          <w:tab w:val="clear" w:pos="8306"/>
        </w:tabs>
        <w:rPr>
          <w:rFonts w:ascii="Arial" w:hAnsi="Arial" w:cs="Arial"/>
          <w:lang w:eastAsia="ja-JP"/>
        </w:rPr>
      </w:pPr>
      <w:r>
        <w:rPr>
          <w:rFonts w:ascii="Arial" w:hAnsi="Arial" w:cs="Arial" w:hint="eastAsia"/>
          <w:lang w:eastAsia="ja-JP"/>
        </w:rPr>
        <w:t xml:space="preserve">RAN2 </w:t>
      </w:r>
      <w:r>
        <w:rPr>
          <w:rFonts w:ascii="Arial" w:hAnsi="Arial" w:cs="Arial"/>
          <w:lang w:eastAsia="ja-JP"/>
        </w:rPr>
        <w:t xml:space="preserve">would like to consult RAN1 </w:t>
      </w:r>
      <w:r w:rsidR="00F02565">
        <w:rPr>
          <w:rFonts w:ascii="Arial" w:hAnsi="Arial" w:cs="Arial"/>
          <w:lang w:eastAsia="ja-JP"/>
        </w:rPr>
        <w:t>if at least one option is supported</w:t>
      </w:r>
      <w:r>
        <w:rPr>
          <w:rFonts w:ascii="Arial" w:hAnsi="Arial" w:cs="Arial"/>
          <w:lang w:eastAsia="ja-JP"/>
        </w:rPr>
        <w:t>.</w:t>
      </w:r>
    </w:p>
    <w:p w14:paraId="6E02DAB0" w14:textId="77777777" w:rsidR="00647FB2" w:rsidRPr="005960D5" w:rsidRDefault="00647FB2">
      <w:pPr>
        <w:pStyle w:val="a3"/>
        <w:tabs>
          <w:tab w:val="clear" w:pos="4153"/>
          <w:tab w:val="clear" w:pos="8306"/>
        </w:tabs>
        <w:rPr>
          <w:rFonts w:ascii="Arial" w:hAnsi="Arial" w:cs="Arial"/>
        </w:rPr>
      </w:pPr>
    </w:p>
    <w:p w14:paraId="7E8C86AC" w14:textId="77777777" w:rsidR="00463675" w:rsidRDefault="00463675">
      <w:pPr>
        <w:spacing w:after="120"/>
        <w:rPr>
          <w:rFonts w:ascii="Arial" w:hAnsi="Arial" w:cs="Arial"/>
          <w:b/>
        </w:rPr>
      </w:pPr>
      <w:r>
        <w:rPr>
          <w:rFonts w:ascii="Arial" w:hAnsi="Arial" w:cs="Arial"/>
          <w:b/>
        </w:rPr>
        <w:t>2. Actions:</w:t>
      </w:r>
    </w:p>
    <w:p w14:paraId="701774AF" w14:textId="77777777" w:rsidR="00463675" w:rsidRDefault="00463675">
      <w:pPr>
        <w:spacing w:after="120"/>
        <w:ind w:left="1985" w:hanging="1985"/>
        <w:rPr>
          <w:rFonts w:ascii="Arial" w:hAnsi="Arial" w:cs="Arial"/>
          <w:b/>
        </w:rPr>
      </w:pPr>
      <w:r>
        <w:rPr>
          <w:rFonts w:ascii="Arial" w:hAnsi="Arial" w:cs="Arial"/>
          <w:b/>
        </w:rPr>
        <w:t xml:space="preserve">To </w:t>
      </w:r>
      <w:r w:rsidR="00186956">
        <w:rPr>
          <w:rFonts w:ascii="Arial" w:hAnsi="Arial" w:cs="Arial"/>
          <w:b/>
        </w:rPr>
        <w:t>RAN1</w:t>
      </w:r>
      <w:r>
        <w:rPr>
          <w:rFonts w:ascii="Arial" w:hAnsi="Arial" w:cs="Arial"/>
          <w:b/>
        </w:rPr>
        <w:t xml:space="preserve"> group.</w:t>
      </w:r>
    </w:p>
    <w:p w14:paraId="35254CCD" w14:textId="402D9A8A" w:rsidR="00647FB2" w:rsidRPr="007A1662" w:rsidRDefault="00463675" w:rsidP="00B52275">
      <w:pPr>
        <w:spacing w:after="120"/>
        <w:ind w:left="993" w:hanging="993"/>
        <w:rPr>
          <w:rFonts w:ascii="Arial" w:hAnsi="Arial" w:cs="Arial"/>
          <w:lang w:eastAsia="ja-JP"/>
        </w:rPr>
      </w:pPr>
      <w:r>
        <w:rPr>
          <w:rFonts w:ascii="Arial" w:hAnsi="Arial" w:cs="Arial"/>
          <w:b/>
        </w:rPr>
        <w:t xml:space="preserve">ACTION: </w:t>
      </w:r>
      <w:r>
        <w:rPr>
          <w:rFonts w:ascii="Arial" w:hAnsi="Arial" w:cs="Arial"/>
          <w:b/>
        </w:rPr>
        <w:tab/>
      </w:r>
      <w:r w:rsidR="00186956" w:rsidRPr="007A1662">
        <w:rPr>
          <w:rFonts w:ascii="Arial" w:hAnsi="Arial" w:cs="Arial"/>
        </w:rPr>
        <w:t>RAN2</w:t>
      </w:r>
      <w:r w:rsidRPr="007A1662">
        <w:rPr>
          <w:rFonts w:ascii="Arial" w:hAnsi="Arial" w:cs="Arial"/>
        </w:rPr>
        <w:t xml:space="preserve"> </w:t>
      </w:r>
      <w:r w:rsidR="00186956" w:rsidRPr="007A1662">
        <w:rPr>
          <w:rFonts w:ascii="Arial" w:hAnsi="Arial" w:cs="Arial"/>
        </w:rPr>
        <w:t xml:space="preserve">respectfully asks RAN1 to </w:t>
      </w:r>
      <w:r w:rsidR="00F02565">
        <w:rPr>
          <w:rFonts w:ascii="Arial" w:hAnsi="Arial" w:cs="Arial"/>
        </w:rPr>
        <w:t>investigate Option 1 and 2 and answer if at least one of them can be supported for the UE only capable of the basic BWP operation to configure a wider bandwidth than the one indicated in MIB.</w:t>
      </w:r>
    </w:p>
    <w:p w14:paraId="73001C7A" w14:textId="77777777" w:rsidR="00463675" w:rsidRPr="00186956" w:rsidRDefault="00463675">
      <w:pPr>
        <w:spacing w:after="120"/>
        <w:ind w:left="993" w:hanging="993"/>
        <w:rPr>
          <w:rFonts w:ascii="Arial" w:hAnsi="Arial" w:cs="Arial"/>
        </w:rPr>
      </w:pPr>
    </w:p>
    <w:p w14:paraId="66516383" w14:textId="77777777" w:rsidR="00463675" w:rsidRDefault="000B5232">
      <w:pPr>
        <w:spacing w:after="120"/>
        <w:rPr>
          <w:rFonts w:ascii="Arial" w:hAnsi="Arial" w:cs="Arial"/>
          <w:b/>
        </w:rPr>
      </w:pPr>
      <w:r>
        <w:rPr>
          <w:rFonts w:ascii="Arial" w:hAnsi="Arial" w:cs="Arial"/>
          <w:b/>
        </w:rPr>
        <w:t>3. Date of Next TSG-RAN WG2</w:t>
      </w:r>
      <w:r w:rsidR="00463675">
        <w:rPr>
          <w:rFonts w:ascii="Arial" w:hAnsi="Arial" w:cs="Arial"/>
          <w:b/>
        </w:rPr>
        <w:t xml:space="preserve"> Meetings:</w:t>
      </w:r>
    </w:p>
    <w:p w14:paraId="5B6387B5" w14:textId="77777777" w:rsidR="00463675" w:rsidRDefault="000B5232">
      <w:pPr>
        <w:tabs>
          <w:tab w:val="left" w:pos="5103"/>
        </w:tabs>
        <w:spacing w:after="120"/>
        <w:ind w:left="2268" w:hanging="2268"/>
        <w:rPr>
          <w:rFonts w:ascii="Arial" w:hAnsi="Arial" w:cs="Arial"/>
          <w:bCs/>
        </w:rPr>
      </w:pPr>
      <w:r w:rsidRPr="000B5232">
        <w:rPr>
          <w:rFonts w:ascii="Arial" w:hAnsi="Arial" w:cs="Arial"/>
          <w:bCs/>
        </w:rPr>
        <w:lastRenderedPageBreak/>
        <w:t>TSG-RAN WG2</w:t>
      </w:r>
      <w:r w:rsidR="00463675" w:rsidRPr="000B5232">
        <w:rPr>
          <w:rFonts w:ascii="Arial" w:hAnsi="Arial" w:cs="Arial"/>
          <w:bCs/>
        </w:rPr>
        <w:t xml:space="preserve"> </w:t>
      </w:r>
      <w:r w:rsidRPr="000B5232">
        <w:rPr>
          <w:rFonts w:ascii="Arial" w:hAnsi="Arial" w:cs="Arial"/>
          <w:bCs/>
        </w:rPr>
        <w:t>NR-AH 1807</w:t>
      </w:r>
      <w:r>
        <w:rPr>
          <w:rFonts w:ascii="Arial" w:hAnsi="Arial" w:cs="Arial"/>
          <w:bCs/>
        </w:rPr>
        <w:tab/>
        <w:t>2nd – 6th July 2018</w:t>
      </w:r>
      <w:r>
        <w:rPr>
          <w:rFonts w:ascii="Arial" w:hAnsi="Arial" w:cs="Arial"/>
          <w:bCs/>
        </w:rPr>
        <w:tab/>
        <w:t>Montreal</w:t>
      </w:r>
      <w:r w:rsidR="001F0044">
        <w:rPr>
          <w:rFonts w:ascii="Arial" w:hAnsi="Arial" w:cs="Arial"/>
          <w:bCs/>
        </w:rPr>
        <w:t>,</w:t>
      </w:r>
      <w:r>
        <w:rPr>
          <w:rFonts w:ascii="Arial" w:hAnsi="Arial" w:cs="Arial"/>
          <w:bCs/>
        </w:rPr>
        <w:tab/>
        <w:t>Canada</w:t>
      </w:r>
      <w:r w:rsidR="00463675" w:rsidRPr="000B5232">
        <w:rPr>
          <w:rFonts w:ascii="Arial" w:hAnsi="Arial" w:cs="Arial"/>
          <w:bCs/>
        </w:rPr>
        <w:t>.</w:t>
      </w:r>
    </w:p>
    <w:p w14:paraId="145A12E8" w14:textId="77777777" w:rsidR="007E538C" w:rsidRPr="000B5232" w:rsidRDefault="007E538C" w:rsidP="007E538C">
      <w:pPr>
        <w:tabs>
          <w:tab w:val="left" w:pos="5103"/>
        </w:tabs>
        <w:spacing w:after="120"/>
        <w:ind w:left="2268" w:hanging="2268"/>
        <w:rPr>
          <w:rFonts w:ascii="Arial" w:hAnsi="Arial" w:cs="Arial"/>
          <w:bCs/>
        </w:rPr>
      </w:pPr>
      <w:r w:rsidRPr="000B5232">
        <w:rPr>
          <w:rFonts w:ascii="Arial" w:hAnsi="Arial" w:cs="Arial"/>
          <w:bCs/>
        </w:rPr>
        <w:t>TS</w:t>
      </w:r>
      <w:r>
        <w:rPr>
          <w:rFonts w:ascii="Arial" w:hAnsi="Arial" w:cs="Arial"/>
          <w:bCs/>
        </w:rPr>
        <w:t>G-RAN WG2 Meeting #103</w:t>
      </w:r>
      <w:r w:rsidRPr="000B5232">
        <w:rPr>
          <w:rFonts w:ascii="Arial" w:hAnsi="Arial" w:cs="Arial"/>
          <w:bCs/>
        </w:rPr>
        <w:tab/>
      </w:r>
      <w:r w:rsidR="00DE5EEC">
        <w:rPr>
          <w:rFonts w:ascii="Arial" w:hAnsi="Arial" w:cs="Arial"/>
          <w:bCs/>
        </w:rPr>
        <w:t>20th – 24th August</w:t>
      </w:r>
      <w:r w:rsidRPr="000B5232">
        <w:rPr>
          <w:rFonts w:ascii="Arial" w:hAnsi="Arial" w:cs="Arial"/>
          <w:bCs/>
        </w:rPr>
        <w:t xml:space="preserve"> 20</w:t>
      </w:r>
      <w:r w:rsidR="00DE5EEC">
        <w:rPr>
          <w:rFonts w:ascii="Arial" w:hAnsi="Arial" w:cs="Arial"/>
          <w:bCs/>
        </w:rPr>
        <w:t>18</w:t>
      </w:r>
      <w:r w:rsidR="00DE5EEC">
        <w:rPr>
          <w:rFonts w:ascii="Arial" w:hAnsi="Arial" w:cs="Arial"/>
          <w:bCs/>
        </w:rPr>
        <w:tab/>
        <w:t>Gothenburg</w:t>
      </w:r>
      <w:r w:rsidR="001F0044">
        <w:rPr>
          <w:rFonts w:ascii="Arial" w:hAnsi="Arial" w:cs="Arial"/>
          <w:bCs/>
        </w:rPr>
        <w:t>,</w:t>
      </w:r>
      <w:r w:rsidR="00DE5EEC">
        <w:rPr>
          <w:rFonts w:ascii="Arial" w:hAnsi="Arial" w:cs="Arial"/>
          <w:bCs/>
        </w:rPr>
        <w:t xml:space="preserve"> Sweden</w:t>
      </w:r>
      <w:r w:rsidRPr="000B5232">
        <w:rPr>
          <w:rFonts w:ascii="Arial" w:hAnsi="Arial" w:cs="Arial"/>
          <w:bCs/>
        </w:rPr>
        <w:t>.</w:t>
      </w:r>
    </w:p>
    <w:p w14:paraId="5E941430" w14:textId="77777777" w:rsidR="00F03DED" w:rsidRDefault="00F03DED">
      <w:pPr>
        <w:tabs>
          <w:tab w:val="left" w:pos="5103"/>
        </w:tabs>
        <w:spacing w:after="120"/>
        <w:ind w:left="2268" w:hanging="2268"/>
        <w:rPr>
          <w:rFonts w:ascii="Arial" w:hAnsi="Arial" w:cs="Arial"/>
          <w:bCs/>
        </w:rPr>
      </w:pPr>
    </w:p>
    <w:p w14:paraId="71D76155" w14:textId="77777777" w:rsidR="00AE3B90" w:rsidRDefault="00AE3B90" w:rsidP="00AE3B90">
      <w:pPr>
        <w:spacing w:after="120"/>
        <w:rPr>
          <w:rFonts w:ascii="Arial" w:hAnsi="Arial" w:cs="Arial"/>
          <w:b/>
        </w:rPr>
      </w:pPr>
      <w:r>
        <w:rPr>
          <w:rFonts w:ascii="Arial" w:hAnsi="Arial" w:cs="Arial"/>
          <w:b/>
        </w:rPr>
        <w:t>4. References:</w:t>
      </w:r>
    </w:p>
    <w:p w14:paraId="6EBDE94B" w14:textId="77777777" w:rsidR="00AE3B90" w:rsidRPr="007E538C" w:rsidRDefault="00AE3B90" w:rsidP="00AE3B90">
      <w:pPr>
        <w:tabs>
          <w:tab w:val="left" w:pos="5103"/>
        </w:tabs>
        <w:spacing w:after="120"/>
        <w:rPr>
          <w:rFonts w:ascii="Arial" w:hAnsi="Arial" w:cs="Arial"/>
          <w:bCs/>
        </w:rPr>
      </w:pPr>
      <w:r>
        <w:rPr>
          <w:rFonts w:ascii="Arial" w:hAnsi="Arial" w:cs="Arial"/>
          <w:bCs/>
        </w:rPr>
        <w:t xml:space="preserve">[1] </w:t>
      </w:r>
      <w:r w:rsidRPr="00AE3B90">
        <w:rPr>
          <w:rFonts w:ascii="Arial" w:hAnsi="Arial" w:cs="Arial"/>
          <w:bCs/>
        </w:rPr>
        <w:t>R2-1806618</w:t>
      </w:r>
      <w:r>
        <w:rPr>
          <w:rFonts w:ascii="Arial" w:hAnsi="Arial" w:cs="Arial"/>
          <w:bCs/>
        </w:rPr>
        <w:t>, “</w:t>
      </w:r>
      <w:r w:rsidRPr="00AE3B90">
        <w:rPr>
          <w:rFonts w:ascii="Arial" w:hAnsi="Arial" w:cs="Arial"/>
          <w:bCs/>
        </w:rPr>
        <w:t>LS on NR UE feature list</w:t>
      </w:r>
      <w:r>
        <w:rPr>
          <w:rFonts w:ascii="Arial" w:hAnsi="Arial" w:cs="Arial"/>
          <w:bCs/>
        </w:rPr>
        <w:t>,” RAN1.</w:t>
      </w:r>
    </w:p>
    <w:sectPr w:rsidR="00AE3B90" w:rsidRPr="007E538C">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oswarthick" w:initials="D">
    <w:p w14:paraId="1215A25B" w14:textId="77777777" w:rsidR="00463675" w:rsidRDefault="00463675">
      <w:pPr>
        <w:pStyle w:val="a5"/>
      </w:pPr>
      <w:r>
        <w:fldChar w:fldCharType="begin"/>
      </w:r>
      <w:r>
        <w:instrText>PAGE \# "'Page: '#'</w:instrText>
      </w:r>
      <w:r>
        <w:br/>
        <w:instrText>'"</w:instrText>
      </w:r>
      <w:r>
        <w:rPr>
          <w:rStyle w:val="a8"/>
        </w:rPr>
        <w:instrText xml:space="preserve">  </w:instrText>
      </w:r>
      <w:r>
        <w:fldChar w:fldCharType="end"/>
      </w:r>
      <w:r>
        <w:rPr>
          <w:rStyle w:val="a8"/>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15A25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6F3E2" w14:textId="77777777" w:rsidR="00281DC5" w:rsidRDefault="00281DC5">
      <w:r>
        <w:separator/>
      </w:r>
    </w:p>
  </w:endnote>
  <w:endnote w:type="continuationSeparator" w:id="0">
    <w:p w14:paraId="5943BA11" w14:textId="77777777" w:rsidR="00281DC5" w:rsidRDefault="0028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7A5CE" w14:textId="77777777" w:rsidR="00281DC5" w:rsidRDefault="00281DC5">
      <w:r>
        <w:separator/>
      </w:r>
    </w:p>
  </w:footnote>
  <w:footnote w:type="continuationSeparator" w:id="0">
    <w:p w14:paraId="3DEAB69B" w14:textId="77777777" w:rsidR="00281DC5" w:rsidRDefault="00281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837D8"/>
    <w:rsid w:val="000A7B22"/>
    <w:rsid w:val="000B5232"/>
    <w:rsid w:val="00134E90"/>
    <w:rsid w:val="0016307B"/>
    <w:rsid w:val="00186956"/>
    <w:rsid w:val="001928E1"/>
    <w:rsid w:val="00197D8C"/>
    <w:rsid w:val="001E7980"/>
    <w:rsid w:val="001F0044"/>
    <w:rsid w:val="00221161"/>
    <w:rsid w:val="00281DC5"/>
    <w:rsid w:val="002A2E56"/>
    <w:rsid w:val="002B1091"/>
    <w:rsid w:val="003B780F"/>
    <w:rsid w:val="0042651E"/>
    <w:rsid w:val="00463675"/>
    <w:rsid w:val="004755F9"/>
    <w:rsid w:val="004C0354"/>
    <w:rsid w:val="004D534F"/>
    <w:rsid w:val="0053409B"/>
    <w:rsid w:val="005426E5"/>
    <w:rsid w:val="00594D1F"/>
    <w:rsid w:val="005956CA"/>
    <w:rsid w:val="005960D5"/>
    <w:rsid w:val="005B5CCB"/>
    <w:rsid w:val="005C0ECF"/>
    <w:rsid w:val="005E55FC"/>
    <w:rsid w:val="00604C0B"/>
    <w:rsid w:val="00647FB2"/>
    <w:rsid w:val="00695CC7"/>
    <w:rsid w:val="006C388C"/>
    <w:rsid w:val="006C73C5"/>
    <w:rsid w:val="00714074"/>
    <w:rsid w:val="00764618"/>
    <w:rsid w:val="00792C82"/>
    <w:rsid w:val="007A1662"/>
    <w:rsid w:val="007D2612"/>
    <w:rsid w:val="007E1404"/>
    <w:rsid w:val="007E538C"/>
    <w:rsid w:val="007F7F25"/>
    <w:rsid w:val="00805061"/>
    <w:rsid w:val="008464CB"/>
    <w:rsid w:val="008F6A78"/>
    <w:rsid w:val="00904C8C"/>
    <w:rsid w:val="00923E7C"/>
    <w:rsid w:val="009505F8"/>
    <w:rsid w:val="009A20B7"/>
    <w:rsid w:val="009E1463"/>
    <w:rsid w:val="00A11333"/>
    <w:rsid w:val="00A22741"/>
    <w:rsid w:val="00A337B9"/>
    <w:rsid w:val="00A80132"/>
    <w:rsid w:val="00AC01E0"/>
    <w:rsid w:val="00AE2C90"/>
    <w:rsid w:val="00AE3B90"/>
    <w:rsid w:val="00B230D5"/>
    <w:rsid w:val="00B52275"/>
    <w:rsid w:val="00B91610"/>
    <w:rsid w:val="00BD6F57"/>
    <w:rsid w:val="00BD7B38"/>
    <w:rsid w:val="00C17D40"/>
    <w:rsid w:val="00C23067"/>
    <w:rsid w:val="00C577C5"/>
    <w:rsid w:val="00C81E1C"/>
    <w:rsid w:val="00CA6A37"/>
    <w:rsid w:val="00CB1A00"/>
    <w:rsid w:val="00D602A0"/>
    <w:rsid w:val="00DA0030"/>
    <w:rsid w:val="00DC7448"/>
    <w:rsid w:val="00DE5EEC"/>
    <w:rsid w:val="00DE7D0D"/>
    <w:rsid w:val="00E5046E"/>
    <w:rsid w:val="00EB5515"/>
    <w:rsid w:val="00EB60C1"/>
    <w:rsid w:val="00EC07A0"/>
    <w:rsid w:val="00F02565"/>
    <w:rsid w:val="00F03DED"/>
    <w:rsid w:val="00F145AF"/>
    <w:rsid w:val="00F1464D"/>
    <w:rsid w:val="00F25F10"/>
    <w:rsid w:val="00F43F24"/>
    <w:rsid w:val="00F509F0"/>
    <w:rsid w:val="00F93EDC"/>
    <w:rsid w:val="00FC42A4"/>
    <w:rsid w:val="00FF6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E5D404"/>
  <w15:chartTrackingRefBased/>
  <w15:docId w15:val="{CF20D32A-BBEB-441D-A353-D0263A09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923E7C"/>
    <w:rPr>
      <w:rFonts w:ascii="Tahoma" w:hAnsi="Tahoma" w:cs="Tahoma"/>
      <w:sz w:val="16"/>
      <w:szCs w:val="16"/>
    </w:rPr>
  </w:style>
  <w:style w:type="character" w:customStyle="1" w:styleId="ab">
    <w:name w:val="吹き出し (文字)"/>
    <w:link w:val="aa"/>
    <w:uiPriority w:val="99"/>
    <w:semiHidden/>
    <w:rsid w:val="00923E7C"/>
    <w:rPr>
      <w:rFonts w:ascii="Tahoma" w:hAnsi="Tahoma" w:cs="Tahoma"/>
      <w:sz w:val="16"/>
      <w:szCs w:val="16"/>
      <w:lang w:val="en-GB"/>
    </w:rPr>
  </w:style>
  <w:style w:type="character" w:styleId="ac">
    <w:name w:val="Hyperlink"/>
    <w:uiPriority w:val="99"/>
    <w:unhideWhenUsed/>
    <w:rsid w:val="00923E7C"/>
    <w:rPr>
      <w:color w:val="0000FF"/>
      <w:u w:val="single"/>
    </w:rPr>
  </w:style>
  <w:style w:type="table" w:styleId="ad">
    <w:name w:val="Table Grid"/>
    <w:basedOn w:val="a1"/>
    <w:uiPriority w:val="59"/>
    <w:rsid w:val="001630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41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453</Words>
  <Characters>2585</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 DOCOMO, INC.</cp:lastModifiedBy>
  <cp:revision>3</cp:revision>
  <cp:lastPrinted>2002-04-23T00:10:00Z</cp:lastPrinted>
  <dcterms:created xsi:type="dcterms:W3CDTF">2018-05-22T23:15:00Z</dcterms:created>
  <dcterms:modified xsi:type="dcterms:W3CDTF">2018-05-22T23:16:00Z</dcterms:modified>
</cp:coreProperties>
</file>