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85964" w14:textId="18ED5BC6" w:rsidR="0035456E" w:rsidRPr="00ED4962" w:rsidRDefault="0035456E" w:rsidP="00C47C39">
      <w:pPr>
        <w:pStyle w:val="Header"/>
        <w:tabs>
          <w:tab w:val="right" w:pos="9639"/>
        </w:tabs>
        <w:rPr>
          <w:rFonts w:eastAsia="PMingLiU"/>
          <w:bCs/>
          <w:i/>
          <w:noProof w:val="0"/>
          <w:sz w:val="24"/>
          <w:szCs w:val="24"/>
          <w:lang w:eastAsia="zh-TW"/>
        </w:rPr>
      </w:pPr>
      <w:r w:rsidRPr="00B266B0">
        <w:rPr>
          <w:bCs/>
          <w:noProof w:val="0"/>
          <w:sz w:val="24"/>
          <w:szCs w:val="24"/>
        </w:rPr>
        <w:t xml:space="preserve">3GPP TSG-RAN </w:t>
      </w:r>
      <w:r>
        <w:rPr>
          <w:noProof w:val="0"/>
          <w:sz w:val="24"/>
          <w:szCs w:val="24"/>
        </w:rPr>
        <w:t>WG2 #10</w:t>
      </w:r>
      <w:r w:rsidR="001101D1">
        <w:rPr>
          <w:noProof w:val="0"/>
          <w:sz w:val="24"/>
          <w:szCs w:val="24"/>
        </w:rPr>
        <w:t>2</w:t>
      </w:r>
      <w:r w:rsidRPr="00B266B0">
        <w:rPr>
          <w:bCs/>
          <w:noProof w:val="0"/>
          <w:sz w:val="24"/>
          <w:szCs w:val="24"/>
        </w:rPr>
        <w:tab/>
      </w:r>
      <w:r w:rsidR="00C47C39" w:rsidRPr="00C47C39">
        <w:rPr>
          <w:rFonts w:hint="eastAsia"/>
          <w:bCs/>
          <w:noProof w:val="0"/>
          <w:sz w:val="24"/>
          <w:szCs w:val="24"/>
        </w:rPr>
        <w:t>R2-1807668</w:t>
      </w:r>
    </w:p>
    <w:p w14:paraId="39BE00F6" w14:textId="1B378498" w:rsidR="00CD4C7B" w:rsidRDefault="00F90ECB" w:rsidP="00F90ECB">
      <w:pPr>
        <w:pStyle w:val="Header"/>
        <w:rPr>
          <w:noProof w:val="0"/>
          <w:sz w:val="24"/>
          <w:szCs w:val="24"/>
          <w:lang w:eastAsia="zh-CN"/>
        </w:rPr>
      </w:pPr>
      <w:r w:rsidRPr="00C47C39">
        <w:rPr>
          <w:rFonts w:eastAsia="PMingLiU" w:cs="Arial"/>
          <w:bCs/>
          <w:noProof w:val="0"/>
          <w:sz w:val="24"/>
          <w:lang w:eastAsia="zh-TW"/>
        </w:rPr>
        <w:t>Busan</w:t>
      </w:r>
      <w:r w:rsidR="00610D92" w:rsidRPr="00C47C39">
        <w:rPr>
          <w:rFonts w:eastAsia="PMingLiU" w:cs="Arial"/>
          <w:bCs/>
          <w:noProof w:val="0"/>
          <w:sz w:val="24"/>
          <w:lang w:eastAsia="zh-TW"/>
        </w:rPr>
        <w:t xml:space="preserve">, </w:t>
      </w:r>
      <w:r w:rsidRPr="00C47C39">
        <w:rPr>
          <w:rFonts w:eastAsia="PMingLiU" w:cs="Arial"/>
          <w:bCs/>
          <w:noProof w:val="0"/>
          <w:sz w:val="24"/>
          <w:lang w:eastAsia="zh-TW"/>
        </w:rPr>
        <w:t>Korea</w:t>
      </w:r>
      <w:r w:rsidR="00610D92" w:rsidRPr="00C47C39">
        <w:rPr>
          <w:rFonts w:eastAsia="PMingLiU" w:cs="Arial"/>
          <w:bCs/>
          <w:noProof w:val="0"/>
          <w:sz w:val="24"/>
          <w:lang w:eastAsia="zh-TW"/>
        </w:rPr>
        <w:t>,</w:t>
      </w:r>
      <w:r w:rsidR="00610D92" w:rsidRPr="00B70DE7">
        <w:rPr>
          <w:noProof w:val="0"/>
          <w:color w:val="FF0000"/>
          <w:sz w:val="24"/>
          <w:szCs w:val="24"/>
          <w:lang w:eastAsia="zh-CN"/>
        </w:rPr>
        <w:t xml:space="preserve"> </w:t>
      </w:r>
      <w:r w:rsidRPr="00C47C39">
        <w:rPr>
          <w:noProof w:val="0"/>
          <w:color w:val="000000" w:themeColor="text1"/>
          <w:sz w:val="24"/>
          <w:szCs w:val="24"/>
          <w:lang w:eastAsia="zh-CN"/>
        </w:rPr>
        <w:t>21</w:t>
      </w:r>
      <w:r w:rsidR="00B70DE7" w:rsidRPr="00C47C39">
        <w:rPr>
          <w:rFonts w:eastAsia="PMingLiU" w:hint="eastAsia"/>
          <w:noProof w:val="0"/>
          <w:color w:val="000000" w:themeColor="text1"/>
          <w:sz w:val="24"/>
          <w:szCs w:val="24"/>
          <w:vertAlign w:val="superscript"/>
          <w:lang w:eastAsia="zh-TW"/>
        </w:rPr>
        <w:t>st</w:t>
      </w:r>
      <w:r w:rsidRPr="00C47C39">
        <w:rPr>
          <w:noProof w:val="0"/>
          <w:color w:val="000000" w:themeColor="text1"/>
          <w:sz w:val="24"/>
          <w:szCs w:val="24"/>
          <w:lang w:eastAsia="zh-CN"/>
        </w:rPr>
        <w:t xml:space="preserve"> </w:t>
      </w:r>
      <w:r w:rsidR="00610D92" w:rsidRPr="00C47C39">
        <w:rPr>
          <w:noProof w:val="0"/>
          <w:color w:val="000000" w:themeColor="text1"/>
          <w:sz w:val="24"/>
          <w:szCs w:val="24"/>
          <w:lang w:eastAsia="zh-CN"/>
        </w:rPr>
        <w:t>–</w:t>
      </w:r>
      <w:r w:rsidR="0035456E" w:rsidRPr="00C47C39">
        <w:rPr>
          <w:noProof w:val="0"/>
          <w:color w:val="000000" w:themeColor="text1"/>
          <w:sz w:val="24"/>
          <w:szCs w:val="24"/>
          <w:lang w:eastAsia="zh-CN"/>
        </w:rPr>
        <w:t xml:space="preserve"> </w:t>
      </w:r>
      <w:r w:rsidRPr="00C47C39">
        <w:rPr>
          <w:noProof w:val="0"/>
          <w:color w:val="000000" w:themeColor="text1"/>
          <w:sz w:val="24"/>
          <w:szCs w:val="24"/>
          <w:lang w:eastAsia="zh-CN"/>
        </w:rPr>
        <w:t>25</w:t>
      </w:r>
      <w:r w:rsidR="00B70DE7" w:rsidRPr="00C47C39">
        <w:rPr>
          <w:rFonts w:eastAsia="PMingLiU" w:hint="eastAsia"/>
          <w:noProof w:val="0"/>
          <w:color w:val="000000" w:themeColor="text1"/>
          <w:sz w:val="24"/>
          <w:szCs w:val="24"/>
          <w:vertAlign w:val="superscript"/>
          <w:lang w:eastAsia="zh-TW"/>
        </w:rPr>
        <w:t>th</w:t>
      </w:r>
      <w:r w:rsidRPr="00C47C39">
        <w:rPr>
          <w:noProof w:val="0"/>
          <w:color w:val="000000" w:themeColor="text1"/>
          <w:sz w:val="24"/>
          <w:szCs w:val="24"/>
          <w:lang w:eastAsia="zh-CN"/>
        </w:rPr>
        <w:t xml:space="preserve"> </w:t>
      </w:r>
      <w:r>
        <w:rPr>
          <w:noProof w:val="0"/>
          <w:sz w:val="24"/>
          <w:szCs w:val="24"/>
          <w:lang w:eastAsia="zh-CN"/>
        </w:rPr>
        <w:t xml:space="preserve">May </w:t>
      </w:r>
      <w:r w:rsidR="0035456E" w:rsidRPr="00C24650">
        <w:rPr>
          <w:noProof w:val="0"/>
          <w:sz w:val="24"/>
          <w:szCs w:val="24"/>
          <w:lang w:eastAsia="zh-CN"/>
        </w:rPr>
        <w:t>201</w:t>
      </w:r>
      <w:r w:rsidR="00313926">
        <w:rPr>
          <w:noProof w:val="0"/>
          <w:sz w:val="24"/>
          <w:szCs w:val="24"/>
          <w:lang w:eastAsia="zh-CN"/>
        </w:rPr>
        <w:t>8</w:t>
      </w:r>
    </w:p>
    <w:p w14:paraId="41189004" w14:textId="77777777" w:rsidR="00610D92" w:rsidRDefault="00610D92" w:rsidP="00963B6B">
      <w:pPr>
        <w:pStyle w:val="Header"/>
        <w:rPr>
          <w:noProof w:val="0"/>
          <w:sz w:val="24"/>
          <w:szCs w:val="24"/>
          <w:lang w:eastAsia="zh-CN"/>
        </w:rPr>
      </w:pPr>
    </w:p>
    <w:p w14:paraId="758E2B30" w14:textId="2266C413" w:rsidR="00CD4C7B" w:rsidRPr="00B266B0" w:rsidRDefault="00CD4C7B" w:rsidP="00300710">
      <w:pPr>
        <w:pStyle w:val="CRCoverPage"/>
        <w:tabs>
          <w:tab w:val="left" w:pos="1985"/>
        </w:tabs>
        <w:rPr>
          <w:rFonts w:cs="Arial"/>
          <w:b/>
          <w:bCs/>
          <w:sz w:val="24"/>
          <w:lang w:eastAsia="zh-TW"/>
        </w:rPr>
      </w:pPr>
      <w:r w:rsidRPr="00B266B0">
        <w:rPr>
          <w:rFonts w:cs="Arial"/>
          <w:b/>
          <w:bCs/>
          <w:sz w:val="24"/>
        </w:rPr>
        <w:t>Agenda item:</w:t>
      </w:r>
      <w:r>
        <w:rPr>
          <w:rFonts w:cs="Arial"/>
          <w:b/>
          <w:bCs/>
          <w:sz w:val="24"/>
        </w:rPr>
        <w:tab/>
      </w:r>
      <w:r w:rsidR="00C027B6">
        <w:rPr>
          <w:rFonts w:cs="Arial"/>
          <w:b/>
          <w:bCs/>
          <w:sz w:val="24"/>
          <w:lang w:eastAsia="ja-JP"/>
        </w:rPr>
        <w:t>9.</w:t>
      </w:r>
      <w:r w:rsidR="00300710">
        <w:rPr>
          <w:rFonts w:cs="Arial"/>
          <w:b/>
          <w:bCs/>
          <w:sz w:val="24"/>
          <w:lang w:eastAsia="ja-JP"/>
        </w:rPr>
        <w:t>10</w:t>
      </w:r>
      <w:r w:rsidR="00C027B6">
        <w:rPr>
          <w:rFonts w:cs="Arial"/>
          <w:b/>
          <w:bCs/>
          <w:sz w:val="24"/>
          <w:lang w:eastAsia="ja-JP"/>
        </w:rPr>
        <w:t>.</w:t>
      </w:r>
      <w:r w:rsidR="00300710">
        <w:rPr>
          <w:rFonts w:cs="Arial"/>
          <w:b/>
          <w:bCs/>
          <w:sz w:val="24"/>
          <w:lang w:eastAsia="ja-JP"/>
        </w:rPr>
        <w:t>2</w:t>
      </w:r>
    </w:p>
    <w:p w14:paraId="6A1BC0C1" w14:textId="3DA6FEA3" w:rsidR="00CD4C7B" w:rsidRPr="00B266B0" w:rsidRDefault="00CD4C7B" w:rsidP="0031392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313926">
        <w:rPr>
          <w:rFonts w:ascii="Arial" w:hAnsi="Arial" w:cs="Arial"/>
          <w:b/>
          <w:bCs/>
          <w:sz w:val="24"/>
        </w:rPr>
        <w:t>ITRI</w:t>
      </w:r>
    </w:p>
    <w:p w14:paraId="45BE90BE" w14:textId="129C8F70" w:rsidR="00CD4C7B" w:rsidRDefault="00CD4C7B" w:rsidP="00F90E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90ECB">
        <w:rPr>
          <w:rFonts w:ascii="Arial" w:hAnsi="Arial" w:cs="Arial"/>
          <w:b/>
          <w:bCs/>
          <w:sz w:val="24"/>
        </w:rPr>
        <w:t>Remai</w:t>
      </w:r>
      <w:r w:rsidR="00B70DE7">
        <w:rPr>
          <w:rFonts w:ascii="Arial" w:eastAsia="PMingLiU" w:hAnsi="Arial" w:cs="Arial" w:hint="eastAsia"/>
          <w:b/>
          <w:bCs/>
          <w:sz w:val="24"/>
          <w:lang w:eastAsia="zh-TW"/>
        </w:rPr>
        <w:t>ni</w:t>
      </w:r>
      <w:r w:rsidR="00F90ECB">
        <w:rPr>
          <w:rFonts w:ascii="Arial" w:hAnsi="Arial" w:cs="Arial"/>
          <w:b/>
          <w:bCs/>
          <w:sz w:val="24"/>
        </w:rPr>
        <w:t xml:space="preserve">ng </w:t>
      </w:r>
      <w:r w:rsidR="001101D1">
        <w:rPr>
          <w:rFonts w:ascii="Arial" w:hAnsi="Arial" w:cs="Arial"/>
          <w:b/>
          <w:bCs/>
          <w:sz w:val="24"/>
        </w:rPr>
        <w:t xml:space="preserve">issues of </w:t>
      </w:r>
      <w:r w:rsidR="00DF2C9E">
        <w:rPr>
          <w:rFonts w:ascii="Arial" w:hAnsi="Arial" w:cs="Arial"/>
          <w:b/>
          <w:bCs/>
          <w:sz w:val="24"/>
          <w:lang w:val="en-US"/>
        </w:rPr>
        <w:t xml:space="preserve">TX profile </w:t>
      </w:r>
    </w:p>
    <w:p w14:paraId="3AC3A0B1" w14:textId="762C2306"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27B6" w:rsidRPr="00C027B6">
        <w:rPr>
          <w:rFonts w:ascii="Arial" w:hAnsi="Arial" w:cs="Arial"/>
          <w:b/>
          <w:bCs/>
          <w:sz w:val="24"/>
        </w:rPr>
        <w:t>LTE_eV2X-Core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E993662" w14:textId="5B7CDA3A" w:rsidR="002508AE" w:rsidRDefault="00F96842" w:rsidP="00D33BFA">
      <w:pPr>
        <w:rPr>
          <w:i/>
          <w:lang w:eastAsia="zh-CN"/>
        </w:rPr>
      </w:pPr>
      <w:r>
        <w:t xml:space="preserve">In </w:t>
      </w:r>
      <w:r w:rsidR="00B55D4F">
        <w:t xml:space="preserve">RAN </w:t>
      </w:r>
      <w:r w:rsidR="002508AE">
        <w:t>2 #101</w:t>
      </w:r>
      <w:r w:rsidR="00DF2C9E">
        <w:t>bis</w:t>
      </w:r>
      <w:r w:rsidR="00B55D4F">
        <w:t xml:space="preserve"> meeting</w:t>
      </w:r>
      <w:r w:rsidR="002508AE">
        <w:t xml:space="preserve"> [1]</w:t>
      </w:r>
      <w:r w:rsidR="006562AF">
        <w:t>,</w:t>
      </w:r>
      <w:r w:rsidR="002508AE">
        <w:t xml:space="preserve"> carrier </w:t>
      </w:r>
      <w:r w:rsidR="00D33BFA">
        <w:t>re/</w:t>
      </w:r>
      <w:r w:rsidR="002508AE">
        <w:t>selection has the following agreements:</w:t>
      </w:r>
    </w:p>
    <w:p w14:paraId="68C911F2" w14:textId="62856ACB" w:rsidR="003208FE" w:rsidRPr="00DF2C9E" w:rsidRDefault="00610D92" w:rsidP="00D33BFA">
      <w:pPr>
        <w:pStyle w:val="Doc-text2"/>
        <w:pBdr>
          <w:top w:val="single" w:sz="4" w:space="1" w:color="auto"/>
          <w:left w:val="single" w:sz="4" w:space="4" w:color="auto"/>
          <w:bottom w:val="single" w:sz="4" w:space="1" w:color="auto"/>
          <w:right w:val="single" w:sz="4" w:space="4" w:color="auto"/>
        </w:pBdr>
        <w:ind w:left="360" w:firstLine="0"/>
        <w:rPr>
          <w:lang w:val="en-US"/>
        </w:rPr>
      </w:pPr>
      <w:r>
        <w:t>1</w:t>
      </w:r>
      <w:r w:rsidR="00D33BFA">
        <w:rPr>
          <w:lang w:val="en-US"/>
        </w:rPr>
        <w:t xml:space="preserve">:  </w:t>
      </w:r>
      <w:r w:rsidR="00B06A4E" w:rsidRPr="00DF2C9E">
        <w:rPr>
          <w:lang w:val="en-GB"/>
        </w:rPr>
        <w:t>FFS on the need to capture and how to capture condition h) in RAN2 spec.</w:t>
      </w:r>
    </w:p>
    <w:p w14:paraId="04C2504D" w14:textId="77777777" w:rsidR="003208FE" w:rsidRPr="00DF2C9E" w:rsidRDefault="00B06A4E" w:rsidP="00D33BFA">
      <w:pPr>
        <w:pStyle w:val="Doc-text2"/>
        <w:pBdr>
          <w:top w:val="single" w:sz="4" w:space="1" w:color="auto"/>
          <w:left w:val="single" w:sz="4" w:space="4" w:color="auto"/>
          <w:bottom w:val="single" w:sz="4" w:space="1" w:color="auto"/>
          <w:right w:val="single" w:sz="4" w:space="4" w:color="auto"/>
        </w:pBdr>
        <w:ind w:left="360" w:firstLine="0"/>
        <w:rPr>
          <w:lang w:val="en-US"/>
        </w:rPr>
      </w:pPr>
      <w:r w:rsidRPr="00DF2C9E">
        <w:rPr>
          <w:lang w:val="en-GB"/>
        </w:rPr>
        <w:t>2: UE shall adopt a scheme to avoid frequent channel switching when carrier reselection is triggered. A CBR threshold (i.e. hysteresis margin) as the new parameter in CBR-PPPP_Txconfig to configure the UE to stay at the same carrier as before if the measured CBR at the resource/carrier reselection is lower than the configured threshold.</w:t>
      </w:r>
    </w:p>
    <w:p w14:paraId="2D8F5637" w14:textId="77777777" w:rsidR="003208FE" w:rsidRPr="00DF2C9E" w:rsidRDefault="00B06A4E" w:rsidP="00D33BFA">
      <w:pPr>
        <w:pStyle w:val="Doc-text2"/>
        <w:pBdr>
          <w:top w:val="single" w:sz="4" w:space="1" w:color="auto"/>
          <w:left w:val="single" w:sz="4" w:space="4" w:color="auto"/>
          <w:bottom w:val="single" w:sz="4" w:space="1" w:color="auto"/>
          <w:right w:val="single" w:sz="4" w:space="4" w:color="auto"/>
        </w:pBdr>
        <w:ind w:left="360" w:firstLine="0"/>
        <w:rPr>
          <w:lang w:val="en-US"/>
        </w:rPr>
      </w:pPr>
      <w:r w:rsidRPr="00DF2C9E">
        <w:rPr>
          <w:lang w:val="en-GB"/>
        </w:rPr>
        <w:t xml:space="preserve">3: No need </w:t>
      </w:r>
      <w:r w:rsidRPr="007E555A">
        <w:rPr>
          <w:noProof/>
          <w:lang w:val="en-GB"/>
        </w:rPr>
        <w:t>of</w:t>
      </w:r>
      <w:r w:rsidRPr="00DF2C9E">
        <w:rPr>
          <w:lang w:val="en-GB"/>
        </w:rPr>
        <w:t xml:space="preserve"> further consideration whether carrier reselection </w:t>
      </w:r>
      <w:r w:rsidRPr="007E555A">
        <w:rPr>
          <w:noProof/>
          <w:lang w:val="en-GB"/>
        </w:rPr>
        <w:t>be</w:t>
      </w:r>
      <w:r w:rsidRPr="00DF2C9E">
        <w:rPr>
          <w:lang w:val="en-GB"/>
        </w:rPr>
        <w:t xml:space="preserve"> triggered when semi-static parameters related to carrier selection is re-configured.</w:t>
      </w:r>
    </w:p>
    <w:p w14:paraId="6EEB5751" w14:textId="77777777" w:rsidR="003208FE" w:rsidRPr="00DF2C9E" w:rsidRDefault="00B06A4E" w:rsidP="00D33BFA">
      <w:pPr>
        <w:pStyle w:val="Doc-text2"/>
        <w:pBdr>
          <w:top w:val="single" w:sz="4" w:space="1" w:color="auto"/>
          <w:left w:val="single" w:sz="4" w:space="4" w:color="auto"/>
          <w:bottom w:val="single" w:sz="4" w:space="1" w:color="auto"/>
          <w:right w:val="single" w:sz="4" w:space="4" w:color="auto"/>
        </w:pBdr>
        <w:ind w:left="360" w:firstLine="0"/>
        <w:rPr>
          <w:lang w:val="en-US"/>
        </w:rPr>
      </w:pPr>
      <w:r w:rsidRPr="00DF2C9E">
        <w:rPr>
          <w:lang w:val="en-GB"/>
        </w:rPr>
        <w:t>4: No new carrier selection trigger is needed for CR usage in SL carriers are changed due to service is start/stop or CA packet duplication is activated/deactivated.</w:t>
      </w:r>
    </w:p>
    <w:p w14:paraId="5581A860" w14:textId="3C004F96" w:rsidR="003208FE" w:rsidRPr="00DF2C9E" w:rsidRDefault="00B06A4E" w:rsidP="00D33BFA">
      <w:pPr>
        <w:pStyle w:val="Doc-text2"/>
        <w:pBdr>
          <w:top w:val="single" w:sz="4" w:space="1" w:color="auto"/>
          <w:left w:val="single" w:sz="4" w:space="4" w:color="auto"/>
          <w:bottom w:val="single" w:sz="4" w:space="1" w:color="auto"/>
          <w:right w:val="single" w:sz="4" w:space="4" w:color="auto"/>
        </w:pBdr>
        <w:ind w:left="360" w:firstLine="0"/>
        <w:rPr>
          <w:lang w:val="en-US"/>
        </w:rPr>
      </w:pPr>
      <w:r w:rsidRPr="00DF2C9E">
        <w:rPr>
          <w:lang w:val="en-GB"/>
        </w:rPr>
        <w:t xml:space="preserve">5: No new carrier selection trigger is needed when congestion-control caused TX-Config degradation in </w:t>
      </w:r>
      <w:r w:rsidR="00BE7A1D">
        <w:rPr>
          <w:lang w:val="en-GB"/>
        </w:rPr>
        <w:t xml:space="preserve">the </w:t>
      </w:r>
      <w:r w:rsidRPr="00BE7A1D">
        <w:rPr>
          <w:noProof/>
          <w:lang w:val="en-GB"/>
        </w:rPr>
        <w:t>current</w:t>
      </w:r>
      <w:r w:rsidRPr="00DF2C9E">
        <w:rPr>
          <w:lang w:val="en-GB"/>
        </w:rPr>
        <w:t xml:space="preserve"> carrier is detected by the UE.</w:t>
      </w:r>
    </w:p>
    <w:p w14:paraId="6A253EB8" w14:textId="77777777" w:rsidR="003208FE" w:rsidRPr="00DF2C9E" w:rsidRDefault="00B06A4E" w:rsidP="00D33BFA">
      <w:pPr>
        <w:pStyle w:val="Doc-text2"/>
        <w:pBdr>
          <w:top w:val="single" w:sz="4" w:space="1" w:color="auto"/>
          <w:left w:val="single" w:sz="4" w:space="4" w:color="auto"/>
          <w:bottom w:val="single" w:sz="4" w:space="1" w:color="auto"/>
          <w:right w:val="single" w:sz="4" w:space="4" w:color="auto"/>
        </w:pBdr>
        <w:ind w:left="360" w:firstLine="0"/>
        <w:rPr>
          <w:lang w:val="en-US"/>
        </w:rPr>
      </w:pPr>
      <w:r w:rsidRPr="00DF2C9E">
        <w:rPr>
          <w:lang w:val="en-GB"/>
        </w:rPr>
        <w:t>6: Carrier reselection can be triggered by limited UE TX capability concern. FFS on the need to capture and how to capture that condition in RAN2 spec based on RAN1 progress.</w:t>
      </w:r>
    </w:p>
    <w:p w14:paraId="31E3FC80" w14:textId="77777777" w:rsidR="003208FE" w:rsidRPr="00DF2C9E" w:rsidRDefault="00B06A4E" w:rsidP="00D33BFA">
      <w:pPr>
        <w:pStyle w:val="Doc-text2"/>
        <w:pBdr>
          <w:top w:val="single" w:sz="4" w:space="1" w:color="auto"/>
          <w:left w:val="single" w:sz="4" w:space="4" w:color="auto"/>
          <w:bottom w:val="single" w:sz="4" w:space="1" w:color="auto"/>
          <w:right w:val="single" w:sz="4" w:space="4" w:color="auto"/>
        </w:pBdr>
        <w:ind w:left="360" w:firstLine="0"/>
        <w:rPr>
          <w:lang w:val="en-US"/>
        </w:rPr>
      </w:pPr>
      <w:r w:rsidRPr="00DF2C9E">
        <w:rPr>
          <w:lang w:val="en-GB"/>
        </w:rPr>
        <w:t xml:space="preserve">7: No new time-based trigger is introduced for the purpose of carrier </w:t>
      </w:r>
      <w:r w:rsidRPr="007E555A">
        <w:rPr>
          <w:noProof/>
          <w:lang w:val="en-GB"/>
        </w:rPr>
        <w:t>re</w:t>
      </w:r>
      <w:bookmarkStart w:id="0" w:name="_GoBack"/>
      <w:bookmarkEnd w:id="0"/>
      <w:r w:rsidRPr="007E555A">
        <w:rPr>
          <w:noProof/>
          <w:lang w:val="en-GB"/>
        </w:rPr>
        <w:t>selection</w:t>
      </w:r>
      <w:r w:rsidRPr="00DF2C9E">
        <w:rPr>
          <w:lang w:val="en-GB"/>
        </w:rPr>
        <w:t>.</w:t>
      </w:r>
    </w:p>
    <w:p w14:paraId="125A844F" w14:textId="77777777" w:rsidR="003208FE" w:rsidRPr="00DF2C9E" w:rsidRDefault="00B06A4E" w:rsidP="00D33BFA">
      <w:pPr>
        <w:pStyle w:val="Doc-text2"/>
        <w:pBdr>
          <w:top w:val="single" w:sz="4" w:space="1" w:color="auto"/>
          <w:left w:val="single" w:sz="4" w:space="4" w:color="auto"/>
          <w:bottom w:val="single" w:sz="4" w:space="1" w:color="auto"/>
          <w:right w:val="single" w:sz="4" w:space="4" w:color="auto"/>
        </w:pBdr>
        <w:ind w:left="360" w:firstLine="0"/>
        <w:rPr>
          <w:lang w:val="en-US"/>
        </w:rPr>
      </w:pPr>
      <w:r w:rsidRPr="00DF2C9E">
        <w:rPr>
          <w:lang w:val="en-GB"/>
        </w:rPr>
        <w:t>8: MAC entity triggers TX carrier reselection. FFS on how to capture in MAC.</w:t>
      </w:r>
    </w:p>
    <w:p w14:paraId="11D48642" w14:textId="77777777" w:rsidR="00F90ECB" w:rsidRDefault="00F90ECB" w:rsidP="001101D1">
      <w:pPr>
        <w:tabs>
          <w:tab w:val="num" w:pos="1440"/>
        </w:tabs>
      </w:pPr>
    </w:p>
    <w:p w14:paraId="702F45DF" w14:textId="4386EC93" w:rsidR="00BD6CDF" w:rsidRPr="00633DC4" w:rsidRDefault="002C52A7" w:rsidP="00947DFC">
      <w:pPr>
        <w:tabs>
          <w:tab w:val="num" w:pos="1440"/>
        </w:tabs>
        <w:rPr>
          <w:rFonts w:cs="Arial"/>
          <w:noProof/>
          <w:lang w:val="en-US"/>
        </w:rPr>
      </w:pPr>
      <w:r>
        <w:t>Taking the aforementioned agreements into account</w:t>
      </w:r>
      <w:r w:rsidR="00555532">
        <w:t xml:space="preserve"> and </w:t>
      </w:r>
      <w:r w:rsidR="00555532" w:rsidRPr="00313D15">
        <w:t xml:space="preserve">Tx Profile which can be defined as the </w:t>
      </w:r>
      <w:r w:rsidR="00313D15" w:rsidRPr="00313D15">
        <w:t>Pre</w:t>
      </w:r>
      <w:r w:rsidR="00313D15">
        <w:t>-</w:t>
      </w:r>
      <w:r w:rsidR="00313D15" w:rsidRPr="00313D15">
        <w:t xml:space="preserve">configuration to maintain RAN’s requirements and solve </w:t>
      </w:r>
      <w:r w:rsidR="00BE7A1D">
        <w:t xml:space="preserve">the </w:t>
      </w:r>
      <w:r w:rsidR="00555532" w:rsidRPr="00BE7A1D">
        <w:rPr>
          <w:noProof/>
        </w:rPr>
        <w:t>incompatible</w:t>
      </w:r>
      <w:r w:rsidR="00555532" w:rsidRPr="00313D15">
        <w:t xml:space="preserve"> PC5 PHY format </w:t>
      </w:r>
      <w:r w:rsidR="00313D15" w:rsidRPr="00313D15">
        <w:t>issue.</w:t>
      </w:r>
      <w:r w:rsidR="00313D15">
        <w:rPr>
          <w:rFonts w:eastAsia="PMingLiU"/>
          <w:lang w:eastAsia="zh-TW"/>
        </w:rPr>
        <w:t xml:space="preserve"> We</w:t>
      </w:r>
      <w:r w:rsidR="00A843BE">
        <w:rPr>
          <w:rFonts w:eastAsia="PMingLiU" w:hint="eastAsia"/>
          <w:lang w:eastAsia="zh-TW"/>
        </w:rPr>
        <w:t xml:space="preserve"> will present our views on </w:t>
      </w:r>
      <w:r w:rsidR="00313D15">
        <w:rPr>
          <w:rFonts w:eastAsia="PMingLiU"/>
          <w:lang w:eastAsia="zh-TW"/>
        </w:rPr>
        <w:t xml:space="preserve">what Tx profile and what </w:t>
      </w:r>
      <w:r w:rsidR="00313D15" w:rsidRPr="00BE7A1D">
        <w:rPr>
          <w:rFonts w:eastAsia="PMingLiU"/>
          <w:noProof/>
          <w:lang w:eastAsia="zh-TW"/>
        </w:rPr>
        <w:t>need</w:t>
      </w:r>
      <w:r w:rsidR="00BE7A1D">
        <w:rPr>
          <w:rFonts w:eastAsia="PMingLiU"/>
          <w:noProof/>
          <w:lang w:eastAsia="zh-TW"/>
        </w:rPr>
        <w:t>s</w:t>
      </w:r>
      <w:r w:rsidR="00313D15">
        <w:rPr>
          <w:rFonts w:eastAsia="PMingLiU"/>
          <w:lang w:eastAsia="zh-TW"/>
        </w:rPr>
        <w:t xml:space="preserve"> to </w:t>
      </w:r>
      <w:r w:rsidR="0077785F">
        <w:rPr>
          <w:rFonts w:eastAsia="PMingLiU"/>
          <w:lang w:eastAsia="zh-TW"/>
        </w:rPr>
        <w:t xml:space="preserve">be </w:t>
      </w:r>
      <w:r w:rsidR="00313D15">
        <w:rPr>
          <w:rFonts w:eastAsia="PMingLiU"/>
          <w:lang w:eastAsia="zh-TW"/>
        </w:rPr>
        <w:t>include</w:t>
      </w:r>
      <w:r w:rsidR="0077785F">
        <w:rPr>
          <w:rFonts w:eastAsia="PMingLiU"/>
          <w:lang w:eastAsia="zh-TW"/>
        </w:rPr>
        <w:t>d.</w:t>
      </w:r>
      <w:r w:rsidR="00A843BE">
        <w:rPr>
          <w:rFonts w:eastAsia="PMingLiU" w:hint="eastAsia"/>
          <w:lang w:eastAsia="zh-TW"/>
        </w:rPr>
        <w:t xml:space="preserve"> </w:t>
      </w:r>
      <w:r w:rsidR="00633DC4">
        <w:t xml:space="preserve">In particular, the </w:t>
      </w:r>
      <w:r w:rsidR="001101D1">
        <w:t xml:space="preserve">Tx profile </w:t>
      </w:r>
      <w:r w:rsidR="00947DFC">
        <w:t>will allow</w:t>
      </w:r>
      <w:r w:rsidR="0077785F">
        <w:t xml:space="preserve"> </w:t>
      </w:r>
      <w:r w:rsidR="00BE7A1D">
        <w:rPr>
          <w:noProof/>
        </w:rPr>
        <w:t>minimizing</w:t>
      </w:r>
      <w:r w:rsidR="0077785F">
        <w:t xml:space="preserve"> </w:t>
      </w:r>
      <w:r w:rsidR="00633DC4">
        <w:t>the frequent switching of UE among different channels.</w:t>
      </w:r>
      <w:r w:rsidR="00DB0262">
        <w:t xml:space="preserve"> </w:t>
      </w:r>
      <w:r w:rsidR="00633DC4">
        <w:t xml:space="preserve"> </w:t>
      </w:r>
      <w:r w:rsidR="00DB0262">
        <w:t xml:space="preserve">Finally, we study </w:t>
      </w:r>
      <w:r w:rsidR="00947DFC">
        <w:t xml:space="preserve">if new </w:t>
      </w:r>
      <w:r w:rsidR="0077785F">
        <w:rPr>
          <w:rFonts w:hint="eastAsia"/>
          <w:kern w:val="2"/>
          <w:szCs w:val="22"/>
          <w:lang w:eastAsia="zh-CN"/>
        </w:rPr>
        <w:t>SIB for eV2X</w:t>
      </w:r>
      <w:r w:rsidR="0077785F">
        <w:rPr>
          <w:kern w:val="2"/>
          <w:szCs w:val="22"/>
          <w:lang w:eastAsia="zh-CN"/>
        </w:rPr>
        <w:t xml:space="preserve"> </w:t>
      </w:r>
      <w:r w:rsidR="00947DFC">
        <w:t>should include extra configuration</w:t>
      </w:r>
      <w:r w:rsidR="00DB0262">
        <w:t xml:space="preserve"> or not.</w:t>
      </w:r>
    </w:p>
    <w:p w14:paraId="50C0DD47" w14:textId="258C154B" w:rsidR="00291B90" w:rsidRPr="006E13D1" w:rsidRDefault="00291B90" w:rsidP="0077785F">
      <w:pPr>
        <w:pStyle w:val="Heading1"/>
      </w:pPr>
      <w:r w:rsidRPr="006E13D1">
        <w:t>2</w:t>
      </w:r>
      <w:r w:rsidRPr="006E13D1">
        <w:tab/>
      </w:r>
      <w:r w:rsidR="0077785F">
        <w:t xml:space="preserve">Tx </w:t>
      </w:r>
      <w:r w:rsidR="00947DFC">
        <w:t>Profile and remaining issues</w:t>
      </w:r>
    </w:p>
    <w:p w14:paraId="72FA9254" w14:textId="011E991C" w:rsidR="00947DFC" w:rsidRDefault="000765EE" w:rsidP="00947DFC">
      <w:pPr>
        <w:jc w:val="both"/>
        <w:rPr>
          <w:rFonts w:eastAsia="PMingLiU"/>
          <w:lang w:eastAsia="zh-TW"/>
        </w:rPr>
      </w:pPr>
      <w:r>
        <w:t xml:space="preserve">In </w:t>
      </w:r>
      <w:r w:rsidR="0064512D">
        <w:rPr>
          <w:rFonts w:eastAsia="PMingLiU" w:hint="eastAsia"/>
          <w:lang w:eastAsia="zh-TW"/>
        </w:rPr>
        <w:t>RAN2#101</w:t>
      </w:r>
      <w:r w:rsidR="0077785F">
        <w:rPr>
          <w:rFonts w:eastAsia="PMingLiU"/>
          <w:lang w:eastAsia="zh-TW"/>
        </w:rPr>
        <w:t>Bis</w:t>
      </w:r>
      <w:r w:rsidR="0064512D">
        <w:rPr>
          <w:rFonts w:eastAsia="PMingLiU" w:hint="eastAsia"/>
          <w:lang w:eastAsia="zh-TW"/>
        </w:rPr>
        <w:t xml:space="preserve"> meeting, </w:t>
      </w:r>
      <w:r w:rsidR="00947DFC">
        <w:rPr>
          <w:rFonts w:eastAsia="PMingLiU"/>
          <w:lang w:eastAsia="zh-TW"/>
        </w:rPr>
        <w:t xml:space="preserve">one of </w:t>
      </w:r>
      <w:r w:rsidR="00BE7A1D">
        <w:rPr>
          <w:rFonts w:eastAsia="PMingLiU"/>
          <w:lang w:eastAsia="zh-TW"/>
        </w:rPr>
        <w:t xml:space="preserve">the </w:t>
      </w:r>
      <w:r w:rsidR="00947DFC" w:rsidRPr="00BE7A1D">
        <w:rPr>
          <w:rFonts w:eastAsia="PMingLiU"/>
          <w:noProof/>
          <w:lang w:eastAsia="zh-TW"/>
        </w:rPr>
        <w:t>main</w:t>
      </w:r>
      <w:r w:rsidR="00947DFC">
        <w:rPr>
          <w:rFonts w:eastAsia="PMingLiU"/>
          <w:lang w:eastAsia="zh-TW"/>
        </w:rPr>
        <w:t xml:space="preserve"> focused agreements is </w:t>
      </w:r>
      <w:r w:rsidR="00947DFC" w:rsidRPr="00947DFC">
        <w:rPr>
          <w:rFonts w:eastAsia="PMingLiU"/>
          <w:lang w:eastAsia="zh-TW"/>
        </w:rPr>
        <w:t xml:space="preserve">Configuration/Preconfiguration of PC5 carriers (at least one candidate set of PC5 CC) for the UE’s Tx carrier selection (like Rel-14). </w:t>
      </w:r>
      <w:r w:rsidR="00947DFC">
        <w:rPr>
          <w:rFonts w:eastAsia="PMingLiU"/>
          <w:lang w:eastAsia="zh-TW"/>
        </w:rPr>
        <w:t xml:space="preserve">It is </w:t>
      </w:r>
      <w:r w:rsidR="00947DFC" w:rsidRPr="00947DFC">
        <w:rPr>
          <w:rFonts w:eastAsia="PMingLiU"/>
          <w:lang w:eastAsia="zh-TW"/>
        </w:rPr>
        <w:t>FFS if further standard changes (including UE behaviors) are needed for Rel-15 eV2X.</w:t>
      </w:r>
      <w:r w:rsidR="00947DFC">
        <w:rPr>
          <w:rFonts w:eastAsia="PMingLiU"/>
          <w:lang w:eastAsia="zh-TW"/>
        </w:rPr>
        <w:t xml:space="preserve"> We</w:t>
      </w:r>
      <w:r w:rsidR="0064512D">
        <w:rPr>
          <w:rFonts w:eastAsia="PMingLiU" w:hint="eastAsia"/>
          <w:lang w:eastAsia="zh-TW"/>
        </w:rPr>
        <w:t xml:space="preserve"> have two options, i.e. </w:t>
      </w:r>
      <w:r w:rsidR="00947DFC">
        <w:rPr>
          <w:rFonts w:eastAsia="PMingLiU"/>
          <w:lang w:eastAsia="zh-TW"/>
        </w:rPr>
        <w:t xml:space="preserve">reuse the defined </w:t>
      </w:r>
      <w:r w:rsidR="00947DFC" w:rsidRPr="00947DFC">
        <w:rPr>
          <w:rFonts w:eastAsia="PMingLiU"/>
          <w:lang w:eastAsia="zh-TW"/>
        </w:rPr>
        <w:t xml:space="preserve">SL-V2X-InterFreqInfoList </w:t>
      </w:r>
      <w:r w:rsidR="00947DFC">
        <w:rPr>
          <w:rFonts w:eastAsia="PMingLiU"/>
          <w:lang w:eastAsia="zh-TW"/>
        </w:rPr>
        <w:t>for</w:t>
      </w:r>
      <w:r w:rsidR="00947DFC" w:rsidRPr="00947DFC">
        <w:rPr>
          <w:rFonts w:eastAsia="PMingLiU"/>
          <w:lang w:eastAsia="zh-TW"/>
        </w:rPr>
        <w:t xml:space="preserve"> Tx carrier and Rx carrier configuration </w:t>
      </w:r>
      <w:r w:rsidR="00947DFC">
        <w:rPr>
          <w:rFonts w:eastAsia="PMingLiU"/>
          <w:lang w:eastAsia="zh-TW"/>
        </w:rPr>
        <w:t>in</w:t>
      </w:r>
      <w:r w:rsidR="00947DFC" w:rsidRPr="00947DFC">
        <w:rPr>
          <w:rFonts w:eastAsia="PMingLiU"/>
          <w:lang w:eastAsia="zh-TW"/>
        </w:rPr>
        <w:t xml:space="preserve"> PC5 CA without new parameters further needed</w:t>
      </w:r>
      <w:r w:rsidR="00947DFC">
        <w:rPr>
          <w:rFonts w:eastAsia="PMingLiU"/>
          <w:lang w:eastAsia="zh-TW"/>
        </w:rPr>
        <w:t xml:space="preserve"> or not. And, we believe that no new parameter </w:t>
      </w:r>
      <w:r w:rsidR="00947DFC" w:rsidRPr="00BE7A1D">
        <w:rPr>
          <w:rFonts w:eastAsia="PMingLiU"/>
          <w:noProof/>
          <w:lang w:eastAsia="zh-TW"/>
        </w:rPr>
        <w:t>need</w:t>
      </w:r>
      <w:r w:rsidR="00BE7A1D">
        <w:rPr>
          <w:rFonts w:eastAsia="PMingLiU"/>
          <w:noProof/>
          <w:lang w:eastAsia="zh-TW"/>
        </w:rPr>
        <w:t>s</w:t>
      </w:r>
      <w:r w:rsidR="00947DFC">
        <w:rPr>
          <w:rFonts w:eastAsia="PMingLiU"/>
          <w:lang w:eastAsia="zh-TW"/>
        </w:rPr>
        <w:t xml:space="preserve"> to be configured</w:t>
      </w:r>
      <w:r w:rsidR="00D82062">
        <w:rPr>
          <w:rFonts w:eastAsia="PMingLiU"/>
          <w:lang w:eastAsia="zh-TW"/>
        </w:rPr>
        <w:t xml:space="preserve"> taking into account transparent to </w:t>
      </w:r>
      <w:r w:rsidR="00BE7A1D">
        <w:rPr>
          <w:rFonts w:eastAsia="PMingLiU"/>
          <w:lang w:eastAsia="zh-TW"/>
        </w:rPr>
        <w:t xml:space="preserve">a </w:t>
      </w:r>
      <w:r w:rsidR="00D82062" w:rsidRPr="00BE7A1D">
        <w:rPr>
          <w:rFonts w:eastAsia="PMingLiU"/>
          <w:noProof/>
          <w:lang w:eastAsia="zh-TW"/>
        </w:rPr>
        <w:t>higher</w:t>
      </w:r>
      <w:r w:rsidR="00D82062">
        <w:rPr>
          <w:rFonts w:eastAsia="PMingLiU"/>
          <w:lang w:eastAsia="zh-TW"/>
        </w:rPr>
        <w:t xml:space="preserve"> layer. Consequently, </w:t>
      </w:r>
      <w:r w:rsidR="00BE7A1D">
        <w:rPr>
          <w:rFonts w:eastAsia="PMingLiU"/>
          <w:lang w:eastAsia="zh-TW"/>
        </w:rPr>
        <w:t xml:space="preserve">the </w:t>
      </w:r>
      <w:r w:rsidR="00D82062" w:rsidRPr="00BE7A1D">
        <w:rPr>
          <w:rFonts w:eastAsia="PMingLiU"/>
          <w:noProof/>
          <w:lang w:eastAsia="zh-TW"/>
        </w:rPr>
        <w:t>higher</w:t>
      </w:r>
      <w:r w:rsidR="00D82062">
        <w:rPr>
          <w:rFonts w:eastAsia="PMingLiU"/>
          <w:lang w:eastAsia="zh-TW"/>
        </w:rPr>
        <w:t xml:space="preserve"> layer will select the carrier accordingly. </w:t>
      </w:r>
    </w:p>
    <w:p w14:paraId="5A34CE29" w14:textId="350C73F0" w:rsidR="00D82062" w:rsidRDefault="00D82062" w:rsidP="00D82062">
      <w:pPr>
        <w:jc w:val="both"/>
        <w:rPr>
          <w:b/>
        </w:rPr>
      </w:pPr>
      <w:r w:rsidRPr="008B3426">
        <w:rPr>
          <w:b/>
        </w:rPr>
        <w:t xml:space="preserve">Proposal </w:t>
      </w:r>
      <w:r>
        <w:rPr>
          <w:rFonts w:eastAsia="PMingLiU" w:hint="eastAsia"/>
          <w:b/>
          <w:lang w:eastAsia="zh-TW"/>
        </w:rPr>
        <w:t>1</w:t>
      </w:r>
      <w:r w:rsidRPr="008B3426">
        <w:rPr>
          <w:b/>
        </w:rPr>
        <w:t>:</w:t>
      </w:r>
      <w:r>
        <w:rPr>
          <w:rFonts w:eastAsia="PMingLiU" w:hint="eastAsia"/>
          <w:b/>
          <w:lang w:eastAsia="zh-TW"/>
        </w:rPr>
        <w:t xml:space="preserve"> </w:t>
      </w:r>
      <w:r w:rsidRPr="00D82062">
        <w:rPr>
          <w:b/>
        </w:rPr>
        <w:t>SL-V2X-InterFreqInfoList can be reused for the Tx carrier and Rx carrier configuration for PC5 CA without new parameters further needed</w:t>
      </w:r>
      <w:r>
        <w:rPr>
          <w:b/>
        </w:rPr>
        <w:t>.</w:t>
      </w:r>
    </w:p>
    <w:p w14:paraId="4189A084" w14:textId="59A7FDC7" w:rsidR="008E4DF3" w:rsidRDefault="00C34E7E" w:rsidP="007A3E11">
      <w:pPr>
        <w:pStyle w:val="BodyText"/>
        <w:rPr>
          <w:kern w:val="2"/>
          <w:szCs w:val="22"/>
          <w:lang w:val="en-US"/>
        </w:rPr>
      </w:pPr>
      <w:r w:rsidRPr="0015203E">
        <w:rPr>
          <w:rFonts w:ascii="Times New Roman" w:eastAsia="PMingLiU" w:hAnsi="Times New Roman"/>
          <w:lang w:eastAsia="zh-TW"/>
        </w:rPr>
        <w:t>In Release 15</w:t>
      </w:r>
      <w:r w:rsidR="000D5B31" w:rsidRPr="0015203E">
        <w:rPr>
          <w:rFonts w:ascii="Times New Roman" w:eastAsia="PMingLiU" w:hAnsi="Times New Roman"/>
          <w:lang w:eastAsia="zh-TW"/>
        </w:rPr>
        <w:t>,</w:t>
      </w:r>
      <w:r w:rsidR="000D5B31">
        <w:rPr>
          <w:rFonts w:ascii="Times New Roman" w:eastAsia="PMingLiU" w:hAnsi="Times New Roman"/>
          <w:lang w:eastAsia="zh-TW"/>
        </w:rPr>
        <w:t xml:space="preserve"> one of the main </w:t>
      </w:r>
      <w:r w:rsidR="0015203E" w:rsidRPr="0015203E">
        <w:rPr>
          <w:rFonts w:ascii="Times New Roman" w:eastAsia="PMingLiU" w:hAnsi="Times New Roman"/>
          <w:lang w:eastAsia="zh-TW"/>
        </w:rPr>
        <w:t>objective to enhance the carrier aggregation fu</w:t>
      </w:r>
      <w:r w:rsidR="000D5B31">
        <w:rPr>
          <w:rFonts w:ascii="Times New Roman" w:eastAsia="PMingLiU" w:hAnsi="Times New Roman"/>
          <w:lang w:eastAsia="zh-TW"/>
        </w:rPr>
        <w:t xml:space="preserve">nctionalities up to 8 </w:t>
      </w:r>
      <w:r w:rsidR="008E4DF3">
        <w:rPr>
          <w:rFonts w:ascii="Times New Roman" w:eastAsia="PMingLiU" w:hAnsi="Times New Roman"/>
          <w:lang w:eastAsia="zh-TW"/>
        </w:rPr>
        <w:t xml:space="preserve">carriers and to support advance </w:t>
      </w:r>
      <w:r w:rsidR="000D5B31">
        <w:rPr>
          <w:rFonts w:ascii="Times New Roman" w:eastAsia="PMingLiU" w:hAnsi="Times New Roman"/>
          <w:lang w:eastAsia="zh-TW"/>
        </w:rPr>
        <w:t xml:space="preserve">V2X services [2]. For this objective, another PSSCH_TX information added </w:t>
      </w:r>
      <w:r w:rsidR="000D5B31" w:rsidRPr="00BE7A1D">
        <w:rPr>
          <w:rFonts w:ascii="Times New Roman" w:eastAsia="PMingLiU" w:hAnsi="Times New Roman"/>
          <w:noProof/>
          <w:lang w:eastAsia="zh-TW"/>
        </w:rPr>
        <w:t>to</w:t>
      </w:r>
      <w:r w:rsidR="000D5B31">
        <w:rPr>
          <w:rFonts w:ascii="Times New Roman" w:eastAsia="PMingLiU" w:hAnsi="Times New Roman"/>
          <w:lang w:eastAsia="zh-TW"/>
        </w:rPr>
        <w:t xml:space="preserve"> TX </w:t>
      </w:r>
      <w:r w:rsidR="0091651B">
        <w:rPr>
          <w:rFonts w:ascii="Times New Roman" w:eastAsia="PMingLiU" w:hAnsi="Times New Roman"/>
          <w:lang w:eastAsia="zh-TW"/>
        </w:rPr>
        <w:t xml:space="preserve">Profile. </w:t>
      </w:r>
      <w:r w:rsidR="0091651B" w:rsidRPr="0091651B">
        <w:rPr>
          <w:rFonts w:ascii="Times New Roman" w:eastAsia="PMingLiU" w:hAnsi="Times New Roman"/>
          <w:lang w:eastAsia="zh-TW"/>
        </w:rPr>
        <w:t>In our understanding</w:t>
      </w:r>
      <w:r w:rsidR="0091651B">
        <w:rPr>
          <w:rFonts w:ascii="Times New Roman" w:eastAsia="PMingLiU" w:hAnsi="Times New Roman"/>
          <w:lang w:eastAsia="zh-TW"/>
        </w:rPr>
        <w:t xml:space="preserve"> </w:t>
      </w:r>
      <w:r w:rsidR="008E4DF3">
        <w:rPr>
          <w:rFonts w:ascii="Times New Roman" w:eastAsia="PMingLiU" w:hAnsi="Times New Roman"/>
          <w:lang w:eastAsia="zh-TW"/>
        </w:rPr>
        <w:t xml:space="preserve">that </w:t>
      </w:r>
      <w:r w:rsidR="008E4DF3" w:rsidRPr="008E4DF3">
        <w:rPr>
          <w:rFonts w:ascii="Times New Roman" w:eastAsia="PMingLiU" w:hAnsi="Times New Roman"/>
          <w:lang w:eastAsia="zh-TW"/>
        </w:rPr>
        <w:t>PSSCH</w:t>
      </w:r>
      <w:r w:rsidR="006819B5" w:rsidRPr="008E4DF3">
        <w:rPr>
          <w:rFonts w:ascii="Times New Roman" w:eastAsia="PMingLiU" w:hAnsi="Times New Roman"/>
          <w:lang w:eastAsia="zh-TW"/>
        </w:rPr>
        <w:t>_TX</w:t>
      </w:r>
      <w:r w:rsidR="0091651B" w:rsidRPr="008E4DF3">
        <w:rPr>
          <w:rFonts w:ascii="Times New Roman" w:eastAsia="PMingLiU" w:hAnsi="Times New Roman"/>
          <w:lang w:eastAsia="zh-TW"/>
        </w:rPr>
        <w:t xml:space="preserve"> Format </w:t>
      </w:r>
      <w:r w:rsidR="0091651B" w:rsidRPr="00BE7A1D">
        <w:rPr>
          <w:rFonts w:ascii="Times New Roman" w:eastAsia="PMingLiU" w:hAnsi="Times New Roman"/>
          <w:noProof/>
          <w:lang w:eastAsia="zh-TW"/>
        </w:rPr>
        <w:t>need</w:t>
      </w:r>
      <w:r w:rsidR="00BE7A1D">
        <w:rPr>
          <w:rFonts w:ascii="Times New Roman" w:eastAsia="PMingLiU" w:hAnsi="Times New Roman"/>
          <w:noProof/>
          <w:lang w:eastAsia="zh-TW"/>
        </w:rPr>
        <w:t>s</w:t>
      </w:r>
      <w:r w:rsidR="0091651B" w:rsidRPr="008E4DF3">
        <w:rPr>
          <w:rFonts w:ascii="Times New Roman" w:eastAsia="PMingLiU" w:hAnsi="Times New Roman"/>
          <w:lang w:eastAsia="zh-TW"/>
        </w:rPr>
        <w:t xml:space="preserve"> to be simple and e</w:t>
      </w:r>
      <w:r w:rsidR="008E4DF3">
        <w:rPr>
          <w:rFonts w:ascii="Times New Roman" w:eastAsia="PMingLiU" w:hAnsi="Times New Roman"/>
          <w:lang w:eastAsia="zh-TW"/>
        </w:rPr>
        <w:t xml:space="preserve">fficient. Hence, we propose </w:t>
      </w:r>
      <w:r w:rsidRPr="008E4DF3">
        <w:rPr>
          <w:rFonts w:ascii="Times New Roman" w:eastAsia="PMingLiU" w:hAnsi="Times New Roman"/>
          <w:lang w:eastAsia="zh-TW"/>
        </w:rPr>
        <w:t>PSSCH_TX</w:t>
      </w:r>
      <w:r w:rsidR="00A82ECB" w:rsidRPr="008E4DF3">
        <w:rPr>
          <w:rFonts w:ascii="Times New Roman" w:eastAsia="PMingLiU" w:hAnsi="Times New Roman"/>
          <w:lang w:eastAsia="zh-TW"/>
        </w:rPr>
        <w:t xml:space="preserve"> </w:t>
      </w:r>
      <w:r w:rsidRPr="008E4DF3">
        <w:rPr>
          <w:rFonts w:ascii="Times New Roman" w:eastAsia="PMingLiU" w:hAnsi="Times New Roman"/>
          <w:lang w:eastAsia="zh-TW"/>
        </w:rPr>
        <w:t xml:space="preserve">Format </w:t>
      </w:r>
      <w:r w:rsidR="00A82ECB" w:rsidRPr="008E4DF3">
        <w:rPr>
          <w:rFonts w:ascii="Times New Roman" w:eastAsia="PMingLiU" w:hAnsi="Times New Roman"/>
          <w:lang w:eastAsia="zh-TW"/>
        </w:rPr>
        <w:t xml:space="preserve">should </w:t>
      </w:r>
      <w:r w:rsidRPr="008E4DF3">
        <w:rPr>
          <w:rFonts w:ascii="Times New Roman" w:eastAsia="PMingLiU" w:hAnsi="Times New Roman"/>
          <w:lang w:eastAsia="zh-TW"/>
        </w:rPr>
        <w:t>be configured per carrier/pool</w:t>
      </w:r>
      <w:r w:rsidR="00A82ECB" w:rsidRPr="008E4DF3">
        <w:rPr>
          <w:rFonts w:ascii="Times New Roman" w:eastAsia="PMingLiU" w:hAnsi="Times New Roman"/>
          <w:lang w:eastAsia="zh-TW"/>
        </w:rPr>
        <w:t xml:space="preserve"> for mode 3 and mode 4</w:t>
      </w:r>
      <w:r w:rsidR="006819B5" w:rsidRPr="008E4DF3">
        <w:rPr>
          <w:rFonts w:ascii="Times New Roman" w:eastAsia="PMingLiU" w:hAnsi="Times New Roman"/>
          <w:lang w:eastAsia="zh-TW"/>
        </w:rPr>
        <w:t xml:space="preserve"> in Table-based approach</w:t>
      </w:r>
      <w:r w:rsidR="00A82ECB" w:rsidRPr="008E4DF3">
        <w:rPr>
          <w:rFonts w:ascii="Times New Roman" w:eastAsia="PMingLiU" w:hAnsi="Times New Roman"/>
          <w:lang w:eastAsia="zh-TW"/>
        </w:rPr>
        <w:t>.</w:t>
      </w:r>
      <w:r w:rsidR="00A82ECB" w:rsidRPr="00B56C6C">
        <w:rPr>
          <w:rFonts w:ascii="Times New Roman" w:eastAsia="PMingLiU" w:hAnsi="Times New Roman"/>
          <w:lang w:eastAsia="zh-TW"/>
        </w:rPr>
        <w:t xml:space="preserve"> </w:t>
      </w:r>
      <w:r w:rsidR="00B56C6C" w:rsidRPr="00B56C6C">
        <w:rPr>
          <w:rFonts w:ascii="Times New Roman" w:eastAsia="PMingLiU" w:hAnsi="Times New Roman"/>
          <w:lang w:eastAsia="zh-TW"/>
        </w:rPr>
        <w:t>Clearly, the</w:t>
      </w:r>
      <w:r w:rsidR="00B56C6C">
        <w:rPr>
          <w:rFonts w:ascii="Times New Roman" w:eastAsia="PMingLiU" w:hAnsi="Times New Roman"/>
          <w:lang w:eastAsia="zh-TW"/>
        </w:rPr>
        <w:t xml:space="preserve"> TX profile will be </w:t>
      </w:r>
      <w:r w:rsidR="007A3E11">
        <w:rPr>
          <w:rFonts w:ascii="Times New Roman" w:eastAsia="PMingLiU" w:hAnsi="Times New Roman"/>
          <w:lang w:eastAsia="zh-TW"/>
        </w:rPr>
        <w:t>wholly indexed and avoid any misleading configuration.</w:t>
      </w:r>
    </w:p>
    <w:p w14:paraId="60113194" w14:textId="44EB9FF4" w:rsidR="008E4DF3" w:rsidRDefault="008E4DF3" w:rsidP="008E4DF3">
      <w:pPr>
        <w:jc w:val="both"/>
        <w:rPr>
          <w:b/>
        </w:rPr>
      </w:pPr>
      <w:r w:rsidRPr="008B3426">
        <w:rPr>
          <w:b/>
        </w:rPr>
        <w:t xml:space="preserve">Proposal </w:t>
      </w:r>
      <w:r>
        <w:rPr>
          <w:rFonts w:eastAsia="PMingLiU"/>
          <w:b/>
          <w:lang w:eastAsia="zh-TW"/>
        </w:rPr>
        <w:t>2</w:t>
      </w:r>
      <w:r w:rsidRPr="008B3426">
        <w:rPr>
          <w:b/>
        </w:rPr>
        <w:t>:</w:t>
      </w:r>
      <w:r>
        <w:rPr>
          <w:rFonts w:eastAsia="PMingLiU" w:hint="eastAsia"/>
          <w:b/>
          <w:lang w:eastAsia="zh-TW"/>
        </w:rPr>
        <w:t xml:space="preserve"> </w:t>
      </w:r>
      <w:r w:rsidRPr="008E4DF3">
        <w:rPr>
          <w:b/>
        </w:rPr>
        <w:t>PSSCH_TX Format should be configured per carrier/pool for mode 3 and mode 4 in Table-based approach</w:t>
      </w:r>
      <w:r>
        <w:rPr>
          <w:b/>
        </w:rPr>
        <w:t>.</w:t>
      </w:r>
    </w:p>
    <w:p w14:paraId="12009AB2" w14:textId="46616D9D" w:rsidR="00B56C6C" w:rsidRDefault="00B56C6C" w:rsidP="00B66081">
      <w:pPr>
        <w:pStyle w:val="BodyText"/>
        <w:spacing w:after="240"/>
        <w:rPr>
          <w:rFonts w:ascii="Times New Roman" w:eastAsia="PMingLiU" w:hAnsi="Times New Roman"/>
          <w:lang w:eastAsia="zh-TW"/>
        </w:rPr>
      </w:pPr>
      <w:r>
        <w:rPr>
          <w:rFonts w:ascii="Times New Roman" w:eastAsia="PMingLiU" w:hAnsi="Times New Roman"/>
          <w:lang w:eastAsia="zh-TW"/>
        </w:rPr>
        <w:lastRenderedPageBreak/>
        <w:t xml:space="preserve">In </w:t>
      </w:r>
      <w:r w:rsidRPr="00B56C6C">
        <w:rPr>
          <w:rFonts w:ascii="Times New Roman" w:eastAsia="PMingLiU" w:hAnsi="Times New Roman"/>
          <w:lang w:eastAsia="zh-TW"/>
        </w:rPr>
        <w:t>PC5 CA implementation,</w:t>
      </w:r>
      <w:r w:rsidR="007A3E11">
        <w:rPr>
          <w:rFonts w:ascii="Times New Roman" w:eastAsia="PMingLiU" w:hAnsi="Times New Roman"/>
          <w:lang w:eastAsia="zh-TW"/>
        </w:rPr>
        <w:t xml:space="preserve"> </w:t>
      </w:r>
      <w:r w:rsidR="007A3E11" w:rsidRPr="007A3E11">
        <w:rPr>
          <w:rFonts w:ascii="Times New Roman" w:eastAsia="PMingLiU" w:hAnsi="Times New Roman"/>
          <w:lang w:eastAsia="zh-TW"/>
        </w:rPr>
        <w:t xml:space="preserve">it is left for NW to configure TX profile but we can allow eNB to configure TX profile as an option which </w:t>
      </w:r>
      <w:r w:rsidR="007A3E11" w:rsidRPr="00BE7A1D">
        <w:rPr>
          <w:rFonts w:ascii="Times New Roman" w:eastAsia="PMingLiU" w:hAnsi="Times New Roman"/>
          <w:noProof/>
          <w:lang w:eastAsia="zh-TW"/>
        </w:rPr>
        <w:t>suit</w:t>
      </w:r>
      <w:r w:rsidR="00BE7A1D">
        <w:rPr>
          <w:rFonts w:ascii="Times New Roman" w:eastAsia="PMingLiU" w:hAnsi="Times New Roman"/>
          <w:noProof/>
          <w:lang w:eastAsia="zh-TW"/>
        </w:rPr>
        <w:t>s</w:t>
      </w:r>
      <w:r w:rsidR="007A3E11" w:rsidRPr="007A3E11">
        <w:rPr>
          <w:rFonts w:ascii="Times New Roman" w:eastAsia="PMingLiU" w:hAnsi="Times New Roman"/>
          <w:lang w:eastAsia="zh-TW"/>
        </w:rPr>
        <w:t xml:space="preserve"> certain deployment scenarios</w:t>
      </w:r>
      <w:r w:rsidR="007A3E11">
        <w:rPr>
          <w:rFonts w:ascii="Times New Roman" w:eastAsia="PMingLiU" w:hAnsi="Times New Roman"/>
          <w:lang w:eastAsia="zh-TW"/>
        </w:rPr>
        <w:t xml:space="preserve">. </w:t>
      </w:r>
      <w:r w:rsidR="008C36FB">
        <w:rPr>
          <w:rFonts w:ascii="Times New Roman" w:eastAsia="PMingLiU" w:hAnsi="Times New Roman"/>
          <w:lang w:eastAsia="zh-TW"/>
        </w:rPr>
        <w:t xml:space="preserve">In Particular, this will allow </w:t>
      </w:r>
      <w:r w:rsidR="008C36FB" w:rsidRPr="008C36FB">
        <w:rPr>
          <w:rFonts w:ascii="Times New Roman" w:eastAsia="PMingLiU" w:hAnsi="Times New Roman"/>
          <w:lang w:eastAsia="zh-TW"/>
        </w:rPr>
        <w:t>service requirement related information</w:t>
      </w:r>
      <w:r w:rsidR="005116E8">
        <w:rPr>
          <w:rFonts w:ascii="Times New Roman" w:eastAsia="PMingLiU" w:hAnsi="Times New Roman"/>
          <w:lang w:eastAsia="zh-TW"/>
        </w:rPr>
        <w:t>, as well as the radio resource configurations,</w:t>
      </w:r>
      <w:r w:rsidR="008C36FB" w:rsidRPr="008C36FB">
        <w:rPr>
          <w:rFonts w:ascii="Times New Roman" w:eastAsia="PMingLiU" w:hAnsi="Times New Roman"/>
          <w:lang w:eastAsia="zh-TW"/>
        </w:rPr>
        <w:t xml:space="preserve"> RAN</w:t>
      </w:r>
      <w:r w:rsidR="008C36FB">
        <w:rPr>
          <w:rFonts w:ascii="Times New Roman" w:eastAsia="PMingLiU" w:hAnsi="Times New Roman"/>
          <w:lang w:eastAsia="zh-TW"/>
        </w:rPr>
        <w:t xml:space="preserve"> by applying </w:t>
      </w:r>
      <w:r w:rsidR="008C36FB" w:rsidRPr="008C36FB">
        <w:rPr>
          <w:rFonts w:ascii="Times New Roman" w:eastAsia="PMingLiU" w:hAnsi="Times New Roman"/>
          <w:lang w:eastAsia="zh-TW"/>
        </w:rPr>
        <w:t>suitable</w:t>
      </w:r>
      <w:r w:rsidR="008C36FB">
        <w:rPr>
          <w:rFonts w:ascii="Times New Roman" w:eastAsia="PMingLiU" w:hAnsi="Times New Roman"/>
          <w:lang w:eastAsia="zh-TW"/>
        </w:rPr>
        <w:t xml:space="preserve"> </w:t>
      </w:r>
      <w:r w:rsidR="008C36FB" w:rsidRPr="008C36FB">
        <w:rPr>
          <w:rFonts w:ascii="Times New Roman" w:eastAsia="PMingLiU" w:hAnsi="Times New Roman"/>
          <w:lang w:eastAsia="zh-TW"/>
        </w:rPr>
        <w:t>Tx profile</w:t>
      </w:r>
      <w:r w:rsidR="008C36FB">
        <w:rPr>
          <w:rFonts w:ascii="Times New Roman" w:eastAsia="PMingLiU" w:hAnsi="Times New Roman"/>
          <w:lang w:eastAsia="zh-TW"/>
        </w:rPr>
        <w:t xml:space="preserve">. </w:t>
      </w:r>
      <w:r w:rsidR="008C36FB" w:rsidRPr="008C36FB">
        <w:rPr>
          <w:rFonts w:ascii="Times New Roman" w:eastAsia="PMingLiU" w:hAnsi="Times New Roman"/>
          <w:lang w:eastAsia="zh-TW"/>
        </w:rPr>
        <w:t xml:space="preserve"> </w:t>
      </w:r>
      <w:r w:rsidR="008C36FB">
        <w:rPr>
          <w:rFonts w:ascii="Times New Roman" w:eastAsia="PMingLiU" w:hAnsi="Times New Roman"/>
          <w:lang w:eastAsia="zh-TW"/>
        </w:rPr>
        <w:t xml:space="preserve">Needless to say, eNB will get service information related </w:t>
      </w:r>
      <w:r w:rsidR="00BE7A1D">
        <w:rPr>
          <w:rFonts w:ascii="Times New Roman" w:eastAsia="PMingLiU" w:hAnsi="Times New Roman"/>
          <w:noProof/>
          <w:lang w:eastAsia="zh-TW"/>
        </w:rPr>
        <w:t>to</w:t>
      </w:r>
      <w:r w:rsidR="008C36FB">
        <w:rPr>
          <w:rFonts w:ascii="Times New Roman" w:eastAsia="PMingLiU" w:hAnsi="Times New Roman"/>
          <w:lang w:eastAsia="zh-TW"/>
        </w:rPr>
        <w:t xml:space="preserve"> NW and decide eventually if the current configuration is suitable or need to be modified especially if current </w:t>
      </w:r>
      <w:r w:rsidRPr="00B56C6C">
        <w:rPr>
          <w:rFonts w:ascii="Times New Roman" w:eastAsia="PMingLiU" w:hAnsi="Times New Roman"/>
          <w:lang w:eastAsia="zh-TW"/>
        </w:rPr>
        <w:t xml:space="preserve">packet duplication </w:t>
      </w:r>
      <w:r w:rsidR="008C36FB">
        <w:rPr>
          <w:rFonts w:ascii="Times New Roman" w:eastAsia="PMingLiU" w:hAnsi="Times New Roman"/>
          <w:lang w:eastAsia="zh-TW"/>
        </w:rPr>
        <w:t>generates an</w:t>
      </w:r>
      <w:r w:rsidRPr="00B56C6C">
        <w:rPr>
          <w:rFonts w:ascii="Times New Roman" w:eastAsia="PMingLiU" w:hAnsi="Times New Roman"/>
          <w:lang w:eastAsia="zh-TW"/>
        </w:rPr>
        <w:t xml:space="preserve"> overhead transmitted </w:t>
      </w:r>
      <w:r w:rsidR="008C36FB">
        <w:rPr>
          <w:rFonts w:ascii="Times New Roman" w:eastAsia="PMingLiU" w:hAnsi="Times New Roman"/>
          <w:lang w:eastAsia="zh-TW"/>
        </w:rPr>
        <w:t>for</w:t>
      </w:r>
      <w:r w:rsidRPr="00B56C6C">
        <w:rPr>
          <w:rFonts w:ascii="Times New Roman" w:eastAsia="PMingLiU" w:hAnsi="Times New Roman"/>
          <w:lang w:eastAsia="zh-TW"/>
        </w:rPr>
        <w:t xml:space="preserve"> the </w:t>
      </w:r>
      <w:r w:rsidRPr="007E555A">
        <w:rPr>
          <w:rFonts w:ascii="Times New Roman" w:eastAsia="PMingLiU" w:hAnsi="Times New Roman"/>
          <w:noProof/>
          <w:lang w:eastAsia="zh-TW"/>
        </w:rPr>
        <w:t>sidelink</w:t>
      </w:r>
      <w:r w:rsidRPr="00B56C6C">
        <w:rPr>
          <w:rFonts w:ascii="Times New Roman" w:eastAsia="PMingLiU" w:hAnsi="Times New Roman"/>
          <w:lang w:eastAsia="zh-TW"/>
        </w:rPr>
        <w:t xml:space="preserve">. </w:t>
      </w:r>
      <w:r w:rsidR="00B66081">
        <w:rPr>
          <w:rFonts w:ascii="Times New Roman" w:eastAsia="PMingLiU" w:hAnsi="Times New Roman"/>
          <w:lang w:eastAsia="zh-TW"/>
        </w:rPr>
        <w:t xml:space="preserve">Grant eNB capability to configure TX profile in </w:t>
      </w:r>
      <w:r w:rsidR="00B66081" w:rsidRPr="00B66081">
        <w:rPr>
          <w:rFonts w:ascii="Times New Roman" w:eastAsia="PMingLiU" w:hAnsi="Times New Roman"/>
          <w:lang w:eastAsia="zh-TW"/>
        </w:rPr>
        <w:t xml:space="preserve">packet duplication </w:t>
      </w:r>
      <w:r w:rsidR="00B66081">
        <w:rPr>
          <w:rFonts w:ascii="Times New Roman" w:eastAsia="PMingLiU" w:hAnsi="Times New Roman"/>
          <w:lang w:eastAsia="zh-TW"/>
        </w:rPr>
        <w:t>will</w:t>
      </w:r>
      <w:r w:rsidR="00B66081" w:rsidRPr="00B66081">
        <w:rPr>
          <w:rFonts w:ascii="Times New Roman" w:eastAsia="PMingLiU" w:hAnsi="Times New Roman"/>
          <w:lang w:eastAsia="zh-TW"/>
        </w:rPr>
        <w:t xml:space="preserve"> improve applications reliability</w:t>
      </w:r>
      <w:r w:rsidR="00B66081">
        <w:rPr>
          <w:rFonts w:ascii="Times New Roman" w:eastAsia="PMingLiU" w:hAnsi="Times New Roman"/>
          <w:lang w:eastAsia="zh-TW"/>
        </w:rPr>
        <w:t>.</w:t>
      </w:r>
    </w:p>
    <w:p w14:paraId="232D0AB6" w14:textId="79FE396C" w:rsidR="00B56C6C" w:rsidRPr="008E4DF3" w:rsidRDefault="008C36FB" w:rsidP="00B66081">
      <w:pPr>
        <w:jc w:val="both"/>
        <w:rPr>
          <w:kern w:val="2"/>
          <w:szCs w:val="22"/>
        </w:rPr>
      </w:pPr>
      <w:r w:rsidRPr="008B3426">
        <w:rPr>
          <w:b/>
        </w:rPr>
        <w:t xml:space="preserve">Proposal </w:t>
      </w:r>
      <w:r>
        <w:rPr>
          <w:rFonts w:eastAsia="PMingLiU"/>
          <w:b/>
          <w:lang w:eastAsia="zh-TW"/>
        </w:rPr>
        <w:t>3</w:t>
      </w:r>
      <w:r w:rsidRPr="008B3426">
        <w:rPr>
          <w:b/>
        </w:rPr>
        <w:t>:</w:t>
      </w:r>
      <w:r>
        <w:rPr>
          <w:rFonts w:eastAsia="PMingLiU" w:hint="eastAsia"/>
          <w:b/>
          <w:lang w:eastAsia="zh-TW"/>
        </w:rPr>
        <w:t xml:space="preserve"> </w:t>
      </w:r>
      <w:r w:rsidR="00B66081" w:rsidRPr="00B66081">
        <w:rPr>
          <w:rFonts w:hint="eastAsia"/>
          <w:b/>
        </w:rPr>
        <w:t>T</w:t>
      </w:r>
      <w:r w:rsidR="00B66081" w:rsidRPr="00B66081">
        <w:rPr>
          <w:b/>
        </w:rPr>
        <w:t>X</w:t>
      </w:r>
      <w:r w:rsidR="00B66081" w:rsidRPr="00B66081">
        <w:rPr>
          <w:rFonts w:hint="eastAsia"/>
          <w:b/>
        </w:rPr>
        <w:t xml:space="preserve"> </w:t>
      </w:r>
      <w:r w:rsidR="00B66081" w:rsidRPr="00C47C39">
        <w:rPr>
          <w:rFonts w:hint="eastAsia"/>
          <w:b/>
          <w:color w:val="000000" w:themeColor="text1"/>
        </w:rPr>
        <w:t xml:space="preserve">profile </w:t>
      </w:r>
      <w:r w:rsidR="005B027A" w:rsidRPr="00C47C39">
        <w:rPr>
          <w:rFonts w:eastAsia="PMingLiU" w:hint="eastAsia"/>
          <w:b/>
          <w:color w:val="000000" w:themeColor="text1"/>
          <w:lang w:eastAsia="zh-TW"/>
        </w:rPr>
        <w:t xml:space="preserve">should </w:t>
      </w:r>
      <w:r w:rsidR="00B66081" w:rsidRPr="00B66081">
        <w:rPr>
          <w:rFonts w:hint="eastAsia"/>
          <w:b/>
        </w:rPr>
        <w:t>be configured by the eNB</w:t>
      </w:r>
    </w:p>
    <w:p w14:paraId="234847FA" w14:textId="09B88850" w:rsidR="003157C9" w:rsidRDefault="00B56C6C" w:rsidP="0077785F">
      <w:pPr>
        <w:pStyle w:val="Heading1"/>
      </w:pPr>
      <w:r>
        <w:rPr>
          <w:rFonts w:eastAsia="PMingLiU"/>
          <w:lang w:eastAsia="zh-TW"/>
        </w:rPr>
        <w:t>3</w:t>
      </w:r>
      <w:r w:rsidR="00832643" w:rsidRPr="006E13D1">
        <w:tab/>
      </w:r>
      <w:r w:rsidR="0077785F" w:rsidRPr="0077785F">
        <w:rPr>
          <w:rFonts w:hint="eastAsia"/>
          <w:kern w:val="2"/>
          <w:szCs w:val="22"/>
          <w:lang w:eastAsia="zh-CN"/>
        </w:rPr>
        <w:t xml:space="preserve"> </w:t>
      </w:r>
      <w:r w:rsidR="0077785F">
        <w:rPr>
          <w:rFonts w:hint="eastAsia"/>
          <w:kern w:val="2"/>
          <w:szCs w:val="22"/>
          <w:lang w:eastAsia="zh-CN"/>
        </w:rPr>
        <w:t>SIB for eV2X</w:t>
      </w:r>
      <w:r w:rsidR="003157C9">
        <w:t xml:space="preserve"> </w:t>
      </w:r>
    </w:p>
    <w:p w14:paraId="03A46116" w14:textId="321804AC" w:rsidR="009D79A8" w:rsidRDefault="00D260ED" w:rsidP="009918E7">
      <w:pPr>
        <w:rPr>
          <w:kern w:val="2"/>
          <w:szCs w:val="22"/>
          <w:lang w:eastAsia="zh-CN"/>
        </w:rPr>
      </w:pPr>
      <w:r>
        <w:t xml:space="preserve">Besides, </w:t>
      </w:r>
      <w:r w:rsidR="009D79A8">
        <w:t xml:space="preserve">new </w:t>
      </w:r>
      <w:r w:rsidR="009D79A8">
        <w:rPr>
          <w:kern w:val="2"/>
          <w:szCs w:val="22"/>
          <w:lang w:eastAsia="zh-CN"/>
        </w:rPr>
        <w:t>SIB21</w:t>
      </w:r>
      <w:r w:rsidR="009918E7">
        <w:rPr>
          <w:kern w:val="2"/>
          <w:szCs w:val="22"/>
          <w:lang w:eastAsia="zh-CN"/>
        </w:rPr>
        <w:t xml:space="preserve"> (</w:t>
      </w:r>
      <w:r w:rsidR="009918E7">
        <w:rPr>
          <w:rFonts w:hint="eastAsia"/>
        </w:rPr>
        <w:t>SIB size limitation (2216 bits)</w:t>
      </w:r>
      <w:r w:rsidR="009918E7">
        <w:rPr>
          <w:kern w:val="2"/>
          <w:szCs w:val="22"/>
          <w:lang w:eastAsia="zh-CN"/>
        </w:rPr>
        <w:t xml:space="preserve">) </w:t>
      </w:r>
      <w:r w:rsidR="009D79A8">
        <w:rPr>
          <w:kern w:val="2"/>
          <w:szCs w:val="22"/>
          <w:lang w:eastAsia="zh-CN"/>
        </w:rPr>
        <w:t xml:space="preserve">can provide resources for </w:t>
      </w:r>
      <w:r w:rsidR="002038E4">
        <w:rPr>
          <w:kern w:val="2"/>
          <w:szCs w:val="22"/>
          <w:lang w:eastAsia="zh-CN"/>
        </w:rPr>
        <w:t xml:space="preserve">a </w:t>
      </w:r>
      <w:r w:rsidR="009D79A8" w:rsidRPr="002038E4">
        <w:rPr>
          <w:noProof/>
          <w:kern w:val="2"/>
          <w:szCs w:val="22"/>
          <w:lang w:eastAsia="zh-CN"/>
        </w:rPr>
        <w:t>limited</w:t>
      </w:r>
      <w:r w:rsidR="009D79A8">
        <w:rPr>
          <w:kern w:val="2"/>
          <w:szCs w:val="22"/>
          <w:lang w:eastAsia="zh-CN"/>
        </w:rPr>
        <w:t xml:space="preserve"> number of ca</w:t>
      </w:r>
      <w:r w:rsidR="000C1A68">
        <w:rPr>
          <w:kern w:val="2"/>
          <w:szCs w:val="22"/>
          <w:lang w:eastAsia="zh-CN"/>
        </w:rPr>
        <w:t>rriers</w:t>
      </w:r>
      <w:r w:rsidR="00B92E6D">
        <w:rPr>
          <w:kern w:val="2"/>
          <w:szCs w:val="22"/>
          <w:lang w:eastAsia="zh-CN"/>
        </w:rPr>
        <w:t xml:space="preserve"> [3], [4]</w:t>
      </w:r>
      <w:r w:rsidR="000C1A68">
        <w:rPr>
          <w:kern w:val="2"/>
          <w:szCs w:val="22"/>
          <w:lang w:eastAsia="zh-CN"/>
        </w:rPr>
        <w:t>. As a result, it is sufficient to</w:t>
      </w:r>
      <w:r w:rsidR="00F22244">
        <w:rPr>
          <w:kern w:val="2"/>
          <w:szCs w:val="22"/>
          <w:lang w:eastAsia="zh-CN"/>
        </w:rPr>
        <w:t xml:space="preserve"> </w:t>
      </w:r>
      <w:r w:rsidR="00F22244" w:rsidRPr="000C1A68">
        <w:rPr>
          <w:kern w:val="2"/>
          <w:szCs w:val="22"/>
          <w:lang w:eastAsia="zh-CN"/>
        </w:rPr>
        <w:t>reuse v2x-InterFreqInfoList in SIB22 to provide resources on more carrier frequencies</w:t>
      </w:r>
      <w:r w:rsidR="00F22244">
        <w:rPr>
          <w:kern w:val="2"/>
          <w:szCs w:val="22"/>
          <w:lang w:eastAsia="zh-CN"/>
        </w:rPr>
        <w:t xml:space="preserve"> in </w:t>
      </w:r>
      <w:r w:rsidR="009D79A8">
        <w:rPr>
          <w:kern w:val="2"/>
          <w:szCs w:val="22"/>
          <w:lang w:eastAsia="zh-CN"/>
        </w:rPr>
        <w:t xml:space="preserve">Rel-15 eV2X. To this end, the only purpose to introduce the new SIB is to provide resources on more carriers </w:t>
      </w:r>
      <w:r w:rsidR="009D79A8">
        <w:rPr>
          <w:rFonts w:hint="eastAsia"/>
          <w:kern w:val="2"/>
          <w:szCs w:val="22"/>
          <w:lang w:eastAsia="zh-CN"/>
        </w:rPr>
        <w:t xml:space="preserve">in the new SIB on top </w:t>
      </w:r>
      <w:r w:rsidR="009D79A8">
        <w:rPr>
          <w:kern w:val="2"/>
          <w:szCs w:val="22"/>
          <w:lang w:eastAsia="zh-CN"/>
        </w:rPr>
        <w:t>of SIB 21, and any other standard change whi</w:t>
      </w:r>
      <w:r w:rsidR="00AA37B7">
        <w:rPr>
          <w:kern w:val="2"/>
          <w:szCs w:val="22"/>
          <w:lang w:eastAsia="zh-CN"/>
        </w:rPr>
        <w:t>ch does not aim at this purpose will not be considered in the</w:t>
      </w:r>
      <w:r w:rsidR="009D79A8">
        <w:rPr>
          <w:kern w:val="2"/>
          <w:szCs w:val="22"/>
          <w:lang w:eastAsia="zh-CN"/>
        </w:rPr>
        <w:t xml:space="preserve"> new SIB design</w:t>
      </w:r>
      <w:r w:rsidR="00AA37B7">
        <w:rPr>
          <w:kern w:val="2"/>
          <w:szCs w:val="22"/>
          <w:lang w:eastAsia="zh-CN"/>
        </w:rPr>
        <w:t>. More specifically, targeting</w:t>
      </w:r>
      <w:r w:rsidR="00AA37B7">
        <w:rPr>
          <w:rFonts w:hint="eastAsia"/>
        </w:rPr>
        <w:t xml:space="preserve"> 8 carriers as </w:t>
      </w:r>
      <w:r w:rsidR="007E555A">
        <w:t xml:space="preserve">a </w:t>
      </w:r>
      <w:r w:rsidR="00AA37B7" w:rsidRPr="007E555A">
        <w:rPr>
          <w:rFonts w:hint="eastAsia"/>
          <w:noProof/>
        </w:rPr>
        <w:t>maximum</w:t>
      </w:r>
      <w:r w:rsidR="00AA37B7">
        <w:rPr>
          <w:rFonts w:hint="eastAsia"/>
        </w:rPr>
        <w:t xml:space="preserve"> number of ITS carrier</w:t>
      </w:r>
      <w:r w:rsidR="00AA37B7">
        <w:t>, where the SIB22 can contain more information about carrier frequencies</w:t>
      </w:r>
      <w:r w:rsidR="000404A4">
        <w:t xml:space="preserve"> rather than SIB21</w:t>
      </w:r>
      <w:r w:rsidR="009918E7">
        <w:t xml:space="preserve">. </w:t>
      </w:r>
    </w:p>
    <w:p w14:paraId="6CADCE9A" w14:textId="790E67A0" w:rsidR="000C1A68" w:rsidRPr="00F22244" w:rsidRDefault="00F22244" w:rsidP="00F22244">
      <w:pPr>
        <w:rPr>
          <w:b/>
        </w:rPr>
      </w:pPr>
      <w:r w:rsidRPr="008B3426">
        <w:rPr>
          <w:b/>
        </w:rPr>
        <w:t xml:space="preserve">Proposal </w:t>
      </w:r>
      <w:r>
        <w:rPr>
          <w:rFonts w:eastAsia="PMingLiU"/>
          <w:b/>
          <w:lang w:eastAsia="zh-TW"/>
        </w:rPr>
        <w:t>4</w:t>
      </w:r>
      <w:r w:rsidRPr="008B3426">
        <w:rPr>
          <w:b/>
        </w:rPr>
        <w:t xml:space="preserve">: </w:t>
      </w:r>
      <w:r>
        <w:rPr>
          <w:b/>
        </w:rPr>
        <w:t xml:space="preserve"> </w:t>
      </w:r>
      <w:r w:rsidRPr="00F22244">
        <w:rPr>
          <w:b/>
        </w:rPr>
        <w:t>It is</w:t>
      </w:r>
      <w:r w:rsidR="000C1A68" w:rsidRPr="00F22244">
        <w:rPr>
          <w:b/>
        </w:rPr>
        <w:t xml:space="preserve"> sufficient to reuse v2x-InterFreqInfoList in SIB22 to provide resources on more carrier frequencies</w:t>
      </w:r>
    </w:p>
    <w:p w14:paraId="2895A2D1" w14:textId="43C89D81" w:rsidR="00E825AB" w:rsidRPr="00E825AB" w:rsidRDefault="00F22244" w:rsidP="00E825AB">
      <w:r>
        <w:t xml:space="preserve">On the other hand, </w:t>
      </w:r>
      <w:r w:rsidR="00E825AB">
        <w:t>SIB21</w:t>
      </w:r>
      <w:r w:rsidR="007227B6">
        <w:t xml:space="preserve"> </w:t>
      </w:r>
      <w:r w:rsidR="00E825AB">
        <w:t xml:space="preserve">has a limited size to carry on CBR-PPP </w:t>
      </w:r>
      <w:r w:rsidR="00E825AB" w:rsidRPr="005116E8">
        <w:rPr>
          <w:noProof/>
        </w:rPr>
        <w:t>look</w:t>
      </w:r>
      <w:r w:rsidR="005116E8">
        <w:rPr>
          <w:noProof/>
        </w:rPr>
        <w:t>-</w:t>
      </w:r>
      <w:r w:rsidR="00E825AB" w:rsidRPr="005116E8">
        <w:rPr>
          <w:noProof/>
        </w:rPr>
        <w:t>up</w:t>
      </w:r>
      <w:r w:rsidR="00E825AB">
        <w:t xml:space="preserve"> table which </w:t>
      </w:r>
      <w:r w:rsidR="00E825AB" w:rsidRPr="005116E8">
        <w:rPr>
          <w:noProof/>
        </w:rPr>
        <w:t>contain</w:t>
      </w:r>
      <w:r w:rsidR="005116E8">
        <w:rPr>
          <w:noProof/>
        </w:rPr>
        <w:t>s</w:t>
      </w:r>
      <w:r w:rsidR="00E825AB">
        <w:t xml:space="preserve"> Tx resource pool. Obviously, we need to </w:t>
      </w:r>
      <w:r w:rsidR="00E825AB" w:rsidRPr="005116E8">
        <w:rPr>
          <w:noProof/>
        </w:rPr>
        <w:t>optimi</w:t>
      </w:r>
      <w:r w:rsidR="005116E8">
        <w:rPr>
          <w:noProof/>
        </w:rPr>
        <w:t>z</w:t>
      </w:r>
      <w:r w:rsidR="00E825AB" w:rsidRPr="005116E8">
        <w:rPr>
          <w:noProof/>
        </w:rPr>
        <w:t>e</w:t>
      </w:r>
      <w:r w:rsidR="00E825AB">
        <w:t xml:space="preserve"> the SIB22, which can hold more information compare to SIB21 but still limited. Consequently, </w:t>
      </w:r>
      <w:r w:rsidR="00E825AB" w:rsidRPr="00E825AB">
        <w:t xml:space="preserve">Change CBR-PPPP lookup table from pool specific to </w:t>
      </w:r>
      <w:r w:rsidR="00E825AB" w:rsidRPr="005116E8">
        <w:rPr>
          <w:noProof/>
        </w:rPr>
        <w:t>cell</w:t>
      </w:r>
      <w:r w:rsidR="005116E8">
        <w:rPr>
          <w:noProof/>
        </w:rPr>
        <w:t>-</w:t>
      </w:r>
      <w:r w:rsidR="00E825AB" w:rsidRPr="005116E8">
        <w:rPr>
          <w:noProof/>
        </w:rPr>
        <w:t>specific</w:t>
      </w:r>
      <w:r w:rsidR="00E825AB" w:rsidRPr="00E825AB">
        <w:t xml:space="preserve"> where Place</w:t>
      </w:r>
      <w:r w:rsidR="00E825AB" w:rsidRPr="00E825AB">
        <w:rPr>
          <w:rFonts w:hint="eastAsia"/>
        </w:rPr>
        <w:t xml:space="preserve"> SL-CBR-PPPP-TxConfigList </w:t>
      </w:r>
      <w:r w:rsidR="00E825AB" w:rsidRPr="00E825AB">
        <w:t>in</w:t>
      </w:r>
      <w:r w:rsidR="00E825AB" w:rsidRPr="00E825AB">
        <w:rPr>
          <w:rFonts w:hint="eastAsia"/>
        </w:rPr>
        <w:t xml:space="preserve"> SIB22</w:t>
      </w:r>
      <w:r w:rsidR="00E825AB" w:rsidRPr="00E825AB">
        <w:t xml:space="preserve"> as the CBR-PPPP lookup table for all Tx pools therein.</w:t>
      </w:r>
    </w:p>
    <w:p w14:paraId="4943A43A" w14:textId="1A3FD8D8" w:rsidR="00B66081" w:rsidRPr="00B66081" w:rsidRDefault="00B66081" w:rsidP="00E825AB">
      <w:pPr>
        <w:rPr>
          <w:b/>
        </w:rPr>
      </w:pPr>
      <w:r w:rsidRPr="008B3426">
        <w:rPr>
          <w:b/>
        </w:rPr>
        <w:t xml:space="preserve">Proposal </w:t>
      </w:r>
      <w:r w:rsidR="00F22244">
        <w:rPr>
          <w:rFonts w:eastAsia="PMingLiU"/>
          <w:b/>
          <w:lang w:eastAsia="zh-TW"/>
        </w:rPr>
        <w:t>5</w:t>
      </w:r>
      <w:r>
        <w:rPr>
          <w:rFonts w:eastAsia="PMingLiU"/>
          <w:b/>
          <w:lang w:eastAsia="zh-TW"/>
        </w:rPr>
        <w:t xml:space="preserve">: </w:t>
      </w:r>
      <w:r w:rsidRPr="00B66081">
        <w:rPr>
          <w:b/>
        </w:rPr>
        <w:t xml:space="preserve">Change CBR-PPPP lookup table from pool specific to </w:t>
      </w:r>
      <w:r w:rsidRPr="005116E8">
        <w:rPr>
          <w:b/>
          <w:noProof/>
        </w:rPr>
        <w:t>cell</w:t>
      </w:r>
      <w:r w:rsidR="005116E8">
        <w:rPr>
          <w:b/>
          <w:noProof/>
        </w:rPr>
        <w:t>-</w:t>
      </w:r>
      <w:r w:rsidRPr="005116E8">
        <w:rPr>
          <w:b/>
          <w:noProof/>
        </w:rPr>
        <w:t>specific</w:t>
      </w:r>
      <w:r w:rsidRPr="00B66081">
        <w:rPr>
          <w:b/>
        </w:rPr>
        <w:t xml:space="preserve"> </w:t>
      </w:r>
      <w:r>
        <w:rPr>
          <w:b/>
        </w:rPr>
        <w:t xml:space="preserve">where </w:t>
      </w:r>
      <w:r w:rsidRPr="00B66081">
        <w:rPr>
          <w:b/>
        </w:rPr>
        <w:t>Place</w:t>
      </w:r>
      <w:r w:rsidRPr="00B66081">
        <w:rPr>
          <w:rFonts w:hint="eastAsia"/>
          <w:b/>
        </w:rPr>
        <w:t xml:space="preserve"> SL-CBR-PPPP-TxConfigList </w:t>
      </w:r>
      <w:r w:rsidRPr="00B66081">
        <w:rPr>
          <w:b/>
        </w:rPr>
        <w:t>in</w:t>
      </w:r>
      <w:r w:rsidRPr="00B66081">
        <w:rPr>
          <w:rFonts w:hint="eastAsia"/>
          <w:b/>
        </w:rPr>
        <w:t xml:space="preserve"> SIB22</w:t>
      </w:r>
      <w:r w:rsidRPr="00B66081">
        <w:rPr>
          <w:b/>
        </w:rPr>
        <w:t xml:space="preserve"> as the CBR-PPPP lookup table for all Tx pools therein.</w:t>
      </w:r>
    </w:p>
    <w:p w14:paraId="2C5267BF" w14:textId="77777777" w:rsidR="00382A1A" w:rsidRPr="00382A1A" w:rsidRDefault="00382A1A" w:rsidP="00C42605">
      <w:pPr>
        <w:rPr>
          <w:rFonts w:eastAsia="PMingLiU"/>
          <w:b/>
          <w:lang w:eastAsia="zh-TW"/>
        </w:rPr>
      </w:pPr>
    </w:p>
    <w:p w14:paraId="5FF0E443" w14:textId="749DEB21" w:rsidR="00CD4C7B" w:rsidRPr="006E13D1" w:rsidRDefault="00B56C6C" w:rsidP="00DB4500">
      <w:pPr>
        <w:pStyle w:val="Heading1"/>
      </w:pPr>
      <w:r>
        <w:rPr>
          <w:rFonts w:eastAsia="PMingLiU"/>
          <w:lang w:eastAsia="zh-TW"/>
        </w:rPr>
        <w:t>4</w:t>
      </w:r>
      <w:r w:rsidR="00CD4C7B" w:rsidRPr="006E13D1">
        <w:tab/>
      </w:r>
      <w:r w:rsidR="00FD54AB">
        <w:t>Conclusion</w:t>
      </w:r>
    </w:p>
    <w:p w14:paraId="190C81D1" w14:textId="75F5D1FC" w:rsidR="00CD4C7B" w:rsidRDefault="00F75236" w:rsidP="00FD54AB">
      <w:r>
        <w:t>I</w:t>
      </w:r>
      <w:r>
        <w:rPr>
          <w:rFonts w:hint="eastAsia"/>
        </w:rPr>
        <w:t xml:space="preserve">n </w:t>
      </w:r>
      <w:r>
        <w:t xml:space="preserve">this contribution, we discussed the </w:t>
      </w:r>
      <w:r w:rsidR="008D4EE4">
        <w:t>activation of duplication for</w:t>
      </w:r>
      <w:r w:rsidR="00DA3FC7">
        <w:t xml:space="preserve"> V2X CA transmission</w:t>
      </w:r>
      <w:r>
        <w:t xml:space="preserve">, and proposed </w:t>
      </w:r>
      <w:r w:rsidR="00741810">
        <w:t xml:space="preserve">the </w:t>
      </w:r>
      <w:r>
        <w:t>following</w:t>
      </w:r>
      <w:r w:rsidR="00741810">
        <w:t>:</w:t>
      </w:r>
    </w:p>
    <w:p w14:paraId="78E5429B" w14:textId="77777777" w:rsidR="00BB5E5B" w:rsidRDefault="00BB5E5B" w:rsidP="00BB5E5B">
      <w:pPr>
        <w:jc w:val="both"/>
        <w:rPr>
          <w:b/>
        </w:rPr>
      </w:pPr>
      <w:r w:rsidRPr="008B3426">
        <w:rPr>
          <w:b/>
        </w:rPr>
        <w:t xml:space="preserve">Proposal </w:t>
      </w:r>
      <w:r>
        <w:rPr>
          <w:rFonts w:eastAsia="PMingLiU" w:hint="eastAsia"/>
          <w:b/>
          <w:lang w:eastAsia="zh-TW"/>
        </w:rPr>
        <w:t>1</w:t>
      </w:r>
      <w:r w:rsidRPr="008B3426">
        <w:rPr>
          <w:b/>
        </w:rPr>
        <w:t>:</w:t>
      </w:r>
      <w:r>
        <w:rPr>
          <w:rFonts w:eastAsia="PMingLiU" w:hint="eastAsia"/>
          <w:b/>
          <w:lang w:eastAsia="zh-TW"/>
        </w:rPr>
        <w:t xml:space="preserve"> </w:t>
      </w:r>
      <w:r w:rsidRPr="00D82062">
        <w:rPr>
          <w:b/>
        </w:rPr>
        <w:t>SL-V2X-InterFreqInfoList can be reused for the Tx carrier and Rx carrier configuration for PC5 CA without new parameters further needed</w:t>
      </w:r>
      <w:r>
        <w:rPr>
          <w:b/>
        </w:rPr>
        <w:t>.</w:t>
      </w:r>
    </w:p>
    <w:p w14:paraId="75375C41" w14:textId="77777777" w:rsidR="00BB5E5B" w:rsidRDefault="00BB5E5B" w:rsidP="00BB5E5B">
      <w:pPr>
        <w:jc w:val="both"/>
        <w:rPr>
          <w:b/>
        </w:rPr>
      </w:pPr>
      <w:r w:rsidRPr="008B3426">
        <w:rPr>
          <w:b/>
        </w:rPr>
        <w:t xml:space="preserve">Proposal </w:t>
      </w:r>
      <w:r>
        <w:rPr>
          <w:rFonts w:eastAsia="PMingLiU"/>
          <w:b/>
          <w:lang w:eastAsia="zh-TW"/>
        </w:rPr>
        <w:t>2</w:t>
      </w:r>
      <w:r w:rsidRPr="008B3426">
        <w:rPr>
          <w:b/>
        </w:rPr>
        <w:t>:</w:t>
      </w:r>
      <w:r>
        <w:rPr>
          <w:rFonts w:eastAsia="PMingLiU" w:hint="eastAsia"/>
          <w:b/>
          <w:lang w:eastAsia="zh-TW"/>
        </w:rPr>
        <w:t xml:space="preserve"> </w:t>
      </w:r>
      <w:r w:rsidRPr="008E4DF3">
        <w:rPr>
          <w:b/>
        </w:rPr>
        <w:t>PSSCH_TX Format should be configured per carrier/pool for mode 3 and mode 4 in Table-based approach</w:t>
      </w:r>
      <w:r>
        <w:rPr>
          <w:b/>
        </w:rPr>
        <w:t>.</w:t>
      </w:r>
    </w:p>
    <w:p w14:paraId="6CBAA618" w14:textId="28EDCF62" w:rsidR="00BB5E5B" w:rsidRPr="008E4DF3" w:rsidRDefault="00BB5E5B" w:rsidP="00BB5E5B">
      <w:pPr>
        <w:jc w:val="both"/>
        <w:rPr>
          <w:kern w:val="2"/>
          <w:szCs w:val="22"/>
        </w:rPr>
      </w:pPr>
      <w:r w:rsidRPr="008B3426">
        <w:rPr>
          <w:b/>
        </w:rPr>
        <w:t xml:space="preserve">Proposal </w:t>
      </w:r>
      <w:r>
        <w:rPr>
          <w:rFonts w:eastAsia="PMingLiU"/>
          <w:b/>
          <w:lang w:eastAsia="zh-TW"/>
        </w:rPr>
        <w:t>3</w:t>
      </w:r>
      <w:r w:rsidRPr="008B3426">
        <w:rPr>
          <w:b/>
        </w:rPr>
        <w:t>:</w:t>
      </w:r>
      <w:r>
        <w:rPr>
          <w:rFonts w:eastAsia="PMingLiU" w:hint="eastAsia"/>
          <w:b/>
          <w:lang w:eastAsia="zh-TW"/>
        </w:rPr>
        <w:t xml:space="preserve"> </w:t>
      </w:r>
      <w:r w:rsidRPr="00B66081">
        <w:rPr>
          <w:rFonts w:hint="eastAsia"/>
          <w:b/>
        </w:rPr>
        <w:t>T</w:t>
      </w:r>
      <w:r w:rsidRPr="00B66081">
        <w:rPr>
          <w:b/>
        </w:rPr>
        <w:t>X</w:t>
      </w:r>
      <w:r w:rsidRPr="00B66081">
        <w:rPr>
          <w:rFonts w:hint="eastAsia"/>
          <w:b/>
        </w:rPr>
        <w:t xml:space="preserve"> profile </w:t>
      </w:r>
      <w:r w:rsidR="005B027A" w:rsidRPr="00C47C39">
        <w:rPr>
          <w:rFonts w:eastAsia="PMingLiU" w:hint="eastAsia"/>
          <w:b/>
          <w:color w:val="000000" w:themeColor="text1"/>
          <w:lang w:eastAsia="zh-TW"/>
        </w:rPr>
        <w:t xml:space="preserve">should </w:t>
      </w:r>
      <w:r w:rsidRPr="00B66081">
        <w:rPr>
          <w:rFonts w:hint="eastAsia"/>
          <w:b/>
        </w:rPr>
        <w:t>be configured by the eNB</w:t>
      </w:r>
    </w:p>
    <w:p w14:paraId="6844271F" w14:textId="77777777" w:rsidR="00BB5E5B" w:rsidRPr="00F22244" w:rsidRDefault="00BB5E5B" w:rsidP="00BB5E5B">
      <w:pPr>
        <w:rPr>
          <w:b/>
        </w:rPr>
      </w:pPr>
      <w:r w:rsidRPr="008B3426">
        <w:rPr>
          <w:b/>
        </w:rPr>
        <w:t xml:space="preserve">Proposal </w:t>
      </w:r>
      <w:r>
        <w:rPr>
          <w:rFonts w:eastAsia="PMingLiU"/>
          <w:b/>
          <w:lang w:eastAsia="zh-TW"/>
        </w:rPr>
        <w:t>4</w:t>
      </w:r>
      <w:r w:rsidRPr="008B3426">
        <w:rPr>
          <w:b/>
        </w:rPr>
        <w:t xml:space="preserve">: </w:t>
      </w:r>
      <w:r>
        <w:rPr>
          <w:b/>
        </w:rPr>
        <w:t xml:space="preserve"> </w:t>
      </w:r>
      <w:r w:rsidRPr="00F22244">
        <w:rPr>
          <w:b/>
        </w:rPr>
        <w:t>It is sufficient to reuse v2x-InterFreqInfoList in SIB22 to provide resources on more carrier frequencies</w:t>
      </w:r>
    </w:p>
    <w:p w14:paraId="54F1A6CF" w14:textId="2AE0D334" w:rsidR="00BB5E5B" w:rsidRPr="00B66081" w:rsidRDefault="00BB5E5B" w:rsidP="00BB5E5B">
      <w:pPr>
        <w:rPr>
          <w:b/>
        </w:rPr>
      </w:pPr>
      <w:r w:rsidRPr="008B3426">
        <w:rPr>
          <w:b/>
        </w:rPr>
        <w:t xml:space="preserve">Proposal </w:t>
      </w:r>
      <w:r>
        <w:rPr>
          <w:rFonts w:eastAsia="PMingLiU"/>
          <w:b/>
          <w:lang w:eastAsia="zh-TW"/>
        </w:rPr>
        <w:t xml:space="preserve">5: </w:t>
      </w:r>
      <w:r w:rsidRPr="00B66081">
        <w:rPr>
          <w:b/>
        </w:rPr>
        <w:t xml:space="preserve">Change CBR-PPPP lookup table from pool specific to </w:t>
      </w:r>
      <w:r w:rsidRPr="00BE7A1D">
        <w:rPr>
          <w:b/>
          <w:noProof/>
        </w:rPr>
        <w:t>cell</w:t>
      </w:r>
      <w:r w:rsidR="00BE7A1D">
        <w:rPr>
          <w:b/>
          <w:noProof/>
        </w:rPr>
        <w:t>-</w:t>
      </w:r>
      <w:r w:rsidRPr="00BE7A1D">
        <w:rPr>
          <w:b/>
          <w:noProof/>
        </w:rPr>
        <w:t>specific</w:t>
      </w:r>
      <w:r w:rsidRPr="00B66081">
        <w:rPr>
          <w:b/>
        </w:rPr>
        <w:t xml:space="preserve"> </w:t>
      </w:r>
      <w:r>
        <w:rPr>
          <w:b/>
        </w:rPr>
        <w:t xml:space="preserve">where </w:t>
      </w:r>
      <w:r w:rsidRPr="00B66081">
        <w:rPr>
          <w:b/>
        </w:rPr>
        <w:t>Place</w:t>
      </w:r>
      <w:r w:rsidRPr="00B66081">
        <w:rPr>
          <w:rFonts w:hint="eastAsia"/>
          <w:b/>
        </w:rPr>
        <w:t xml:space="preserve"> SL-CBR-PPPP-TxConfigList </w:t>
      </w:r>
      <w:r w:rsidRPr="00B66081">
        <w:rPr>
          <w:b/>
        </w:rPr>
        <w:t>in</w:t>
      </w:r>
      <w:r w:rsidRPr="00B66081">
        <w:rPr>
          <w:rFonts w:hint="eastAsia"/>
          <w:b/>
        </w:rPr>
        <w:t xml:space="preserve"> SIB22</w:t>
      </w:r>
      <w:r w:rsidRPr="00B66081">
        <w:rPr>
          <w:b/>
        </w:rPr>
        <w:t xml:space="preserve"> as the CBR-PPPP lookup table for all Tx pools therein.</w:t>
      </w:r>
    </w:p>
    <w:p w14:paraId="0E3938DC" w14:textId="77777777" w:rsidR="00BB5E5B" w:rsidRDefault="00BB5E5B" w:rsidP="00BB5E5B">
      <w:pPr>
        <w:jc w:val="both"/>
        <w:rPr>
          <w:b/>
        </w:rPr>
      </w:pPr>
    </w:p>
    <w:p w14:paraId="4401534E" w14:textId="12E83A3F" w:rsidR="009D1361" w:rsidRDefault="00B56C6C" w:rsidP="009D1361">
      <w:pPr>
        <w:pStyle w:val="Heading1"/>
      </w:pPr>
      <w:r>
        <w:rPr>
          <w:rFonts w:eastAsia="PMingLiU"/>
          <w:lang w:eastAsia="zh-TW"/>
        </w:rPr>
        <w:t>5</w:t>
      </w:r>
      <w:r w:rsidR="009D1361">
        <w:tab/>
        <w:t>References</w:t>
      </w:r>
    </w:p>
    <w:p w14:paraId="6D223547" w14:textId="335ED932" w:rsidR="002C52A7" w:rsidRDefault="002C52A7" w:rsidP="002C52A7">
      <w:pPr>
        <w:pStyle w:val="Reference"/>
        <w:numPr>
          <w:ilvl w:val="0"/>
          <w:numId w:val="10"/>
        </w:numPr>
        <w:tabs>
          <w:tab w:val="left" w:pos="567"/>
        </w:tabs>
        <w:rPr>
          <w:rFonts w:ascii="Times New Roman" w:eastAsia="SimSun" w:hAnsi="Times New Roman" w:cs="Arial"/>
          <w:lang w:eastAsia="en-US"/>
        </w:rPr>
      </w:pPr>
      <w:r w:rsidRPr="002C52A7">
        <w:rPr>
          <w:rFonts w:ascii="Times New Roman" w:eastAsia="SimSun" w:hAnsi="Times New Roman" w:cs="Arial"/>
          <w:lang w:eastAsia="en-US"/>
        </w:rPr>
        <w:t>RAN2#101</w:t>
      </w:r>
      <w:r w:rsidR="00D33BFA">
        <w:rPr>
          <w:rFonts w:ascii="Times New Roman" w:eastAsia="SimSun" w:hAnsi="Times New Roman" w:cs="Arial"/>
          <w:lang w:eastAsia="en-US"/>
        </w:rPr>
        <w:t>bis</w:t>
      </w:r>
      <w:r w:rsidRPr="002C52A7">
        <w:rPr>
          <w:rFonts w:ascii="Times New Roman" w:eastAsia="SimSun" w:hAnsi="Times New Roman" w:cs="Arial"/>
          <w:lang w:eastAsia="en-US"/>
        </w:rPr>
        <w:t>, Chairman’s Note</w:t>
      </w:r>
    </w:p>
    <w:p w14:paraId="139C396A" w14:textId="77777777" w:rsidR="0015203E" w:rsidRDefault="0015203E" w:rsidP="0015203E">
      <w:pPr>
        <w:pStyle w:val="Reference"/>
        <w:numPr>
          <w:ilvl w:val="0"/>
          <w:numId w:val="10"/>
        </w:numPr>
        <w:rPr>
          <w:rFonts w:ascii="Times New Roman" w:eastAsia="SimSun" w:hAnsi="Times New Roman" w:cs="Arial"/>
          <w:lang w:eastAsia="en-US"/>
        </w:rPr>
      </w:pPr>
      <w:bookmarkStart w:id="1" w:name="_Ref487037893"/>
      <w:bookmarkStart w:id="2" w:name="_Ref489283780"/>
      <w:bookmarkStart w:id="3" w:name="_Ref473192003"/>
      <w:bookmarkStart w:id="4" w:name="_Ref478053116"/>
      <w:r w:rsidRPr="0015203E">
        <w:rPr>
          <w:rFonts w:ascii="Times New Roman" w:eastAsia="SimSun" w:hAnsi="Times New Roman" w:cs="Arial"/>
          <w:lang w:eastAsia="en-US"/>
        </w:rPr>
        <w:t xml:space="preserve">TR 22.886 V15.1.0, “Study on </w:t>
      </w:r>
      <w:r w:rsidRPr="007227B6">
        <w:rPr>
          <w:rFonts w:ascii="Times New Roman" w:eastAsia="SimSun" w:hAnsi="Times New Roman" w:cs="Arial"/>
          <w:noProof/>
          <w:lang w:eastAsia="en-US"/>
        </w:rPr>
        <w:t>enhancement</w:t>
      </w:r>
      <w:r w:rsidRPr="0015203E">
        <w:rPr>
          <w:rFonts w:ascii="Times New Roman" w:eastAsia="SimSun" w:hAnsi="Times New Roman" w:cs="Arial"/>
          <w:lang w:eastAsia="en-US"/>
        </w:rPr>
        <w:t xml:space="preserve"> of 3GPP Support for 5G V2X Services, (Release 15)”</w:t>
      </w:r>
      <w:bookmarkEnd w:id="1"/>
      <w:r w:rsidRPr="0015203E">
        <w:rPr>
          <w:rFonts w:ascii="Times New Roman" w:eastAsia="SimSun" w:hAnsi="Times New Roman" w:cs="Arial"/>
          <w:lang w:eastAsia="en-US"/>
        </w:rPr>
        <w:t>.</w:t>
      </w:r>
      <w:bookmarkEnd w:id="2"/>
    </w:p>
    <w:p w14:paraId="01EBEC66" w14:textId="77777777" w:rsidR="007227B6" w:rsidRDefault="007227B6" w:rsidP="007227B6">
      <w:pPr>
        <w:pStyle w:val="Reference"/>
        <w:numPr>
          <w:ilvl w:val="0"/>
          <w:numId w:val="10"/>
        </w:numPr>
        <w:rPr>
          <w:rFonts w:ascii="Times New Roman" w:eastAsia="SimSun" w:hAnsi="Times New Roman" w:cs="Arial"/>
          <w:lang w:eastAsia="en-US"/>
        </w:rPr>
      </w:pPr>
      <w:r w:rsidRPr="007227B6">
        <w:rPr>
          <w:rFonts w:ascii="Times New Roman" w:eastAsia="SimSun" w:hAnsi="Times New Roman" w:cs="Arial"/>
          <w:lang w:eastAsia="en-US"/>
        </w:rPr>
        <w:t>R2-1707754, Discussion on Further Optimization for SIB21</w:t>
      </w:r>
      <w:r w:rsidRPr="007227B6">
        <w:rPr>
          <w:rFonts w:ascii="Times New Roman" w:eastAsia="SimSun" w:hAnsi="Times New Roman" w:cs="Arial" w:hint="eastAsia"/>
          <w:lang w:eastAsia="en-US"/>
        </w:rPr>
        <w:t>.</w:t>
      </w:r>
    </w:p>
    <w:p w14:paraId="24566E07" w14:textId="100565B5" w:rsidR="00B92E6D" w:rsidRDefault="00B92E6D" w:rsidP="00B92E6D">
      <w:pPr>
        <w:pStyle w:val="ListParagraph"/>
        <w:numPr>
          <w:ilvl w:val="0"/>
          <w:numId w:val="10"/>
        </w:numPr>
        <w:spacing w:before="60"/>
        <w:ind w:firstLineChars="0"/>
        <w:rPr>
          <w:noProof/>
        </w:rPr>
      </w:pPr>
      <w:r w:rsidRPr="004F2768">
        <w:rPr>
          <w:noProof/>
        </w:rPr>
        <w:t>R2-1804363</w:t>
      </w:r>
      <w:r w:rsidRPr="004F2768">
        <w:rPr>
          <w:noProof/>
        </w:rPr>
        <w:tab/>
        <w:t>Discussion on carrier configuration in SIB-eV2X</w:t>
      </w:r>
      <w:r>
        <w:rPr>
          <w:noProof/>
        </w:rPr>
        <w:t>.</w:t>
      </w:r>
      <w:r w:rsidRPr="004F2768">
        <w:rPr>
          <w:noProof/>
        </w:rPr>
        <w:tab/>
      </w:r>
    </w:p>
    <w:p w14:paraId="18B42C3E" w14:textId="77777777" w:rsidR="00B92E6D" w:rsidRPr="007227B6" w:rsidRDefault="00B92E6D" w:rsidP="007227B6">
      <w:pPr>
        <w:pStyle w:val="Reference"/>
        <w:numPr>
          <w:ilvl w:val="0"/>
          <w:numId w:val="10"/>
        </w:numPr>
        <w:rPr>
          <w:rFonts w:ascii="Times New Roman" w:eastAsia="SimSun" w:hAnsi="Times New Roman" w:cs="Arial"/>
          <w:lang w:eastAsia="en-US"/>
        </w:rPr>
      </w:pPr>
    </w:p>
    <w:bookmarkEnd w:id="3"/>
    <w:bookmarkEnd w:id="4"/>
    <w:p w14:paraId="13F89F3B" w14:textId="71C17A41" w:rsidR="009D1361" w:rsidRPr="007227B6" w:rsidRDefault="009D1361" w:rsidP="007227B6">
      <w:pPr>
        <w:pStyle w:val="Reference"/>
        <w:numPr>
          <w:ilvl w:val="0"/>
          <w:numId w:val="0"/>
        </w:numPr>
        <w:ind w:left="567"/>
        <w:rPr>
          <w:b/>
        </w:rPr>
      </w:pPr>
    </w:p>
    <w:sectPr w:rsidR="009D1361" w:rsidRPr="007227B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8AC3D" w14:textId="77777777" w:rsidR="006D3807" w:rsidRDefault="006D3807">
      <w:r>
        <w:separator/>
      </w:r>
    </w:p>
  </w:endnote>
  <w:endnote w:type="continuationSeparator" w:id="0">
    <w:p w14:paraId="22EDD5DA" w14:textId="77777777" w:rsidR="006D3807" w:rsidRDefault="006D3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5C0B9" w14:textId="77777777" w:rsidR="006D3807" w:rsidRDefault="006D3807">
      <w:r>
        <w:separator/>
      </w:r>
    </w:p>
  </w:footnote>
  <w:footnote w:type="continuationSeparator" w:id="0">
    <w:p w14:paraId="2B22CE58" w14:textId="77777777" w:rsidR="006D3807" w:rsidRDefault="006D38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726A9A"/>
    <w:multiLevelType w:val="hybridMultilevel"/>
    <w:tmpl w:val="DACE9F08"/>
    <w:lvl w:ilvl="0" w:tplc="7D30074C">
      <w:start w:val="1"/>
      <w:numFmt w:val="bullet"/>
      <w:lvlText w:val="-"/>
      <w:lvlJc w:val="left"/>
      <w:pPr>
        <w:tabs>
          <w:tab w:val="num" w:pos="720"/>
        </w:tabs>
        <w:ind w:left="720" w:hanging="360"/>
      </w:pPr>
      <w:rPr>
        <w:rFonts w:ascii="Times New Roman" w:hAnsi="Times New Roman" w:hint="default"/>
      </w:rPr>
    </w:lvl>
    <w:lvl w:ilvl="1" w:tplc="3CC6F68C">
      <w:start w:val="1"/>
      <w:numFmt w:val="bullet"/>
      <w:lvlText w:val="-"/>
      <w:lvlJc w:val="left"/>
      <w:pPr>
        <w:tabs>
          <w:tab w:val="num" w:pos="1440"/>
        </w:tabs>
        <w:ind w:left="1440" w:hanging="360"/>
      </w:pPr>
      <w:rPr>
        <w:rFonts w:ascii="Times New Roman" w:hAnsi="Times New Roman" w:hint="default"/>
      </w:rPr>
    </w:lvl>
    <w:lvl w:ilvl="2" w:tplc="FB940E10" w:tentative="1">
      <w:start w:val="1"/>
      <w:numFmt w:val="bullet"/>
      <w:lvlText w:val="-"/>
      <w:lvlJc w:val="left"/>
      <w:pPr>
        <w:tabs>
          <w:tab w:val="num" w:pos="2160"/>
        </w:tabs>
        <w:ind w:left="2160" w:hanging="360"/>
      </w:pPr>
      <w:rPr>
        <w:rFonts w:ascii="Times New Roman" w:hAnsi="Times New Roman" w:hint="default"/>
      </w:rPr>
    </w:lvl>
    <w:lvl w:ilvl="3" w:tplc="DE527DA6" w:tentative="1">
      <w:start w:val="1"/>
      <w:numFmt w:val="bullet"/>
      <w:lvlText w:val="-"/>
      <w:lvlJc w:val="left"/>
      <w:pPr>
        <w:tabs>
          <w:tab w:val="num" w:pos="2880"/>
        </w:tabs>
        <w:ind w:left="2880" w:hanging="360"/>
      </w:pPr>
      <w:rPr>
        <w:rFonts w:ascii="Times New Roman" w:hAnsi="Times New Roman" w:hint="default"/>
      </w:rPr>
    </w:lvl>
    <w:lvl w:ilvl="4" w:tplc="E5881BC0" w:tentative="1">
      <w:start w:val="1"/>
      <w:numFmt w:val="bullet"/>
      <w:lvlText w:val="-"/>
      <w:lvlJc w:val="left"/>
      <w:pPr>
        <w:tabs>
          <w:tab w:val="num" w:pos="3600"/>
        </w:tabs>
        <w:ind w:left="3600" w:hanging="360"/>
      </w:pPr>
      <w:rPr>
        <w:rFonts w:ascii="Times New Roman" w:hAnsi="Times New Roman" w:hint="default"/>
      </w:rPr>
    </w:lvl>
    <w:lvl w:ilvl="5" w:tplc="F376B97C" w:tentative="1">
      <w:start w:val="1"/>
      <w:numFmt w:val="bullet"/>
      <w:lvlText w:val="-"/>
      <w:lvlJc w:val="left"/>
      <w:pPr>
        <w:tabs>
          <w:tab w:val="num" w:pos="4320"/>
        </w:tabs>
        <w:ind w:left="4320" w:hanging="360"/>
      </w:pPr>
      <w:rPr>
        <w:rFonts w:ascii="Times New Roman" w:hAnsi="Times New Roman" w:hint="default"/>
      </w:rPr>
    </w:lvl>
    <w:lvl w:ilvl="6" w:tplc="5CA480C0" w:tentative="1">
      <w:start w:val="1"/>
      <w:numFmt w:val="bullet"/>
      <w:lvlText w:val="-"/>
      <w:lvlJc w:val="left"/>
      <w:pPr>
        <w:tabs>
          <w:tab w:val="num" w:pos="5040"/>
        </w:tabs>
        <w:ind w:left="5040" w:hanging="360"/>
      </w:pPr>
      <w:rPr>
        <w:rFonts w:ascii="Times New Roman" w:hAnsi="Times New Roman" w:hint="default"/>
      </w:rPr>
    </w:lvl>
    <w:lvl w:ilvl="7" w:tplc="BE3E059C" w:tentative="1">
      <w:start w:val="1"/>
      <w:numFmt w:val="bullet"/>
      <w:lvlText w:val="-"/>
      <w:lvlJc w:val="left"/>
      <w:pPr>
        <w:tabs>
          <w:tab w:val="num" w:pos="5760"/>
        </w:tabs>
        <w:ind w:left="5760" w:hanging="360"/>
      </w:pPr>
      <w:rPr>
        <w:rFonts w:ascii="Times New Roman" w:hAnsi="Times New Roman" w:hint="default"/>
      </w:rPr>
    </w:lvl>
    <w:lvl w:ilvl="8" w:tplc="B456C54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F4B6CAE"/>
    <w:multiLevelType w:val="hybridMultilevel"/>
    <w:tmpl w:val="FC82AE02"/>
    <w:lvl w:ilvl="0" w:tplc="5A76F560">
      <w:start w:val="8"/>
      <w:numFmt w:val="bullet"/>
      <w:lvlText w:val="-"/>
      <w:lvlJc w:val="left"/>
      <w:pPr>
        <w:ind w:left="360" w:hanging="360"/>
      </w:pPr>
      <w:rPr>
        <w:rFonts w:ascii="Calibri" w:eastAsia="SimSun" w:hAnsi="Calibri" w:hint="default"/>
      </w:rPr>
    </w:lvl>
    <w:lvl w:ilvl="1" w:tplc="040B0003">
      <w:start w:val="1"/>
      <w:numFmt w:val="bullet"/>
      <w:lvlText w:val="o"/>
      <w:lvlJc w:val="left"/>
      <w:pPr>
        <w:ind w:left="1080" w:hanging="360"/>
      </w:pPr>
      <w:rPr>
        <w:rFonts w:ascii="Courier New" w:hAnsi="Courier New" w:cs="Times New Roman"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Times New Roman"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Times New Roman" w:hint="default"/>
      </w:rPr>
    </w:lvl>
    <w:lvl w:ilvl="8" w:tplc="040B0005">
      <w:start w:val="1"/>
      <w:numFmt w:val="bullet"/>
      <w:lvlText w:val=""/>
      <w:lvlJc w:val="left"/>
      <w:pPr>
        <w:ind w:left="6120" w:hanging="360"/>
      </w:pPr>
      <w:rPr>
        <w:rFonts w:ascii="Wingdings" w:hAnsi="Wingdings" w:hint="default"/>
      </w:rPr>
    </w:lvl>
  </w:abstractNum>
  <w:abstractNum w:abstractNumId="4" w15:restartNumberingAfterBreak="0">
    <w:nsid w:val="1F5A759D"/>
    <w:multiLevelType w:val="multilevel"/>
    <w:tmpl w:val="1F5A759D"/>
    <w:lvl w:ilvl="0">
      <w:numFmt w:val="bullet"/>
      <w:lvlText w:val=""/>
      <w:lvlJc w:val="left"/>
      <w:pPr>
        <w:tabs>
          <w:tab w:val="num" w:pos="170"/>
        </w:tabs>
        <w:ind w:left="1134" w:hanging="850"/>
      </w:pPr>
      <w:rPr>
        <w:rFonts w:ascii="Wingdings" w:eastAsia="MS Mincho" w:hAnsi="Wingdings" w:cs="Times New Roman"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5" w15:restartNumberingAfterBreak="0">
    <w:nsid w:val="23890624"/>
    <w:multiLevelType w:val="hybridMultilevel"/>
    <w:tmpl w:val="8104F110"/>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68E5156"/>
    <w:multiLevelType w:val="multilevel"/>
    <w:tmpl w:val="268E5156"/>
    <w:lvl w:ilvl="0">
      <w:start w:val="1"/>
      <w:numFmt w:val="lowerLetter"/>
      <w:lvlText w:val="%1)"/>
      <w:lvlJc w:val="left"/>
      <w:pPr>
        <w:ind w:left="420" w:hanging="420"/>
      </w:pPr>
    </w:lvl>
    <w:lvl w:ilvl="1">
      <w:start w:val="1"/>
      <w:numFmt w:val="lowerLetter"/>
      <w:lvlText w:val="%2)"/>
      <w:lvlJc w:val="left"/>
      <w:pPr>
        <w:ind w:left="840" w:hanging="420"/>
      </w:pPr>
      <w:rPr>
        <w:lang w:val="en-US"/>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3C0647"/>
    <w:multiLevelType w:val="multilevel"/>
    <w:tmpl w:val="313C0647"/>
    <w:lvl w:ilvl="0">
      <w:start w:val="1"/>
      <w:numFmt w:val="lowerLetter"/>
      <w:lvlText w:val="%1)"/>
      <w:lvlJc w:val="left"/>
      <w:pPr>
        <w:tabs>
          <w:tab w:val="num"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BE0567"/>
    <w:multiLevelType w:val="hybridMultilevel"/>
    <w:tmpl w:val="8104F110"/>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0A10F3B"/>
    <w:multiLevelType w:val="hybridMultilevel"/>
    <w:tmpl w:val="D51E6D9E"/>
    <w:lvl w:ilvl="0" w:tplc="B21C8E80">
      <w:start w:val="1"/>
      <w:numFmt w:val="bullet"/>
      <w:pStyle w:val="Reference"/>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33B32C3"/>
    <w:multiLevelType w:val="multilevel"/>
    <w:tmpl w:val="40C8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2825AA"/>
    <w:multiLevelType w:val="multilevel"/>
    <w:tmpl w:val="672825AA"/>
    <w:lvl w:ilvl="0">
      <w:start w:val="1"/>
      <w:numFmt w:val="bullet"/>
      <w:lvlText w:val=""/>
      <w:lvlJc w:val="left"/>
      <w:pPr>
        <w:ind w:left="816" w:hanging="360"/>
      </w:pPr>
      <w:rPr>
        <w:rFonts w:ascii="Symbol" w:hAnsi="Symbol" w:hint="default"/>
      </w:rPr>
    </w:lvl>
    <w:lvl w:ilvl="1">
      <w:start w:val="1"/>
      <w:numFmt w:val="bullet"/>
      <w:lvlText w:val="o"/>
      <w:lvlJc w:val="left"/>
      <w:pPr>
        <w:ind w:left="1536" w:hanging="360"/>
      </w:pPr>
      <w:rPr>
        <w:rFonts w:ascii="Courier New" w:hAnsi="Courier New" w:cs="Courier New" w:hint="default"/>
      </w:rPr>
    </w:lvl>
    <w:lvl w:ilvl="2">
      <w:start w:val="1"/>
      <w:numFmt w:val="bullet"/>
      <w:lvlText w:val=""/>
      <w:lvlJc w:val="left"/>
      <w:pPr>
        <w:ind w:left="2256" w:hanging="360"/>
      </w:pPr>
      <w:rPr>
        <w:rFonts w:ascii="Wingdings" w:hAnsi="Wingdings" w:hint="default"/>
      </w:rPr>
    </w:lvl>
    <w:lvl w:ilvl="3">
      <w:start w:val="1"/>
      <w:numFmt w:val="bullet"/>
      <w:lvlText w:val=""/>
      <w:lvlJc w:val="left"/>
      <w:pPr>
        <w:ind w:left="2976" w:hanging="360"/>
      </w:pPr>
      <w:rPr>
        <w:rFonts w:ascii="Symbol" w:hAnsi="Symbol" w:hint="default"/>
      </w:rPr>
    </w:lvl>
    <w:lvl w:ilvl="4">
      <w:start w:val="1"/>
      <w:numFmt w:val="bullet"/>
      <w:lvlText w:val="o"/>
      <w:lvlJc w:val="left"/>
      <w:pPr>
        <w:ind w:left="3696" w:hanging="360"/>
      </w:pPr>
      <w:rPr>
        <w:rFonts w:ascii="Courier New" w:hAnsi="Courier New" w:cs="Courier New" w:hint="default"/>
      </w:rPr>
    </w:lvl>
    <w:lvl w:ilvl="5">
      <w:start w:val="1"/>
      <w:numFmt w:val="bullet"/>
      <w:lvlText w:val=""/>
      <w:lvlJc w:val="left"/>
      <w:pPr>
        <w:ind w:left="4416" w:hanging="360"/>
      </w:pPr>
      <w:rPr>
        <w:rFonts w:ascii="Wingdings" w:hAnsi="Wingdings" w:hint="default"/>
      </w:rPr>
    </w:lvl>
    <w:lvl w:ilvl="6">
      <w:start w:val="1"/>
      <w:numFmt w:val="bullet"/>
      <w:lvlText w:val=""/>
      <w:lvlJc w:val="left"/>
      <w:pPr>
        <w:ind w:left="5136" w:hanging="360"/>
      </w:pPr>
      <w:rPr>
        <w:rFonts w:ascii="Symbol" w:hAnsi="Symbol" w:hint="default"/>
      </w:rPr>
    </w:lvl>
    <w:lvl w:ilvl="7">
      <w:start w:val="1"/>
      <w:numFmt w:val="bullet"/>
      <w:lvlText w:val="o"/>
      <w:lvlJc w:val="left"/>
      <w:pPr>
        <w:ind w:left="5856" w:hanging="360"/>
      </w:pPr>
      <w:rPr>
        <w:rFonts w:ascii="Courier New" w:hAnsi="Courier New" w:cs="Courier New" w:hint="default"/>
      </w:rPr>
    </w:lvl>
    <w:lvl w:ilvl="8">
      <w:start w:val="1"/>
      <w:numFmt w:val="bullet"/>
      <w:lvlText w:val=""/>
      <w:lvlJc w:val="left"/>
      <w:pPr>
        <w:ind w:left="6576" w:hanging="360"/>
      </w:pPr>
      <w:rPr>
        <w:rFonts w:ascii="Wingdings" w:hAnsi="Wingdings" w:hint="default"/>
      </w:rPr>
    </w:lvl>
  </w:abstractNum>
  <w:abstractNum w:abstractNumId="1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331623"/>
    <w:multiLevelType w:val="multilevel"/>
    <w:tmpl w:val="69331623"/>
    <w:lvl w:ilvl="0">
      <w:start w:val="129"/>
      <w:numFmt w:val="bullet"/>
      <w:lvlText w:val="-"/>
      <w:lvlJc w:val="left"/>
      <w:pPr>
        <w:ind w:left="1004" w:hanging="360"/>
      </w:pPr>
      <w:rPr>
        <w:rFonts w:ascii="Calibri" w:eastAsia="Calibri" w:hAnsi="Calibri"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A7D1A26"/>
    <w:multiLevelType w:val="hybridMultilevel"/>
    <w:tmpl w:val="DBD61B5A"/>
    <w:lvl w:ilvl="0" w:tplc="C498A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8E659D"/>
    <w:multiLevelType w:val="hybridMultilevel"/>
    <w:tmpl w:val="EC5E66F0"/>
    <w:lvl w:ilvl="0" w:tplc="5B1EE738">
      <w:start w:val="1"/>
      <w:numFmt w:val="bullet"/>
      <w:lvlText w:val=""/>
      <w:lvlJc w:val="left"/>
      <w:pPr>
        <w:tabs>
          <w:tab w:val="num" w:pos="720"/>
        </w:tabs>
        <w:ind w:left="720" w:hanging="360"/>
      </w:pPr>
      <w:rPr>
        <w:rFonts w:ascii="Wingdings" w:hAnsi="Wingdings" w:hint="default"/>
      </w:rPr>
    </w:lvl>
    <w:lvl w:ilvl="1" w:tplc="01649BEA" w:tentative="1">
      <w:start w:val="1"/>
      <w:numFmt w:val="bullet"/>
      <w:lvlText w:val=""/>
      <w:lvlJc w:val="left"/>
      <w:pPr>
        <w:tabs>
          <w:tab w:val="num" w:pos="1440"/>
        </w:tabs>
        <w:ind w:left="1440" w:hanging="360"/>
      </w:pPr>
      <w:rPr>
        <w:rFonts w:ascii="Wingdings" w:hAnsi="Wingdings" w:hint="default"/>
      </w:rPr>
    </w:lvl>
    <w:lvl w:ilvl="2" w:tplc="C93ED7DC" w:tentative="1">
      <w:start w:val="1"/>
      <w:numFmt w:val="bullet"/>
      <w:lvlText w:val=""/>
      <w:lvlJc w:val="left"/>
      <w:pPr>
        <w:tabs>
          <w:tab w:val="num" w:pos="2160"/>
        </w:tabs>
        <w:ind w:left="2160" w:hanging="360"/>
      </w:pPr>
      <w:rPr>
        <w:rFonts w:ascii="Wingdings" w:hAnsi="Wingdings" w:hint="default"/>
      </w:rPr>
    </w:lvl>
    <w:lvl w:ilvl="3" w:tplc="BF6AEE82" w:tentative="1">
      <w:start w:val="1"/>
      <w:numFmt w:val="bullet"/>
      <w:lvlText w:val=""/>
      <w:lvlJc w:val="left"/>
      <w:pPr>
        <w:tabs>
          <w:tab w:val="num" w:pos="2880"/>
        </w:tabs>
        <w:ind w:left="2880" w:hanging="360"/>
      </w:pPr>
      <w:rPr>
        <w:rFonts w:ascii="Wingdings" w:hAnsi="Wingdings" w:hint="default"/>
      </w:rPr>
    </w:lvl>
    <w:lvl w:ilvl="4" w:tplc="B10E0008" w:tentative="1">
      <w:start w:val="1"/>
      <w:numFmt w:val="bullet"/>
      <w:lvlText w:val=""/>
      <w:lvlJc w:val="left"/>
      <w:pPr>
        <w:tabs>
          <w:tab w:val="num" w:pos="3600"/>
        </w:tabs>
        <w:ind w:left="3600" w:hanging="360"/>
      </w:pPr>
      <w:rPr>
        <w:rFonts w:ascii="Wingdings" w:hAnsi="Wingdings" w:hint="default"/>
      </w:rPr>
    </w:lvl>
    <w:lvl w:ilvl="5" w:tplc="894CB82E" w:tentative="1">
      <w:start w:val="1"/>
      <w:numFmt w:val="bullet"/>
      <w:lvlText w:val=""/>
      <w:lvlJc w:val="left"/>
      <w:pPr>
        <w:tabs>
          <w:tab w:val="num" w:pos="4320"/>
        </w:tabs>
        <w:ind w:left="4320" w:hanging="360"/>
      </w:pPr>
      <w:rPr>
        <w:rFonts w:ascii="Wingdings" w:hAnsi="Wingdings" w:hint="default"/>
      </w:rPr>
    </w:lvl>
    <w:lvl w:ilvl="6" w:tplc="4DD67BFC" w:tentative="1">
      <w:start w:val="1"/>
      <w:numFmt w:val="bullet"/>
      <w:lvlText w:val=""/>
      <w:lvlJc w:val="left"/>
      <w:pPr>
        <w:tabs>
          <w:tab w:val="num" w:pos="5040"/>
        </w:tabs>
        <w:ind w:left="5040" w:hanging="360"/>
      </w:pPr>
      <w:rPr>
        <w:rFonts w:ascii="Wingdings" w:hAnsi="Wingdings" w:hint="default"/>
      </w:rPr>
    </w:lvl>
    <w:lvl w:ilvl="7" w:tplc="18BA01FE" w:tentative="1">
      <w:start w:val="1"/>
      <w:numFmt w:val="bullet"/>
      <w:lvlText w:val=""/>
      <w:lvlJc w:val="left"/>
      <w:pPr>
        <w:tabs>
          <w:tab w:val="num" w:pos="5760"/>
        </w:tabs>
        <w:ind w:left="5760" w:hanging="360"/>
      </w:pPr>
      <w:rPr>
        <w:rFonts w:ascii="Wingdings" w:hAnsi="Wingdings" w:hint="default"/>
      </w:rPr>
    </w:lvl>
    <w:lvl w:ilvl="8" w:tplc="E148252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BA1249"/>
    <w:multiLevelType w:val="hybridMultilevel"/>
    <w:tmpl w:val="5AC8097C"/>
    <w:lvl w:ilvl="0" w:tplc="3C6EAE3E">
      <w:start w:val="1"/>
      <w:numFmt w:val="bullet"/>
      <w:lvlText w:val="-"/>
      <w:lvlJc w:val="left"/>
      <w:pPr>
        <w:tabs>
          <w:tab w:val="num" w:pos="720"/>
        </w:tabs>
        <w:ind w:left="720" w:hanging="360"/>
      </w:pPr>
      <w:rPr>
        <w:rFonts w:ascii="Times New Roman" w:hAnsi="Times New Roman" w:hint="default"/>
      </w:rPr>
    </w:lvl>
    <w:lvl w:ilvl="1" w:tplc="1D3CE0AE">
      <w:start w:val="1"/>
      <w:numFmt w:val="bullet"/>
      <w:lvlText w:val="-"/>
      <w:lvlJc w:val="left"/>
      <w:pPr>
        <w:tabs>
          <w:tab w:val="num" w:pos="1440"/>
        </w:tabs>
        <w:ind w:left="1440" w:hanging="360"/>
      </w:pPr>
      <w:rPr>
        <w:rFonts w:ascii="Times New Roman" w:hAnsi="Times New Roman" w:hint="default"/>
      </w:rPr>
    </w:lvl>
    <w:lvl w:ilvl="2" w:tplc="FC922DB6" w:tentative="1">
      <w:start w:val="1"/>
      <w:numFmt w:val="bullet"/>
      <w:lvlText w:val="-"/>
      <w:lvlJc w:val="left"/>
      <w:pPr>
        <w:tabs>
          <w:tab w:val="num" w:pos="2160"/>
        </w:tabs>
        <w:ind w:left="2160" w:hanging="360"/>
      </w:pPr>
      <w:rPr>
        <w:rFonts w:ascii="Times New Roman" w:hAnsi="Times New Roman" w:hint="default"/>
      </w:rPr>
    </w:lvl>
    <w:lvl w:ilvl="3" w:tplc="13A64892" w:tentative="1">
      <w:start w:val="1"/>
      <w:numFmt w:val="bullet"/>
      <w:lvlText w:val="-"/>
      <w:lvlJc w:val="left"/>
      <w:pPr>
        <w:tabs>
          <w:tab w:val="num" w:pos="2880"/>
        </w:tabs>
        <w:ind w:left="2880" w:hanging="360"/>
      </w:pPr>
      <w:rPr>
        <w:rFonts w:ascii="Times New Roman" w:hAnsi="Times New Roman" w:hint="default"/>
      </w:rPr>
    </w:lvl>
    <w:lvl w:ilvl="4" w:tplc="782A8512" w:tentative="1">
      <w:start w:val="1"/>
      <w:numFmt w:val="bullet"/>
      <w:lvlText w:val="-"/>
      <w:lvlJc w:val="left"/>
      <w:pPr>
        <w:tabs>
          <w:tab w:val="num" w:pos="3600"/>
        </w:tabs>
        <w:ind w:left="3600" w:hanging="360"/>
      </w:pPr>
      <w:rPr>
        <w:rFonts w:ascii="Times New Roman" w:hAnsi="Times New Roman" w:hint="default"/>
      </w:rPr>
    </w:lvl>
    <w:lvl w:ilvl="5" w:tplc="91DC245A" w:tentative="1">
      <w:start w:val="1"/>
      <w:numFmt w:val="bullet"/>
      <w:lvlText w:val="-"/>
      <w:lvlJc w:val="left"/>
      <w:pPr>
        <w:tabs>
          <w:tab w:val="num" w:pos="4320"/>
        </w:tabs>
        <w:ind w:left="4320" w:hanging="360"/>
      </w:pPr>
      <w:rPr>
        <w:rFonts w:ascii="Times New Roman" w:hAnsi="Times New Roman" w:hint="default"/>
      </w:rPr>
    </w:lvl>
    <w:lvl w:ilvl="6" w:tplc="023044D0" w:tentative="1">
      <w:start w:val="1"/>
      <w:numFmt w:val="bullet"/>
      <w:lvlText w:val="-"/>
      <w:lvlJc w:val="left"/>
      <w:pPr>
        <w:tabs>
          <w:tab w:val="num" w:pos="5040"/>
        </w:tabs>
        <w:ind w:left="5040" w:hanging="360"/>
      </w:pPr>
      <w:rPr>
        <w:rFonts w:ascii="Times New Roman" w:hAnsi="Times New Roman" w:hint="default"/>
      </w:rPr>
    </w:lvl>
    <w:lvl w:ilvl="7" w:tplc="2CE810F0" w:tentative="1">
      <w:start w:val="1"/>
      <w:numFmt w:val="bullet"/>
      <w:lvlText w:val="-"/>
      <w:lvlJc w:val="left"/>
      <w:pPr>
        <w:tabs>
          <w:tab w:val="num" w:pos="5760"/>
        </w:tabs>
        <w:ind w:left="5760" w:hanging="360"/>
      </w:pPr>
      <w:rPr>
        <w:rFonts w:ascii="Times New Roman" w:hAnsi="Times New Roman" w:hint="default"/>
      </w:rPr>
    </w:lvl>
    <w:lvl w:ilvl="8" w:tplc="21AE5F24"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5"/>
  </w:num>
  <w:num w:numId="6">
    <w:abstractNumId w:val="17"/>
  </w:num>
  <w:num w:numId="7">
    <w:abstractNumId w:val="10"/>
  </w:num>
  <w:num w:numId="8">
    <w:abstractNumId w:val="3"/>
  </w:num>
  <w:num w:numId="9">
    <w:abstractNumId w:val="13"/>
  </w:num>
  <w:num w:numId="10">
    <w:abstractNumId w:val="12"/>
  </w:num>
  <w:num w:numId="11">
    <w:abstractNumId w:val="2"/>
  </w:num>
  <w:num w:numId="12">
    <w:abstractNumId w:val="19"/>
  </w:num>
  <w:num w:numId="13">
    <w:abstractNumId w:val="16"/>
  </w:num>
  <w:num w:numId="14">
    <w:abstractNumId w:val="5"/>
  </w:num>
  <w:num w:numId="15">
    <w:abstractNumId w:val="6"/>
  </w:num>
  <w:num w:numId="16">
    <w:abstractNumId w:val="10"/>
  </w:num>
  <w:num w:numId="17">
    <w:abstractNumId w:val="14"/>
  </w:num>
  <w:num w:numId="18">
    <w:abstractNumId w:val="8"/>
  </w:num>
  <w:num w:numId="19">
    <w:abstractNumId w:val="18"/>
  </w:num>
  <w:num w:numId="20">
    <w:abstractNumId w:val="7"/>
  </w:num>
  <w:num w:numId="21">
    <w:abstractNumId w:val="1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IzNja2NDAwNzIxMDJQ0lEKTi0uzszPAykwNKkFAD2tfHQtAAAA"/>
  </w:docVars>
  <w:rsids>
    <w:rsidRoot w:val="000B7BCF"/>
    <w:rsid w:val="00013B38"/>
    <w:rsid w:val="00024476"/>
    <w:rsid w:val="00033397"/>
    <w:rsid w:val="00040095"/>
    <w:rsid w:val="000404A4"/>
    <w:rsid w:val="000765EE"/>
    <w:rsid w:val="00080512"/>
    <w:rsid w:val="00090468"/>
    <w:rsid w:val="000B67B8"/>
    <w:rsid w:val="000B6833"/>
    <w:rsid w:val="000B7BCF"/>
    <w:rsid w:val="000C1A68"/>
    <w:rsid w:val="000C522B"/>
    <w:rsid w:val="000D58AB"/>
    <w:rsid w:val="000D5B31"/>
    <w:rsid w:val="000D74B6"/>
    <w:rsid w:val="001101D1"/>
    <w:rsid w:val="00112F1A"/>
    <w:rsid w:val="00121D8A"/>
    <w:rsid w:val="00123453"/>
    <w:rsid w:val="00136F34"/>
    <w:rsid w:val="00145075"/>
    <w:rsid w:val="0015136A"/>
    <w:rsid w:val="0015203E"/>
    <w:rsid w:val="00166DCC"/>
    <w:rsid w:val="001741A0"/>
    <w:rsid w:val="00186554"/>
    <w:rsid w:val="00187C26"/>
    <w:rsid w:val="00194CD0"/>
    <w:rsid w:val="00196C86"/>
    <w:rsid w:val="001A5284"/>
    <w:rsid w:val="001B49C9"/>
    <w:rsid w:val="001C1F89"/>
    <w:rsid w:val="001D3A55"/>
    <w:rsid w:val="001F168B"/>
    <w:rsid w:val="001F7831"/>
    <w:rsid w:val="002038E4"/>
    <w:rsid w:val="00204045"/>
    <w:rsid w:val="00205F38"/>
    <w:rsid w:val="00206E8B"/>
    <w:rsid w:val="00222F51"/>
    <w:rsid w:val="0022606D"/>
    <w:rsid w:val="002508AE"/>
    <w:rsid w:val="00273FA9"/>
    <w:rsid w:val="002747EC"/>
    <w:rsid w:val="00275C1D"/>
    <w:rsid w:val="002855BF"/>
    <w:rsid w:val="00287A66"/>
    <w:rsid w:val="00290EC4"/>
    <w:rsid w:val="00291B90"/>
    <w:rsid w:val="002A2CE6"/>
    <w:rsid w:val="002C0CF1"/>
    <w:rsid w:val="002C52A7"/>
    <w:rsid w:val="002D0402"/>
    <w:rsid w:val="002D7EEC"/>
    <w:rsid w:val="002E2207"/>
    <w:rsid w:val="002F0D22"/>
    <w:rsid w:val="00300710"/>
    <w:rsid w:val="003135F1"/>
    <w:rsid w:val="00313926"/>
    <w:rsid w:val="00313D15"/>
    <w:rsid w:val="00314246"/>
    <w:rsid w:val="003157C9"/>
    <w:rsid w:val="003172DC"/>
    <w:rsid w:val="003208FE"/>
    <w:rsid w:val="00324997"/>
    <w:rsid w:val="00326069"/>
    <w:rsid w:val="00333A8E"/>
    <w:rsid w:val="00334E35"/>
    <w:rsid w:val="00337CF0"/>
    <w:rsid w:val="0035456E"/>
    <w:rsid w:val="0035462D"/>
    <w:rsid w:val="00354F53"/>
    <w:rsid w:val="00355F3E"/>
    <w:rsid w:val="00360E54"/>
    <w:rsid w:val="00366A9A"/>
    <w:rsid w:val="003711DF"/>
    <w:rsid w:val="0038240A"/>
    <w:rsid w:val="00382A1A"/>
    <w:rsid w:val="00387EEF"/>
    <w:rsid w:val="00394DDB"/>
    <w:rsid w:val="003A4911"/>
    <w:rsid w:val="003B0AA2"/>
    <w:rsid w:val="003B40AD"/>
    <w:rsid w:val="003C166D"/>
    <w:rsid w:val="003C4E37"/>
    <w:rsid w:val="003E16BE"/>
    <w:rsid w:val="003E7999"/>
    <w:rsid w:val="004006E8"/>
    <w:rsid w:val="00401855"/>
    <w:rsid w:val="004170F7"/>
    <w:rsid w:val="00421D6D"/>
    <w:rsid w:val="00430F01"/>
    <w:rsid w:val="004334D9"/>
    <w:rsid w:val="00446437"/>
    <w:rsid w:val="00451279"/>
    <w:rsid w:val="00454DFE"/>
    <w:rsid w:val="00457868"/>
    <w:rsid w:val="0046220E"/>
    <w:rsid w:val="00473154"/>
    <w:rsid w:val="0047621A"/>
    <w:rsid w:val="00477455"/>
    <w:rsid w:val="004912A5"/>
    <w:rsid w:val="004A1BFC"/>
    <w:rsid w:val="004B2938"/>
    <w:rsid w:val="004B4A92"/>
    <w:rsid w:val="004D3578"/>
    <w:rsid w:val="004D380D"/>
    <w:rsid w:val="004E213A"/>
    <w:rsid w:val="004E2AF4"/>
    <w:rsid w:val="004E6A87"/>
    <w:rsid w:val="00503171"/>
    <w:rsid w:val="00506C28"/>
    <w:rsid w:val="005116E8"/>
    <w:rsid w:val="00512F8A"/>
    <w:rsid w:val="005162FE"/>
    <w:rsid w:val="005202BA"/>
    <w:rsid w:val="00534DA0"/>
    <w:rsid w:val="00543E6C"/>
    <w:rsid w:val="00550B23"/>
    <w:rsid w:val="00555532"/>
    <w:rsid w:val="00560AED"/>
    <w:rsid w:val="00565087"/>
    <w:rsid w:val="0056573F"/>
    <w:rsid w:val="00573DDC"/>
    <w:rsid w:val="005759D4"/>
    <w:rsid w:val="00580246"/>
    <w:rsid w:val="00592E9F"/>
    <w:rsid w:val="005A5036"/>
    <w:rsid w:val="005B027A"/>
    <w:rsid w:val="005D3E3F"/>
    <w:rsid w:val="005D45B1"/>
    <w:rsid w:val="005D5C26"/>
    <w:rsid w:val="005D75AA"/>
    <w:rsid w:val="005E0596"/>
    <w:rsid w:val="005F62BE"/>
    <w:rsid w:val="00610D92"/>
    <w:rsid w:val="00611566"/>
    <w:rsid w:val="00615A03"/>
    <w:rsid w:val="00633DC4"/>
    <w:rsid w:val="0064512D"/>
    <w:rsid w:val="00646D99"/>
    <w:rsid w:val="00647F76"/>
    <w:rsid w:val="00650FF5"/>
    <w:rsid w:val="006562AF"/>
    <w:rsid w:val="00656910"/>
    <w:rsid w:val="00674B12"/>
    <w:rsid w:val="006819B5"/>
    <w:rsid w:val="00693D54"/>
    <w:rsid w:val="006A6710"/>
    <w:rsid w:val="006C66D8"/>
    <w:rsid w:val="006D1E24"/>
    <w:rsid w:val="006D3807"/>
    <w:rsid w:val="006E0948"/>
    <w:rsid w:val="006E1417"/>
    <w:rsid w:val="006F6A2C"/>
    <w:rsid w:val="00710201"/>
    <w:rsid w:val="007227B6"/>
    <w:rsid w:val="007323A4"/>
    <w:rsid w:val="007342B5"/>
    <w:rsid w:val="00734A5B"/>
    <w:rsid w:val="00740627"/>
    <w:rsid w:val="00741810"/>
    <w:rsid w:val="00744E76"/>
    <w:rsid w:val="0074516E"/>
    <w:rsid w:val="00745681"/>
    <w:rsid w:val="00753F2B"/>
    <w:rsid w:val="00757D40"/>
    <w:rsid w:val="0077785F"/>
    <w:rsid w:val="00781F0F"/>
    <w:rsid w:val="007865CD"/>
    <w:rsid w:val="0078727C"/>
    <w:rsid w:val="0079049D"/>
    <w:rsid w:val="007A3E11"/>
    <w:rsid w:val="007A3F3D"/>
    <w:rsid w:val="007B18D8"/>
    <w:rsid w:val="007C095F"/>
    <w:rsid w:val="007C4F97"/>
    <w:rsid w:val="007E0CF7"/>
    <w:rsid w:val="007E555A"/>
    <w:rsid w:val="007F3B8B"/>
    <w:rsid w:val="008028A4"/>
    <w:rsid w:val="00813245"/>
    <w:rsid w:val="00832643"/>
    <w:rsid w:val="00840B83"/>
    <w:rsid w:val="00855AE3"/>
    <w:rsid w:val="008768CA"/>
    <w:rsid w:val="00877EF9"/>
    <w:rsid w:val="00880559"/>
    <w:rsid w:val="00896B3C"/>
    <w:rsid w:val="008B22D9"/>
    <w:rsid w:val="008B3426"/>
    <w:rsid w:val="008B3EDD"/>
    <w:rsid w:val="008B5306"/>
    <w:rsid w:val="008B64D3"/>
    <w:rsid w:val="008C36FB"/>
    <w:rsid w:val="008C5075"/>
    <w:rsid w:val="008D4EE4"/>
    <w:rsid w:val="008D55CA"/>
    <w:rsid w:val="008E4DF3"/>
    <w:rsid w:val="008F4DD8"/>
    <w:rsid w:val="008F51E0"/>
    <w:rsid w:val="0090271F"/>
    <w:rsid w:val="00902DB9"/>
    <w:rsid w:val="0090466A"/>
    <w:rsid w:val="0091651B"/>
    <w:rsid w:val="00922457"/>
    <w:rsid w:val="00926253"/>
    <w:rsid w:val="00936071"/>
    <w:rsid w:val="00940212"/>
    <w:rsid w:val="00942EC2"/>
    <w:rsid w:val="0094537F"/>
    <w:rsid w:val="00947DFC"/>
    <w:rsid w:val="0096025F"/>
    <w:rsid w:val="00961B32"/>
    <w:rsid w:val="00962DE6"/>
    <w:rsid w:val="00963B6B"/>
    <w:rsid w:val="00970DB3"/>
    <w:rsid w:val="00974BB0"/>
    <w:rsid w:val="009750B3"/>
    <w:rsid w:val="00983928"/>
    <w:rsid w:val="0099050F"/>
    <w:rsid w:val="009918E7"/>
    <w:rsid w:val="009A0355"/>
    <w:rsid w:val="009A0AF3"/>
    <w:rsid w:val="009A5248"/>
    <w:rsid w:val="009B07CD"/>
    <w:rsid w:val="009B31E3"/>
    <w:rsid w:val="009B43B6"/>
    <w:rsid w:val="009C19E9"/>
    <w:rsid w:val="009C7C97"/>
    <w:rsid w:val="009D1361"/>
    <w:rsid w:val="009D3A81"/>
    <w:rsid w:val="009D74A6"/>
    <w:rsid w:val="009D79A8"/>
    <w:rsid w:val="009E57F0"/>
    <w:rsid w:val="00A10F02"/>
    <w:rsid w:val="00A204CA"/>
    <w:rsid w:val="00A26736"/>
    <w:rsid w:val="00A31D63"/>
    <w:rsid w:val="00A53724"/>
    <w:rsid w:val="00A602D3"/>
    <w:rsid w:val="00A70B96"/>
    <w:rsid w:val="00A82346"/>
    <w:rsid w:val="00A82ECB"/>
    <w:rsid w:val="00A843BE"/>
    <w:rsid w:val="00A854A1"/>
    <w:rsid w:val="00A9671C"/>
    <w:rsid w:val="00AA1553"/>
    <w:rsid w:val="00AA37B7"/>
    <w:rsid w:val="00AA6799"/>
    <w:rsid w:val="00AB0837"/>
    <w:rsid w:val="00AB75A5"/>
    <w:rsid w:val="00AE08DF"/>
    <w:rsid w:val="00AE5DA2"/>
    <w:rsid w:val="00B06A4E"/>
    <w:rsid w:val="00B13E25"/>
    <w:rsid w:val="00B15449"/>
    <w:rsid w:val="00B223E3"/>
    <w:rsid w:val="00B4312A"/>
    <w:rsid w:val="00B47FD1"/>
    <w:rsid w:val="00B516BB"/>
    <w:rsid w:val="00B5275D"/>
    <w:rsid w:val="00B55D4F"/>
    <w:rsid w:val="00B56C6C"/>
    <w:rsid w:val="00B66081"/>
    <w:rsid w:val="00B70DE7"/>
    <w:rsid w:val="00B85E88"/>
    <w:rsid w:val="00B92E6D"/>
    <w:rsid w:val="00B95F0F"/>
    <w:rsid w:val="00BA461C"/>
    <w:rsid w:val="00BB5E5B"/>
    <w:rsid w:val="00BD38D6"/>
    <w:rsid w:val="00BD5E29"/>
    <w:rsid w:val="00BD6053"/>
    <w:rsid w:val="00BD6CDF"/>
    <w:rsid w:val="00BD7ED0"/>
    <w:rsid w:val="00BE7A1D"/>
    <w:rsid w:val="00BF4741"/>
    <w:rsid w:val="00BF68AA"/>
    <w:rsid w:val="00C027B6"/>
    <w:rsid w:val="00C108B1"/>
    <w:rsid w:val="00C12B51"/>
    <w:rsid w:val="00C24650"/>
    <w:rsid w:val="00C33079"/>
    <w:rsid w:val="00C34E7E"/>
    <w:rsid w:val="00C42605"/>
    <w:rsid w:val="00C47C39"/>
    <w:rsid w:val="00C7156D"/>
    <w:rsid w:val="00C720DF"/>
    <w:rsid w:val="00C80B6C"/>
    <w:rsid w:val="00C83A13"/>
    <w:rsid w:val="00C85D30"/>
    <w:rsid w:val="00C9068C"/>
    <w:rsid w:val="00C92967"/>
    <w:rsid w:val="00CA3D0C"/>
    <w:rsid w:val="00CA654B"/>
    <w:rsid w:val="00CD2D1C"/>
    <w:rsid w:val="00CD4C7B"/>
    <w:rsid w:val="00CF05F5"/>
    <w:rsid w:val="00D169C6"/>
    <w:rsid w:val="00D215AC"/>
    <w:rsid w:val="00D260ED"/>
    <w:rsid w:val="00D33BFA"/>
    <w:rsid w:val="00D3456F"/>
    <w:rsid w:val="00D508BB"/>
    <w:rsid w:val="00D738D6"/>
    <w:rsid w:val="00D80795"/>
    <w:rsid w:val="00D82062"/>
    <w:rsid w:val="00D854BE"/>
    <w:rsid w:val="00D8618D"/>
    <w:rsid w:val="00D87E00"/>
    <w:rsid w:val="00D9134D"/>
    <w:rsid w:val="00D96CD4"/>
    <w:rsid w:val="00D96D11"/>
    <w:rsid w:val="00DA1FE0"/>
    <w:rsid w:val="00DA3FC7"/>
    <w:rsid w:val="00DA7A03"/>
    <w:rsid w:val="00DB0262"/>
    <w:rsid w:val="00DB1818"/>
    <w:rsid w:val="00DB4500"/>
    <w:rsid w:val="00DB57EF"/>
    <w:rsid w:val="00DB661C"/>
    <w:rsid w:val="00DC309B"/>
    <w:rsid w:val="00DC4DA2"/>
    <w:rsid w:val="00DF2C9E"/>
    <w:rsid w:val="00E05E84"/>
    <w:rsid w:val="00E21B5C"/>
    <w:rsid w:val="00E23B5F"/>
    <w:rsid w:val="00E30EBB"/>
    <w:rsid w:val="00E51819"/>
    <w:rsid w:val="00E62835"/>
    <w:rsid w:val="00E67F7A"/>
    <w:rsid w:val="00E77645"/>
    <w:rsid w:val="00E825AB"/>
    <w:rsid w:val="00E83697"/>
    <w:rsid w:val="00E956AC"/>
    <w:rsid w:val="00EB01DC"/>
    <w:rsid w:val="00EC4A25"/>
    <w:rsid w:val="00ED4962"/>
    <w:rsid w:val="00EE0B68"/>
    <w:rsid w:val="00EE2A45"/>
    <w:rsid w:val="00EE472F"/>
    <w:rsid w:val="00EF11D7"/>
    <w:rsid w:val="00F00EB7"/>
    <w:rsid w:val="00F025A2"/>
    <w:rsid w:val="00F07388"/>
    <w:rsid w:val="00F2026E"/>
    <w:rsid w:val="00F2210A"/>
    <w:rsid w:val="00F22244"/>
    <w:rsid w:val="00F27EB5"/>
    <w:rsid w:val="00F30CBD"/>
    <w:rsid w:val="00F36760"/>
    <w:rsid w:val="00F37743"/>
    <w:rsid w:val="00F40B62"/>
    <w:rsid w:val="00F457BF"/>
    <w:rsid w:val="00F54A3D"/>
    <w:rsid w:val="00F54B8A"/>
    <w:rsid w:val="00F54CB0"/>
    <w:rsid w:val="00F6471A"/>
    <w:rsid w:val="00F653B8"/>
    <w:rsid w:val="00F71B89"/>
    <w:rsid w:val="00F7353C"/>
    <w:rsid w:val="00F74E95"/>
    <w:rsid w:val="00F75236"/>
    <w:rsid w:val="00F76F8F"/>
    <w:rsid w:val="00F90ECB"/>
    <w:rsid w:val="00F9102C"/>
    <w:rsid w:val="00F93C2D"/>
    <w:rsid w:val="00F96842"/>
    <w:rsid w:val="00FA1266"/>
    <w:rsid w:val="00FB36FA"/>
    <w:rsid w:val="00FB771A"/>
    <w:rsid w:val="00FC1192"/>
    <w:rsid w:val="00FC3223"/>
    <w:rsid w:val="00FC54CB"/>
    <w:rsid w:val="00FD2F72"/>
    <w:rsid w:val="00FD3CFC"/>
    <w:rsid w:val="00FD54AB"/>
    <w:rsid w:val="00FF4B18"/>
    <w:rsid w:val="00FF72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CBA91FAC-BB0C-4DB9-83C9-293D59B7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FF4B18"/>
    <w:pPr>
      <w:ind w:firstLineChars="200" w:firstLine="420"/>
    </w:pPr>
  </w:style>
  <w:style w:type="paragraph" w:styleId="BalloonText">
    <w:name w:val="Balloon Text"/>
    <w:basedOn w:val="Normal"/>
    <w:link w:val="BalloonTextChar"/>
    <w:rsid w:val="00741810"/>
    <w:pPr>
      <w:spacing w:after="0"/>
    </w:pPr>
    <w:rPr>
      <w:rFonts w:ascii="Segoe UI" w:hAnsi="Segoe UI" w:cs="Segoe UI"/>
      <w:sz w:val="18"/>
      <w:szCs w:val="18"/>
    </w:rPr>
  </w:style>
  <w:style w:type="character" w:customStyle="1" w:styleId="BalloonTextChar">
    <w:name w:val="Balloon Text Char"/>
    <w:basedOn w:val="DefaultParagraphFont"/>
    <w:link w:val="BalloonText"/>
    <w:rsid w:val="00741810"/>
    <w:rPr>
      <w:rFonts w:ascii="Segoe UI" w:hAnsi="Segoe UI" w:cs="Segoe UI"/>
      <w:sz w:val="18"/>
      <w:szCs w:val="18"/>
      <w:lang w:eastAsia="en-US"/>
    </w:rPr>
  </w:style>
  <w:style w:type="character" w:styleId="CommentReference">
    <w:name w:val="annotation reference"/>
    <w:basedOn w:val="DefaultParagraphFont"/>
    <w:rsid w:val="00741810"/>
    <w:rPr>
      <w:sz w:val="16"/>
      <w:szCs w:val="16"/>
    </w:rPr>
  </w:style>
  <w:style w:type="paragraph" w:styleId="CommentText">
    <w:name w:val="annotation text"/>
    <w:basedOn w:val="Normal"/>
    <w:link w:val="CommentTextChar"/>
    <w:rsid w:val="00741810"/>
  </w:style>
  <w:style w:type="character" w:customStyle="1" w:styleId="CommentTextChar">
    <w:name w:val="Comment Text Char"/>
    <w:basedOn w:val="DefaultParagraphFont"/>
    <w:link w:val="CommentText"/>
    <w:rsid w:val="00741810"/>
    <w:rPr>
      <w:lang w:eastAsia="en-US"/>
    </w:rPr>
  </w:style>
  <w:style w:type="paragraph" w:styleId="CommentSubject">
    <w:name w:val="annotation subject"/>
    <w:basedOn w:val="CommentText"/>
    <w:next w:val="CommentText"/>
    <w:link w:val="CommentSubjectChar"/>
    <w:rsid w:val="00741810"/>
    <w:rPr>
      <w:b/>
      <w:bCs/>
    </w:rPr>
  </w:style>
  <w:style w:type="character" w:customStyle="1" w:styleId="CommentSubjectChar">
    <w:name w:val="Comment Subject Char"/>
    <w:basedOn w:val="CommentTextChar"/>
    <w:link w:val="CommentSubject"/>
    <w:rsid w:val="00741810"/>
    <w:rPr>
      <w:b/>
      <w:bCs/>
      <w:lang w:eastAsia="en-US"/>
    </w:rPr>
  </w:style>
  <w:style w:type="paragraph" w:customStyle="1" w:styleId="Doc-text2">
    <w:name w:val="Doc-text2"/>
    <w:basedOn w:val="Normal"/>
    <w:link w:val="Doc-text2Char"/>
    <w:qFormat/>
    <w:rsid w:val="00D169C6"/>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D169C6"/>
    <w:rPr>
      <w:rFonts w:ascii="Arial" w:eastAsia="MS Mincho" w:hAnsi="Arial"/>
      <w:szCs w:val="24"/>
      <w:lang w:val="x-none"/>
    </w:rPr>
  </w:style>
  <w:style w:type="character" w:customStyle="1" w:styleId="text">
    <w:name w:val="text"/>
    <w:basedOn w:val="DefaultParagraphFont"/>
    <w:rsid w:val="0094537F"/>
  </w:style>
  <w:style w:type="character" w:customStyle="1" w:styleId="star">
    <w:name w:val="star"/>
    <w:basedOn w:val="DefaultParagraphFont"/>
    <w:rsid w:val="0094537F"/>
  </w:style>
  <w:style w:type="paragraph" w:customStyle="1" w:styleId="boldBoxedCentred">
    <w:name w:val="boldBoxedCentred"/>
    <w:basedOn w:val="Normal"/>
    <w:rsid w:val="00610D92"/>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rFonts w:eastAsia="Times New Roman"/>
      <w:b/>
      <w:noProof/>
      <w:sz w:val="28"/>
      <w:lang w:val="en-US"/>
    </w:rPr>
  </w:style>
  <w:style w:type="paragraph" w:customStyle="1" w:styleId="Reference">
    <w:name w:val="Reference"/>
    <w:basedOn w:val="Normal"/>
    <w:rsid w:val="002C52A7"/>
    <w:pPr>
      <w:numPr>
        <w:numId w:val="7"/>
      </w:numPr>
      <w:tabs>
        <w:tab w:val="left" w:pos="567"/>
      </w:tabs>
      <w:overflowPunct w:val="0"/>
      <w:autoSpaceDE w:val="0"/>
      <w:autoSpaceDN w:val="0"/>
      <w:adjustRightInd w:val="0"/>
      <w:spacing w:after="120"/>
      <w:jc w:val="both"/>
      <w:textAlignment w:val="baseline"/>
    </w:pPr>
    <w:rPr>
      <w:rFonts w:ascii="Arial" w:eastAsia="Malgun Gothic" w:hAnsi="Arial"/>
      <w:lang w:eastAsia="zh-CN"/>
    </w:rPr>
  </w:style>
  <w:style w:type="character" w:customStyle="1" w:styleId="B1Char">
    <w:name w:val="B1 Char"/>
    <w:link w:val="B1"/>
    <w:rsid w:val="005D75AA"/>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5203E"/>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5203E"/>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87480">
      <w:bodyDiv w:val="1"/>
      <w:marLeft w:val="0"/>
      <w:marRight w:val="0"/>
      <w:marTop w:val="0"/>
      <w:marBottom w:val="0"/>
      <w:divBdr>
        <w:top w:val="none" w:sz="0" w:space="0" w:color="auto"/>
        <w:left w:val="none" w:sz="0" w:space="0" w:color="auto"/>
        <w:bottom w:val="none" w:sz="0" w:space="0" w:color="auto"/>
        <w:right w:val="none" w:sz="0" w:space="0" w:color="auto"/>
      </w:divBdr>
    </w:div>
    <w:div w:id="673067298">
      <w:bodyDiv w:val="1"/>
      <w:marLeft w:val="0"/>
      <w:marRight w:val="0"/>
      <w:marTop w:val="0"/>
      <w:marBottom w:val="0"/>
      <w:divBdr>
        <w:top w:val="none" w:sz="0" w:space="0" w:color="auto"/>
        <w:left w:val="none" w:sz="0" w:space="0" w:color="auto"/>
        <w:bottom w:val="none" w:sz="0" w:space="0" w:color="auto"/>
        <w:right w:val="none" w:sz="0" w:space="0" w:color="auto"/>
      </w:divBdr>
    </w:div>
    <w:div w:id="695279526">
      <w:bodyDiv w:val="1"/>
      <w:marLeft w:val="0"/>
      <w:marRight w:val="0"/>
      <w:marTop w:val="0"/>
      <w:marBottom w:val="0"/>
      <w:divBdr>
        <w:top w:val="none" w:sz="0" w:space="0" w:color="auto"/>
        <w:left w:val="none" w:sz="0" w:space="0" w:color="auto"/>
        <w:bottom w:val="none" w:sz="0" w:space="0" w:color="auto"/>
        <w:right w:val="none" w:sz="0" w:space="0" w:color="auto"/>
      </w:divBdr>
    </w:div>
    <w:div w:id="834222763">
      <w:bodyDiv w:val="1"/>
      <w:marLeft w:val="0"/>
      <w:marRight w:val="0"/>
      <w:marTop w:val="0"/>
      <w:marBottom w:val="0"/>
      <w:divBdr>
        <w:top w:val="none" w:sz="0" w:space="0" w:color="auto"/>
        <w:left w:val="none" w:sz="0" w:space="0" w:color="auto"/>
        <w:bottom w:val="none" w:sz="0" w:space="0" w:color="auto"/>
        <w:right w:val="none" w:sz="0" w:space="0" w:color="auto"/>
      </w:divBdr>
    </w:div>
    <w:div w:id="861364026">
      <w:bodyDiv w:val="1"/>
      <w:marLeft w:val="0"/>
      <w:marRight w:val="0"/>
      <w:marTop w:val="0"/>
      <w:marBottom w:val="0"/>
      <w:divBdr>
        <w:top w:val="none" w:sz="0" w:space="0" w:color="auto"/>
        <w:left w:val="none" w:sz="0" w:space="0" w:color="auto"/>
        <w:bottom w:val="none" w:sz="0" w:space="0" w:color="auto"/>
        <w:right w:val="none" w:sz="0" w:space="0" w:color="auto"/>
      </w:divBdr>
    </w:div>
    <w:div w:id="1007827973">
      <w:bodyDiv w:val="1"/>
      <w:marLeft w:val="0"/>
      <w:marRight w:val="0"/>
      <w:marTop w:val="0"/>
      <w:marBottom w:val="0"/>
      <w:divBdr>
        <w:top w:val="none" w:sz="0" w:space="0" w:color="auto"/>
        <w:left w:val="none" w:sz="0" w:space="0" w:color="auto"/>
        <w:bottom w:val="none" w:sz="0" w:space="0" w:color="auto"/>
        <w:right w:val="none" w:sz="0" w:space="0" w:color="auto"/>
      </w:divBdr>
      <w:divsChild>
        <w:div w:id="499006253">
          <w:marLeft w:val="1166"/>
          <w:marRight w:val="0"/>
          <w:marTop w:val="86"/>
          <w:marBottom w:val="0"/>
          <w:divBdr>
            <w:top w:val="none" w:sz="0" w:space="0" w:color="auto"/>
            <w:left w:val="none" w:sz="0" w:space="0" w:color="auto"/>
            <w:bottom w:val="none" w:sz="0" w:space="0" w:color="auto"/>
            <w:right w:val="none" w:sz="0" w:space="0" w:color="auto"/>
          </w:divBdr>
        </w:div>
      </w:divsChild>
    </w:div>
    <w:div w:id="1667661179">
      <w:bodyDiv w:val="1"/>
      <w:marLeft w:val="0"/>
      <w:marRight w:val="0"/>
      <w:marTop w:val="0"/>
      <w:marBottom w:val="0"/>
      <w:divBdr>
        <w:top w:val="none" w:sz="0" w:space="0" w:color="auto"/>
        <w:left w:val="none" w:sz="0" w:space="0" w:color="auto"/>
        <w:bottom w:val="none" w:sz="0" w:space="0" w:color="auto"/>
        <w:right w:val="none" w:sz="0" w:space="0" w:color="auto"/>
      </w:divBdr>
      <w:divsChild>
        <w:div w:id="1524704601">
          <w:marLeft w:val="1166"/>
          <w:marRight w:val="0"/>
          <w:marTop w:val="86"/>
          <w:marBottom w:val="0"/>
          <w:divBdr>
            <w:top w:val="none" w:sz="0" w:space="0" w:color="auto"/>
            <w:left w:val="none" w:sz="0" w:space="0" w:color="auto"/>
            <w:bottom w:val="none" w:sz="0" w:space="0" w:color="auto"/>
            <w:right w:val="none" w:sz="0" w:space="0" w:color="auto"/>
          </w:divBdr>
        </w:div>
      </w:divsChild>
    </w:div>
    <w:div w:id="1888029672">
      <w:bodyDiv w:val="1"/>
      <w:marLeft w:val="0"/>
      <w:marRight w:val="0"/>
      <w:marTop w:val="0"/>
      <w:marBottom w:val="0"/>
      <w:divBdr>
        <w:top w:val="none" w:sz="0" w:space="0" w:color="auto"/>
        <w:left w:val="none" w:sz="0" w:space="0" w:color="auto"/>
        <w:bottom w:val="none" w:sz="0" w:space="0" w:color="auto"/>
        <w:right w:val="none" w:sz="0" w:space="0" w:color="auto"/>
      </w:divBdr>
      <w:divsChild>
        <w:div w:id="545987032">
          <w:marLeft w:val="1166"/>
          <w:marRight w:val="0"/>
          <w:marTop w:val="86"/>
          <w:marBottom w:val="0"/>
          <w:divBdr>
            <w:top w:val="none" w:sz="0" w:space="0" w:color="auto"/>
            <w:left w:val="none" w:sz="0" w:space="0" w:color="auto"/>
            <w:bottom w:val="none" w:sz="0" w:space="0" w:color="auto"/>
            <w:right w:val="none" w:sz="0" w:space="0" w:color="auto"/>
          </w:divBdr>
        </w:div>
      </w:divsChild>
    </w:div>
    <w:div w:id="2082411487">
      <w:bodyDiv w:val="1"/>
      <w:marLeft w:val="0"/>
      <w:marRight w:val="0"/>
      <w:marTop w:val="0"/>
      <w:marBottom w:val="0"/>
      <w:divBdr>
        <w:top w:val="none" w:sz="0" w:space="0" w:color="auto"/>
        <w:left w:val="none" w:sz="0" w:space="0" w:color="auto"/>
        <w:bottom w:val="none" w:sz="0" w:space="0" w:color="auto"/>
        <w:right w:val="none" w:sz="0" w:space="0" w:color="auto"/>
      </w:divBdr>
      <w:divsChild>
        <w:div w:id="2048142241">
          <w:marLeft w:val="446"/>
          <w:marRight w:val="0"/>
          <w:marTop w:val="134"/>
          <w:marBottom w:val="34"/>
          <w:divBdr>
            <w:top w:val="none" w:sz="0" w:space="0" w:color="auto"/>
            <w:left w:val="none" w:sz="0" w:space="0" w:color="auto"/>
            <w:bottom w:val="none" w:sz="0" w:space="0" w:color="auto"/>
            <w:right w:val="none" w:sz="0" w:space="0" w:color="auto"/>
          </w:divBdr>
        </w:div>
        <w:div w:id="1405645801">
          <w:marLeft w:val="446"/>
          <w:marRight w:val="0"/>
          <w:marTop w:val="134"/>
          <w:marBottom w:val="34"/>
          <w:divBdr>
            <w:top w:val="none" w:sz="0" w:space="0" w:color="auto"/>
            <w:left w:val="none" w:sz="0" w:space="0" w:color="auto"/>
            <w:bottom w:val="none" w:sz="0" w:space="0" w:color="auto"/>
            <w:right w:val="none" w:sz="0" w:space="0" w:color="auto"/>
          </w:divBdr>
        </w:div>
        <w:div w:id="1825586273">
          <w:marLeft w:val="446"/>
          <w:marRight w:val="0"/>
          <w:marTop w:val="134"/>
          <w:marBottom w:val="34"/>
          <w:divBdr>
            <w:top w:val="none" w:sz="0" w:space="0" w:color="auto"/>
            <w:left w:val="none" w:sz="0" w:space="0" w:color="auto"/>
            <w:bottom w:val="none" w:sz="0" w:space="0" w:color="auto"/>
            <w:right w:val="none" w:sz="0" w:space="0" w:color="auto"/>
          </w:divBdr>
        </w:div>
        <w:div w:id="908685717">
          <w:marLeft w:val="446"/>
          <w:marRight w:val="0"/>
          <w:marTop w:val="134"/>
          <w:marBottom w:val="34"/>
          <w:divBdr>
            <w:top w:val="none" w:sz="0" w:space="0" w:color="auto"/>
            <w:left w:val="none" w:sz="0" w:space="0" w:color="auto"/>
            <w:bottom w:val="none" w:sz="0" w:space="0" w:color="auto"/>
            <w:right w:val="none" w:sz="0" w:space="0" w:color="auto"/>
          </w:divBdr>
        </w:div>
        <w:div w:id="2056194741">
          <w:marLeft w:val="446"/>
          <w:marRight w:val="0"/>
          <w:marTop w:val="134"/>
          <w:marBottom w:val="34"/>
          <w:divBdr>
            <w:top w:val="none" w:sz="0" w:space="0" w:color="auto"/>
            <w:left w:val="none" w:sz="0" w:space="0" w:color="auto"/>
            <w:bottom w:val="none" w:sz="0" w:space="0" w:color="auto"/>
            <w:right w:val="none" w:sz="0" w:space="0" w:color="auto"/>
          </w:divBdr>
        </w:div>
        <w:div w:id="347485887">
          <w:marLeft w:val="446"/>
          <w:marRight w:val="0"/>
          <w:marTop w:val="134"/>
          <w:marBottom w:val="34"/>
          <w:divBdr>
            <w:top w:val="none" w:sz="0" w:space="0" w:color="auto"/>
            <w:left w:val="none" w:sz="0" w:space="0" w:color="auto"/>
            <w:bottom w:val="none" w:sz="0" w:space="0" w:color="auto"/>
            <w:right w:val="none" w:sz="0" w:space="0" w:color="auto"/>
          </w:divBdr>
        </w:div>
        <w:div w:id="1271814734">
          <w:marLeft w:val="446"/>
          <w:marRight w:val="0"/>
          <w:marTop w:val="134"/>
          <w:marBottom w:val="34"/>
          <w:divBdr>
            <w:top w:val="none" w:sz="0" w:space="0" w:color="auto"/>
            <w:left w:val="none" w:sz="0" w:space="0" w:color="auto"/>
            <w:bottom w:val="none" w:sz="0" w:space="0" w:color="auto"/>
            <w:right w:val="none" w:sz="0" w:space="0" w:color="auto"/>
          </w:divBdr>
        </w:div>
        <w:div w:id="1715232451">
          <w:marLeft w:val="446"/>
          <w:marRight w:val="0"/>
          <w:marTop w:val="134"/>
          <w:marBottom w:val="34"/>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9AA97-8E0F-4A8B-8584-C622F20B3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1185</TotalTime>
  <Pages>3</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ITRI</Company>
  <LinksUpToDate>false</LinksUpToDate>
  <CharactersWithSpaces>6511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Samer Talat</dc:creator>
  <cp:lastModifiedBy>ITRI</cp:lastModifiedBy>
  <cp:revision>35</cp:revision>
  <dcterms:created xsi:type="dcterms:W3CDTF">2018-04-11T02:04:00Z</dcterms:created>
  <dcterms:modified xsi:type="dcterms:W3CDTF">2018-05-11T01:13:00Z</dcterms:modified>
</cp:coreProperties>
</file>