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053B" w14:textId="2530D14C" w:rsidR="0082225A" w:rsidRDefault="0082225A" w:rsidP="0082225A">
      <w:pPr>
        <w:pStyle w:val="CRCoverPage"/>
        <w:outlineLvl w:val="0"/>
        <w:rPr>
          <w:b/>
          <w:sz w:val="24"/>
          <w:szCs w:val="24"/>
          <w:lang w:eastAsia="zh-CN"/>
        </w:rPr>
      </w:pPr>
      <w:r>
        <w:rPr>
          <w:rFonts w:cs="Arial"/>
          <w:b/>
          <w:sz w:val="24"/>
        </w:rPr>
        <w:t xml:space="preserve">3GPP TSG RAN WG2 Meeting #102         </w:t>
      </w:r>
      <w:r>
        <w:rPr>
          <w:rFonts w:cs="Arial"/>
          <w:b/>
          <w:sz w:val="24"/>
        </w:rPr>
        <w:tab/>
      </w:r>
      <w:r>
        <w:rPr>
          <w:rFonts w:cs="Arial"/>
          <w:b/>
          <w:sz w:val="24"/>
        </w:rPr>
        <w:tab/>
      </w:r>
      <w:r>
        <w:rPr>
          <w:rFonts w:cs="Arial"/>
          <w:b/>
          <w:sz w:val="24"/>
        </w:rPr>
        <w:tab/>
        <w:t xml:space="preserve">             </w:t>
      </w:r>
      <w:r>
        <w:rPr>
          <w:rFonts w:cs="Arial"/>
          <w:b/>
          <w:sz w:val="24"/>
        </w:rPr>
        <w:tab/>
        <w:t xml:space="preserve"> R2-180</w:t>
      </w:r>
      <w:r w:rsidR="00E7529A">
        <w:rPr>
          <w:rFonts w:cs="Arial"/>
          <w:b/>
          <w:sz w:val="24"/>
        </w:rPr>
        <w:t>7641</w:t>
      </w:r>
      <w:bookmarkStart w:id="0" w:name="_GoBack"/>
      <w:bookmarkEnd w:id="0"/>
      <w:r>
        <w:rPr>
          <w:rFonts w:cs="Arial"/>
          <w:b/>
          <w:sz w:val="24"/>
        </w:rPr>
        <w:br/>
      </w:r>
      <w:r>
        <w:rPr>
          <w:b/>
          <w:sz w:val="24"/>
          <w:szCs w:val="24"/>
          <w:lang w:eastAsia="zh-CN"/>
        </w:rPr>
        <w:t>Busan, Korea, 21</w:t>
      </w:r>
      <w:r w:rsidRPr="005A11DE">
        <w:rPr>
          <w:b/>
          <w:sz w:val="24"/>
          <w:szCs w:val="24"/>
          <w:vertAlign w:val="superscript"/>
          <w:lang w:eastAsia="zh-CN"/>
        </w:rPr>
        <w:t>st</w:t>
      </w:r>
      <w:r>
        <w:rPr>
          <w:b/>
          <w:sz w:val="24"/>
          <w:szCs w:val="24"/>
          <w:lang w:eastAsia="zh-CN"/>
        </w:rPr>
        <w:t xml:space="preserve"> - 25</w:t>
      </w:r>
      <w:r>
        <w:rPr>
          <w:b/>
          <w:sz w:val="24"/>
          <w:szCs w:val="24"/>
          <w:vertAlign w:val="superscript"/>
          <w:lang w:eastAsia="zh-CN"/>
        </w:rPr>
        <w:t>th</w:t>
      </w:r>
      <w:r>
        <w:rPr>
          <w:b/>
          <w:sz w:val="24"/>
          <w:szCs w:val="24"/>
          <w:lang w:eastAsia="zh-CN"/>
        </w:rPr>
        <w:t xml:space="preserve"> May 2018</w:t>
      </w:r>
    </w:p>
    <w:p w14:paraId="4724D458" w14:textId="64AD7D35" w:rsidR="00900EC5" w:rsidRPr="007730BD" w:rsidRDefault="00900EC5" w:rsidP="00900EC5">
      <w:pPr>
        <w:pStyle w:val="3GPPHeader"/>
        <w:rPr>
          <w:sz w:val="22"/>
          <w:szCs w:val="22"/>
          <w:lang w:val="sv-SE"/>
        </w:rPr>
      </w:pPr>
      <w:r w:rsidRPr="007730BD">
        <w:rPr>
          <w:sz w:val="22"/>
          <w:szCs w:val="22"/>
          <w:lang w:val="sv-SE"/>
        </w:rPr>
        <w:t>Agenda Item:</w:t>
      </w:r>
      <w:r w:rsidRPr="007730BD">
        <w:rPr>
          <w:sz w:val="22"/>
          <w:szCs w:val="22"/>
          <w:lang w:val="sv-SE"/>
        </w:rPr>
        <w:tab/>
      </w:r>
      <w:r w:rsidR="001248D6">
        <w:rPr>
          <w:sz w:val="22"/>
          <w:szCs w:val="22"/>
          <w:lang w:val="sv-SE"/>
        </w:rPr>
        <w:t>6</w:t>
      </w:r>
    </w:p>
    <w:p w14:paraId="6AF30FE7" w14:textId="00DEC8D6" w:rsidR="00900EC5" w:rsidRPr="00CE0424" w:rsidRDefault="00900EC5" w:rsidP="00900EC5">
      <w:pPr>
        <w:pStyle w:val="3GPPHeader"/>
        <w:rPr>
          <w:sz w:val="22"/>
          <w:szCs w:val="22"/>
        </w:rPr>
      </w:pPr>
      <w:r>
        <w:rPr>
          <w:sz w:val="22"/>
          <w:szCs w:val="22"/>
        </w:rPr>
        <w:t>Source:</w:t>
      </w:r>
      <w:r w:rsidRPr="00CE0424">
        <w:rPr>
          <w:sz w:val="22"/>
          <w:szCs w:val="22"/>
        </w:rPr>
        <w:tab/>
      </w:r>
      <w:r w:rsidR="00873BAD">
        <w:rPr>
          <w:noProof/>
        </w:rPr>
        <w:t>Qualcomm Incorporated</w:t>
      </w:r>
    </w:p>
    <w:p w14:paraId="09B60C41" w14:textId="6085E3ED" w:rsidR="00900EC5" w:rsidRPr="00CE0424" w:rsidRDefault="00C60B88" w:rsidP="00900EC5">
      <w:pPr>
        <w:pStyle w:val="3GPPHeader"/>
        <w:rPr>
          <w:sz w:val="22"/>
          <w:szCs w:val="22"/>
        </w:rPr>
      </w:pPr>
      <w:r>
        <w:rPr>
          <w:sz w:val="22"/>
          <w:szCs w:val="22"/>
        </w:rPr>
        <w:t>Title: Clarification</w:t>
      </w:r>
      <w:r w:rsidR="00881001">
        <w:rPr>
          <w:sz w:val="22"/>
          <w:szCs w:val="22"/>
        </w:rPr>
        <w:t xml:space="preserve"> on</w:t>
      </w:r>
      <w:r w:rsidR="001554FC">
        <w:rPr>
          <w:sz w:val="22"/>
          <w:szCs w:val="22"/>
        </w:rPr>
        <w:t xml:space="preserve"> </w:t>
      </w:r>
      <w:r w:rsidR="005B6026">
        <w:rPr>
          <w:sz w:val="22"/>
          <w:szCs w:val="22"/>
        </w:rPr>
        <w:t xml:space="preserve">removal of </w:t>
      </w:r>
      <w:r w:rsidR="00AD3B44" w:rsidRPr="00CC7909">
        <w:t>intra-band non-contiguous CA band combinations</w:t>
      </w:r>
    </w:p>
    <w:p w14:paraId="2800CC7E" w14:textId="77777777" w:rsidR="00900EC5" w:rsidRPr="00CE0424" w:rsidRDefault="00900EC5" w:rsidP="00900EC5">
      <w:pPr>
        <w:pStyle w:val="3GPPHeader"/>
      </w:pPr>
      <w:r w:rsidRPr="00CE0424">
        <w:rPr>
          <w:sz w:val="22"/>
          <w:szCs w:val="22"/>
        </w:rPr>
        <w:t>Document for:</w:t>
      </w:r>
      <w:r w:rsidRPr="00CE0424">
        <w:rPr>
          <w:sz w:val="22"/>
          <w:szCs w:val="22"/>
        </w:rPr>
        <w:tab/>
      </w:r>
      <w:r w:rsidRPr="001B5E8E">
        <w:rPr>
          <w:sz w:val="22"/>
          <w:szCs w:val="22"/>
        </w:rPr>
        <w:t>Discussion, Decision</w:t>
      </w:r>
    </w:p>
    <w:p w14:paraId="41B1BE10" w14:textId="34A00B59" w:rsidR="00900EC5" w:rsidRDefault="005B6026" w:rsidP="00900EC5">
      <w:pPr>
        <w:pStyle w:val="Heading1"/>
      </w:pPr>
      <w:r>
        <w:t>Problem Description</w:t>
      </w:r>
    </w:p>
    <w:p w14:paraId="6B2CD785" w14:textId="77777777" w:rsidR="005B6026" w:rsidRDefault="0095670D" w:rsidP="00593A8A">
      <w:pPr>
        <w:rPr>
          <w:lang w:val="en-GB"/>
        </w:rPr>
      </w:pPr>
      <w:r w:rsidRPr="0095670D">
        <w:rPr>
          <w:rFonts w:ascii="Calibri" w:eastAsia="MS Mincho" w:hAnsi="Calibri" w:cs="Calibri"/>
          <w:szCs w:val="24"/>
          <w:lang w:val="en-GB" w:eastAsia="en-GB"/>
        </w:rPr>
        <w:t xml:space="preserve">Specification </w:t>
      </w:r>
      <w:r>
        <w:rPr>
          <w:rFonts w:ascii="Calibri" w:eastAsia="MS Mincho" w:hAnsi="Calibri" w:cs="Calibri"/>
          <w:szCs w:val="24"/>
          <w:lang w:val="en-GB" w:eastAsia="en-GB"/>
        </w:rPr>
        <w:t>36.306 captures UE</w:t>
      </w:r>
      <w:r w:rsidR="00B674A8">
        <w:rPr>
          <w:rFonts w:ascii="Calibri" w:eastAsia="MS Mincho" w:hAnsi="Calibri" w:cs="Calibri"/>
          <w:szCs w:val="24"/>
          <w:lang w:val="en-GB" w:eastAsia="en-GB"/>
        </w:rPr>
        <w:t>s</w:t>
      </w:r>
      <w:r>
        <w:rPr>
          <w:rFonts w:ascii="Calibri" w:eastAsia="MS Mincho" w:hAnsi="Calibri" w:cs="Calibri"/>
          <w:szCs w:val="24"/>
          <w:lang w:val="en-GB" w:eastAsia="en-GB"/>
        </w:rPr>
        <w:t xml:space="preserve"> </w:t>
      </w:r>
      <w:r w:rsidR="00B674A8">
        <w:rPr>
          <w:rFonts w:ascii="Calibri" w:eastAsia="MS Mincho" w:hAnsi="Calibri" w:cs="Calibri"/>
          <w:szCs w:val="24"/>
          <w:lang w:val="en-GB" w:eastAsia="en-GB"/>
        </w:rPr>
        <w:t xml:space="preserve">supporting </w:t>
      </w:r>
      <w:proofErr w:type="spellStart"/>
      <w:r w:rsidR="00B674A8" w:rsidRPr="00B674A8">
        <w:rPr>
          <w:rFonts w:ascii="Calibri" w:eastAsia="MS Mincho" w:hAnsi="Calibri" w:cs="Calibri"/>
          <w:i/>
          <w:szCs w:val="24"/>
          <w:lang w:val="en-GB" w:eastAsia="en-GB"/>
        </w:rPr>
        <w:t>ReducedIntNonContComb</w:t>
      </w:r>
      <w:proofErr w:type="spellEnd"/>
      <w:r w:rsidRPr="00B674A8">
        <w:rPr>
          <w:rFonts w:ascii="Calibri" w:eastAsia="MS Mincho" w:hAnsi="Calibri" w:cs="Calibri"/>
          <w:szCs w:val="24"/>
          <w:lang w:val="en-GB" w:eastAsia="en-GB"/>
        </w:rPr>
        <w:t xml:space="preserve"> IE</w:t>
      </w:r>
      <w:r w:rsidR="00B674A8">
        <w:rPr>
          <w:rFonts w:ascii="Times New Roman" w:eastAsia="Times New Roman" w:hAnsi="Times New Roman" w:cs="Times New Roman"/>
          <w:sz w:val="20"/>
          <w:szCs w:val="20"/>
          <w:lang w:val="en-GB" w:eastAsia="ja-JP"/>
        </w:rPr>
        <w:t xml:space="preserve"> will </w:t>
      </w:r>
      <w:r w:rsidR="00B674A8" w:rsidRPr="00CC7909">
        <w:rPr>
          <w:lang w:val="en-GB"/>
        </w:rPr>
        <w:t>remove from the list of candidates the intra-band non-contiguous CA band combinations which support is implied by another intra-band non-contiguous CA band combination included in the list of candidates</w:t>
      </w:r>
      <w:r w:rsidR="00B674A8">
        <w:rPr>
          <w:lang w:val="en-GB"/>
        </w:rPr>
        <w:t>.</w:t>
      </w:r>
      <w:r w:rsidR="00B674A8" w:rsidRPr="00CC7909">
        <w:rPr>
          <w:lang w:val="en-GB"/>
        </w:rPr>
        <w:t xml:space="preserve"> </w:t>
      </w:r>
    </w:p>
    <w:p w14:paraId="53B6E40B" w14:textId="77777777" w:rsidR="005B6026" w:rsidRDefault="005B6026" w:rsidP="005B6026">
      <w:pPr>
        <w:pStyle w:val="Heading4"/>
        <w:numPr>
          <w:ilvl w:val="0"/>
          <w:numId w:val="0"/>
        </w:numPr>
        <w:ind w:left="864" w:hanging="864"/>
      </w:pPr>
      <w:bookmarkStart w:id="1" w:name="_Toc503212517"/>
    </w:p>
    <w:p w14:paraId="522CC5AB" w14:textId="4954C282" w:rsidR="005B6026" w:rsidRPr="00C9653B" w:rsidRDefault="005B6026" w:rsidP="005B6026">
      <w:pPr>
        <w:pStyle w:val="Heading4"/>
        <w:numPr>
          <w:ilvl w:val="0"/>
          <w:numId w:val="0"/>
        </w:numPr>
        <w:ind w:left="1584" w:hanging="864"/>
      </w:pPr>
      <w:r w:rsidRPr="00C9653B">
        <w:t>4.3.5.21</w:t>
      </w:r>
      <w:r w:rsidRPr="00C9653B">
        <w:tab/>
      </w:r>
      <w:r w:rsidRPr="00C9653B">
        <w:rPr>
          <w:i/>
        </w:rPr>
        <w:t>reducedIntNonContComb-r13</w:t>
      </w:r>
      <w:bookmarkEnd w:id="1"/>
    </w:p>
    <w:p w14:paraId="1AA8117B" w14:textId="77777777" w:rsidR="005B6026" w:rsidRPr="0095670D" w:rsidRDefault="005B6026" w:rsidP="005B6026">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ja-JP"/>
        </w:rPr>
      </w:pPr>
      <w:r w:rsidRPr="0095670D">
        <w:rPr>
          <w:rFonts w:ascii="Times New Roman" w:eastAsia="Times New Roman" w:hAnsi="Times New Roman" w:cs="Times New Roman"/>
          <w:sz w:val="20"/>
          <w:szCs w:val="20"/>
          <w:lang w:val="en-GB" w:eastAsia="ja-JP"/>
        </w:rPr>
        <w:t xml:space="preserve">This field defines whether the UE supports receiving </w:t>
      </w:r>
      <w:proofErr w:type="spellStart"/>
      <w:r w:rsidRPr="0095670D">
        <w:rPr>
          <w:rFonts w:ascii="Times New Roman" w:eastAsia="Times New Roman" w:hAnsi="Times New Roman" w:cs="Times New Roman"/>
          <w:i/>
          <w:sz w:val="20"/>
          <w:szCs w:val="20"/>
          <w:lang w:val="en-GB" w:eastAsia="ja-JP"/>
        </w:rPr>
        <w:t>requestReducedIntNonContComb</w:t>
      </w:r>
      <w:proofErr w:type="spellEnd"/>
      <w:r w:rsidRPr="0095670D">
        <w:rPr>
          <w:rFonts w:ascii="Times New Roman" w:eastAsia="Times New Roman" w:hAnsi="Times New Roman" w:cs="Times New Roman"/>
          <w:sz w:val="20"/>
          <w:szCs w:val="20"/>
          <w:lang w:val="en-GB" w:eastAsia="ja-JP"/>
        </w:rPr>
        <w:t xml:space="preserve">. If the UE supports </w:t>
      </w:r>
      <w:r w:rsidRPr="0095670D">
        <w:rPr>
          <w:rFonts w:ascii="Times New Roman" w:eastAsia="Times New Roman" w:hAnsi="Times New Roman" w:cs="Times New Roman"/>
          <w:i/>
          <w:sz w:val="20"/>
          <w:szCs w:val="20"/>
          <w:lang w:val="en-GB" w:eastAsia="ja-JP"/>
        </w:rPr>
        <w:t>reducedIntNonContComb-r13,</w:t>
      </w:r>
      <w:r w:rsidRPr="0095670D">
        <w:rPr>
          <w:rFonts w:ascii="Times New Roman" w:eastAsia="Times New Roman" w:hAnsi="Times New Roman" w:cs="Times New Roman"/>
          <w:sz w:val="20"/>
          <w:szCs w:val="20"/>
          <w:lang w:val="en-GB" w:eastAsia="ja-JP"/>
        </w:rPr>
        <w:t xml:space="preserve"> the UE only includes one intra-band non-contiguous CA band </w:t>
      </w:r>
      <w:proofErr w:type="gramStart"/>
      <w:r w:rsidRPr="0095670D">
        <w:rPr>
          <w:rFonts w:ascii="Times New Roman" w:eastAsia="Times New Roman" w:hAnsi="Times New Roman" w:cs="Times New Roman"/>
          <w:sz w:val="20"/>
          <w:szCs w:val="20"/>
          <w:lang w:val="en-GB" w:eastAsia="ja-JP"/>
        </w:rPr>
        <w:t>combination, and</w:t>
      </w:r>
      <w:proofErr w:type="gramEnd"/>
      <w:r w:rsidRPr="0095670D">
        <w:rPr>
          <w:rFonts w:ascii="Times New Roman" w:eastAsia="Times New Roman" w:hAnsi="Times New Roman" w:cs="Times New Roman"/>
          <w:sz w:val="20"/>
          <w:szCs w:val="20"/>
          <w:lang w:val="en-GB" w:eastAsia="ja-JP"/>
        </w:rPr>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3CB365CA" w14:textId="77777777" w:rsidR="005B6026" w:rsidRPr="0095670D" w:rsidRDefault="005B6026" w:rsidP="005B6026">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ja-JP"/>
        </w:rPr>
      </w:pPr>
      <w:r w:rsidRPr="0095670D">
        <w:rPr>
          <w:rFonts w:ascii="Times New Roman" w:eastAsia="Times New Roman" w:hAnsi="Times New Roman" w:cs="Times New Roman"/>
          <w:sz w:val="20"/>
          <w:szCs w:val="20"/>
          <w:lang w:val="en-GB" w:eastAsia="ja-JP"/>
        </w:rPr>
        <w:t xml:space="preserve">For example, if the UE supports </w:t>
      </w:r>
      <w:r w:rsidRPr="0095670D">
        <w:rPr>
          <w:rFonts w:ascii="Times New Roman" w:eastAsia="Times New Roman" w:hAnsi="Times New Roman" w:cs="Times New Roman"/>
          <w:i/>
          <w:sz w:val="20"/>
          <w:szCs w:val="20"/>
          <w:lang w:val="en-GB" w:eastAsia="ja-JP"/>
        </w:rPr>
        <w:t>reducedIntNonContComb-r13,</w:t>
      </w:r>
      <w:r w:rsidRPr="0095670D">
        <w:rPr>
          <w:rFonts w:ascii="Times New Roman" w:eastAsia="Times New Roman" w:hAnsi="Times New Roman" w:cs="Times New Roman"/>
          <w:sz w:val="20"/>
          <w:szCs w:val="20"/>
          <w:lang w:val="en-GB" w:eastAsia="ja-JP"/>
        </w:rPr>
        <w:t xml:space="preserve"> the UE only needs to report "DL: CA_42C-42A, UL: 42A paired with DL 42C", </w:t>
      </w:r>
      <w:proofErr w:type="gramStart"/>
      <w:r w:rsidRPr="0095670D">
        <w:rPr>
          <w:rFonts w:ascii="Times New Roman" w:eastAsia="Times New Roman" w:hAnsi="Times New Roman" w:cs="Times New Roman"/>
          <w:sz w:val="20"/>
          <w:szCs w:val="20"/>
          <w:lang w:val="en-GB" w:eastAsia="ja-JP"/>
        </w:rPr>
        <w:t>in order to</w:t>
      </w:r>
      <w:proofErr w:type="gramEnd"/>
      <w:r w:rsidRPr="0095670D">
        <w:rPr>
          <w:rFonts w:ascii="Times New Roman" w:eastAsia="Times New Roman" w:hAnsi="Times New Roman" w:cs="Times New Roman"/>
          <w:sz w:val="20"/>
          <w:szCs w:val="20"/>
          <w:lang w:val="en-GB" w:eastAsia="ja-JP"/>
        </w:rPr>
        <w:t xml:space="preserve"> indicate also support of "DL: CA_42C-42A, UL: 42A paired with DL 42A", "DL: CA_42A-42C, UL: 42A paired with DL 42A" and "DL: CA_42A-42C, UL: 42A paired with DL 42C".</w:t>
      </w:r>
    </w:p>
    <w:p w14:paraId="76EF7F9B" w14:textId="77777777" w:rsidR="005B6026" w:rsidRDefault="005B6026" w:rsidP="00593A8A">
      <w:pPr>
        <w:rPr>
          <w:lang w:val="en-GB"/>
        </w:rPr>
      </w:pPr>
    </w:p>
    <w:p w14:paraId="625018C5" w14:textId="4F160CBF" w:rsidR="00394200" w:rsidRPr="008A2B30" w:rsidRDefault="00B674A8" w:rsidP="00593A8A">
      <w:pPr>
        <w:rPr>
          <w:rFonts w:ascii="Calibri" w:eastAsia="MS Mincho" w:hAnsi="Calibri" w:cs="Calibri"/>
          <w:szCs w:val="24"/>
          <w:lang w:val="en-GB" w:eastAsia="en-GB"/>
        </w:rPr>
      </w:pPr>
      <w:r w:rsidRPr="008A2B30">
        <w:rPr>
          <w:rFonts w:ascii="Calibri" w:eastAsia="MS Mincho" w:hAnsi="Calibri" w:cs="Calibri"/>
          <w:szCs w:val="24"/>
          <w:lang w:val="en-GB" w:eastAsia="en-GB"/>
        </w:rPr>
        <w:t xml:space="preserve">Specification however doesn’t clarify </w:t>
      </w:r>
      <w:r w:rsidR="00394200" w:rsidRPr="008A2B30">
        <w:rPr>
          <w:rFonts w:ascii="Calibri" w:eastAsia="MS Mincho" w:hAnsi="Calibri" w:cs="Calibri"/>
          <w:szCs w:val="24"/>
          <w:lang w:val="en-GB" w:eastAsia="en-GB"/>
        </w:rPr>
        <w:t xml:space="preserve">if the intra-band non-contiguous CA band </w:t>
      </w:r>
      <w:r w:rsidR="005B6026" w:rsidRPr="008A2B30">
        <w:rPr>
          <w:rFonts w:ascii="Calibri" w:eastAsia="MS Mincho" w:hAnsi="Calibri" w:cs="Calibri"/>
          <w:szCs w:val="24"/>
          <w:lang w:val="en-GB" w:eastAsia="en-GB"/>
        </w:rPr>
        <w:t>combinations</w:t>
      </w:r>
      <w:r w:rsidR="00394200" w:rsidRPr="008A2B30">
        <w:rPr>
          <w:rFonts w:ascii="Calibri" w:eastAsia="MS Mincho" w:hAnsi="Calibri" w:cs="Calibri"/>
          <w:szCs w:val="24"/>
          <w:lang w:val="en-GB" w:eastAsia="en-GB"/>
        </w:rPr>
        <w:t xml:space="preserve"> from </w:t>
      </w:r>
      <w:r w:rsidR="005B6026" w:rsidRPr="008A2B30">
        <w:rPr>
          <w:rFonts w:ascii="Calibri" w:eastAsia="MS Mincho" w:hAnsi="Calibri" w:cs="Calibri"/>
          <w:szCs w:val="24"/>
          <w:lang w:val="en-GB" w:eastAsia="en-GB"/>
        </w:rPr>
        <w:t xml:space="preserve">an inter-band CA combination can be removed as well.  </w:t>
      </w:r>
    </w:p>
    <w:p w14:paraId="317E28C0" w14:textId="77777777" w:rsidR="007C3C49" w:rsidRDefault="005B6026" w:rsidP="007C3C49">
      <w:pPr>
        <w:rPr>
          <w:rFonts w:ascii="Calibri" w:eastAsia="MS Mincho" w:hAnsi="Calibri" w:cs="Calibri"/>
          <w:szCs w:val="24"/>
          <w:lang w:val="en-GB" w:eastAsia="en-GB"/>
        </w:rPr>
      </w:pPr>
      <w:r w:rsidRPr="008A2B30">
        <w:rPr>
          <w:rFonts w:ascii="Calibri" w:eastAsia="MS Mincho" w:hAnsi="Calibri" w:cs="Calibri"/>
          <w:szCs w:val="24"/>
          <w:lang w:val="en-GB" w:eastAsia="en-GB"/>
        </w:rPr>
        <w:t xml:space="preserve">For example, in the below inter-band CA combinations, frequencies aggregated in band 48 will form the intra-band non-contiguous CA </w:t>
      </w:r>
      <w:r w:rsidR="00AD3B44" w:rsidRPr="008A2B30">
        <w:rPr>
          <w:rFonts w:ascii="Calibri" w:eastAsia="MS Mincho" w:hAnsi="Calibri" w:cs="Calibri"/>
          <w:szCs w:val="24"/>
          <w:lang w:val="en-GB" w:eastAsia="en-GB"/>
        </w:rPr>
        <w:t>combination and</w:t>
      </w:r>
      <w:r w:rsidRPr="008A2B30">
        <w:rPr>
          <w:rFonts w:ascii="Calibri" w:eastAsia="MS Mincho" w:hAnsi="Calibri" w:cs="Calibri"/>
          <w:szCs w:val="24"/>
          <w:lang w:val="en-GB" w:eastAsia="en-GB"/>
        </w:rPr>
        <w:t xml:space="preserve"> so can </w:t>
      </w:r>
      <w:r w:rsidR="00AD3B44" w:rsidRPr="008A2B30">
        <w:rPr>
          <w:rFonts w:ascii="Calibri" w:eastAsia="MS Mincho" w:hAnsi="Calibri" w:cs="Calibri"/>
          <w:szCs w:val="24"/>
          <w:lang w:val="en-GB" w:eastAsia="en-GB"/>
        </w:rPr>
        <w:t xml:space="preserve">be removed if the support </w:t>
      </w:r>
      <w:r w:rsidR="00716490" w:rsidRPr="008A2B30">
        <w:rPr>
          <w:rFonts w:ascii="Calibri" w:eastAsia="MS Mincho" w:hAnsi="Calibri" w:cs="Calibri"/>
          <w:szCs w:val="24"/>
          <w:lang w:val="en-GB" w:eastAsia="en-GB"/>
        </w:rPr>
        <w:t>of intra</w:t>
      </w:r>
      <w:r w:rsidR="00AD3B44" w:rsidRPr="008A2B30">
        <w:rPr>
          <w:rFonts w:ascii="Calibri" w:eastAsia="MS Mincho" w:hAnsi="Calibri" w:cs="Calibri"/>
          <w:szCs w:val="24"/>
          <w:lang w:val="en-GB" w:eastAsia="en-GB"/>
        </w:rPr>
        <w:t>-band non-contiguous CA combination is being implied by the inter-band CA band combination.</w:t>
      </w:r>
      <w:r w:rsidR="007C3C49">
        <w:rPr>
          <w:rFonts w:ascii="Calibri" w:eastAsia="MS Mincho" w:hAnsi="Calibri" w:cs="Calibri"/>
          <w:szCs w:val="24"/>
          <w:lang w:val="en-GB" w:eastAsia="en-GB"/>
        </w:rPr>
        <w:t xml:space="preserve"> </w:t>
      </w:r>
      <w:r w:rsidR="007C3C49">
        <w:rPr>
          <w:lang w:val="en-GB"/>
        </w:rPr>
        <w:t xml:space="preserve">However, as the </w:t>
      </w:r>
      <w:proofErr w:type="spellStart"/>
      <w:r w:rsidR="007C3C49" w:rsidRPr="00B674A8">
        <w:rPr>
          <w:rFonts w:ascii="Calibri" w:eastAsia="MS Mincho" w:hAnsi="Calibri" w:cs="Calibri"/>
          <w:i/>
          <w:szCs w:val="24"/>
          <w:lang w:val="en-GB" w:eastAsia="en-GB"/>
        </w:rPr>
        <w:t>ReducedIntNonContComb</w:t>
      </w:r>
      <w:proofErr w:type="spellEnd"/>
      <w:r w:rsidR="007C3C49">
        <w:rPr>
          <w:rFonts w:ascii="Calibri" w:eastAsia="MS Mincho" w:hAnsi="Calibri" w:cs="Calibri"/>
          <w:i/>
          <w:szCs w:val="24"/>
          <w:lang w:val="en-GB" w:eastAsia="en-GB"/>
        </w:rPr>
        <w:t xml:space="preserve"> field</w:t>
      </w:r>
      <w:r w:rsidR="007C3C49">
        <w:rPr>
          <w:rFonts w:ascii="Calibri" w:eastAsia="MS Mincho" w:hAnsi="Calibri" w:cs="Calibri"/>
          <w:szCs w:val="24"/>
          <w:lang w:val="en-GB" w:eastAsia="en-GB"/>
        </w:rPr>
        <w:t xml:space="preserve"> is for intra-band non-contiguous CA band combinations, no inter-band CA combination should not be applicable. </w:t>
      </w:r>
    </w:p>
    <w:p w14:paraId="6C9FED80" w14:textId="3D6032E9" w:rsidR="005B6026" w:rsidRDefault="005B6026" w:rsidP="00460031">
      <w:pPr>
        <w:ind w:left="720"/>
        <w:rPr>
          <w:lang w:eastAsia="ja-JP"/>
        </w:rPr>
      </w:pPr>
      <w:r>
        <w:rPr>
          <w:b/>
          <w:bCs/>
          <w:lang w:eastAsia="ja-JP"/>
        </w:rPr>
        <w:t>CA Combination:</w:t>
      </w:r>
    </w:p>
    <w:p w14:paraId="4E6725AF" w14:textId="77777777" w:rsidR="005B6026" w:rsidRDefault="005B6026" w:rsidP="00460031">
      <w:pPr>
        <w:ind w:left="720"/>
        <w:rPr>
          <w:lang w:eastAsia="ja-JP"/>
        </w:rPr>
      </w:pPr>
      <w:r>
        <w:rPr>
          <w:lang w:eastAsia="ja-JP"/>
        </w:rPr>
        <w:t>DL: 48C-48A-13A, UL: 48A paired with DL48C</w:t>
      </w:r>
    </w:p>
    <w:p w14:paraId="661D90D9" w14:textId="77777777" w:rsidR="005B6026" w:rsidRDefault="005B6026" w:rsidP="00460031">
      <w:pPr>
        <w:ind w:left="720"/>
        <w:rPr>
          <w:lang w:eastAsia="ja-JP"/>
        </w:rPr>
      </w:pPr>
      <w:r>
        <w:rPr>
          <w:lang w:eastAsia="ja-JP"/>
        </w:rPr>
        <w:t>DL: 48C-48A-13A, UL: 48A paired with DL48A</w:t>
      </w:r>
    </w:p>
    <w:p w14:paraId="714C2541" w14:textId="719FF2D8" w:rsidR="005C6283" w:rsidRPr="005C6283" w:rsidRDefault="007C3C49" w:rsidP="005B6026">
      <w:pPr>
        <w:rPr>
          <w:lang w:val="en-GB"/>
        </w:rPr>
      </w:pPr>
      <w:r>
        <w:rPr>
          <w:rFonts w:ascii="Calibri" w:eastAsia="MS Mincho" w:hAnsi="Calibri" w:cs="Calibri"/>
          <w:szCs w:val="24"/>
          <w:lang w:val="en-GB" w:eastAsia="en-GB"/>
        </w:rPr>
        <w:lastRenderedPageBreak/>
        <w:t>So,</w:t>
      </w:r>
      <w:r w:rsidR="00883ED9">
        <w:rPr>
          <w:rFonts w:ascii="Calibri" w:eastAsia="MS Mincho" w:hAnsi="Calibri" w:cs="Calibri"/>
          <w:szCs w:val="24"/>
          <w:lang w:val="en-GB" w:eastAsia="en-GB"/>
        </w:rPr>
        <w:t xml:space="preserve"> from the current specification, </w:t>
      </w:r>
      <w:r>
        <w:rPr>
          <w:rFonts w:ascii="Calibri" w:eastAsia="MS Mincho" w:hAnsi="Calibri" w:cs="Calibri"/>
          <w:szCs w:val="24"/>
          <w:lang w:val="en-GB" w:eastAsia="en-GB"/>
        </w:rPr>
        <w:t>it’s</w:t>
      </w:r>
      <w:r w:rsidR="00883ED9">
        <w:rPr>
          <w:rFonts w:ascii="Calibri" w:eastAsia="MS Mincho" w:hAnsi="Calibri" w:cs="Calibri"/>
          <w:szCs w:val="24"/>
          <w:lang w:val="en-GB" w:eastAsia="en-GB"/>
        </w:rPr>
        <w:t xml:space="preserve"> not clear </w:t>
      </w:r>
      <w:r w:rsidR="005C6283">
        <w:rPr>
          <w:rFonts w:ascii="Calibri" w:eastAsia="MS Mincho" w:hAnsi="Calibri" w:cs="Calibri"/>
          <w:szCs w:val="24"/>
          <w:lang w:val="en-GB" w:eastAsia="en-GB"/>
        </w:rPr>
        <w:t>if the inter-band CA band combination contain</w:t>
      </w:r>
      <w:r w:rsidR="00883ED9">
        <w:rPr>
          <w:rFonts w:ascii="Calibri" w:eastAsia="MS Mincho" w:hAnsi="Calibri" w:cs="Calibri"/>
          <w:szCs w:val="24"/>
          <w:lang w:val="en-GB" w:eastAsia="en-GB"/>
        </w:rPr>
        <w:t>ing</w:t>
      </w:r>
      <w:r w:rsidR="005C6283">
        <w:rPr>
          <w:rFonts w:ascii="Calibri" w:eastAsia="MS Mincho" w:hAnsi="Calibri" w:cs="Calibri"/>
          <w:szCs w:val="24"/>
          <w:lang w:val="en-GB" w:eastAsia="en-GB"/>
        </w:rPr>
        <w:t xml:space="preserve"> intra-band band non-contiguous CA band combination</w:t>
      </w:r>
      <w:r w:rsidR="00883ED9">
        <w:rPr>
          <w:rFonts w:ascii="Calibri" w:eastAsia="MS Mincho" w:hAnsi="Calibri" w:cs="Calibri"/>
          <w:szCs w:val="24"/>
          <w:lang w:val="en-GB" w:eastAsia="en-GB"/>
        </w:rPr>
        <w:t xml:space="preserve"> is applicable for removing </w:t>
      </w:r>
      <w:r>
        <w:rPr>
          <w:rFonts w:ascii="Calibri" w:eastAsia="MS Mincho" w:hAnsi="Calibri" w:cs="Calibri"/>
          <w:szCs w:val="24"/>
          <w:lang w:val="en-GB" w:eastAsia="en-GB"/>
        </w:rPr>
        <w:t>the intra</w:t>
      </w:r>
      <w:r w:rsidR="00883ED9" w:rsidRPr="008A2B30">
        <w:rPr>
          <w:rFonts w:ascii="Calibri" w:eastAsia="MS Mincho" w:hAnsi="Calibri" w:cs="Calibri"/>
          <w:szCs w:val="24"/>
          <w:lang w:val="en-GB" w:eastAsia="en-GB"/>
        </w:rPr>
        <w:t>-band non-contiguous CA combination</w:t>
      </w:r>
      <w:r w:rsidR="00883ED9">
        <w:rPr>
          <w:rFonts w:ascii="Calibri" w:eastAsia="MS Mincho" w:hAnsi="Calibri" w:cs="Calibri"/>
          <w:szCs w:val="24"/>
          <w:lang w:val="en-GB" w:eastAsia="en-GB"/>
        </w:rPr>
        <w:t xml:space="preserve">s implied by the </w:t>
      </w:r>
      <w:r>
        <w:rPr>
          <w:rFonts w:ascii="Calibri" w:eastAsia="MS Mincho" w:hAnsi="Calibri" w:cs="Calibri"/>
          <w:szCs w:val="24"/>
          <w:lang w:val="en-GB" w:eastAsia="en-GB"/>
        </w:rPr>
        <w:t xml:space="preserve">inter band </w:t>
      </w:r>
      <w:r w:rsidR="00883ED9">
        <w:rPr>
          <w:rFonts w:ascii="Calibri" w:eastAsia="MS Mincho" w:hAnsi="Calibri" w:cs="Calibri"/>
          <w:szCs w:val="24"/>
          <w:lang w:val="en-GB" w:eastAsia="en-GB"/>
        </w:rPr>
        <w:t>CA band combination.</w:t>
      </w:r>
    </w:p>
    <w:p w14:paraId="6694C574" w14:textId="459F86CD" w:rsidR="007C3C49" w:rsidRPr="00893078" w:rsidRDefault="007C3C49" w:rsidP="007C3C4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1: RAN2 </w:t>
      </w:r>
      <w:r>
        <w:rPr>
          <w:rFonts w:ascii="Calibri" w:eastAsia="SimSun" w:hAnsi="Calibri" w:cs="Calibri"/>
          <w:b/>
          <w:sz w:val="20"/>
          <w:szCs w:val="20"/>
          <w:lang w:eastAsia="zh-CN"/>
        </w:rPr>
        <w:t xml:space="preserve">to clarify if </w:t>
      </w:r>
      <w:proofErr w:type="spellStart"/>
      <w:r w:rsidRPr="007C3C49">
        <w:rPr>
          <w:rFonts w:ascii="Calibri" w:eastAsia="SimSun" w:hAnsi="Calibri" w:cs="Calibri"/>
          <w:b/>
          <w:i/>
          <w:sz w:val="20"/>
          <w:szCs w:val="20"/>
          <w:lang w:eastAsia="zh-CN"/>
        </w:rPr>
        <w:t>ReducedIntNonContComb</w:t>
      </w:r>
      <w:proofErr w:type="spellEnd"/>
      <w:r w:rsidRPr="007C3C49">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is applicable to an inter-band CA band combination containing intra-band non-contiguous CA band combination </w:t>
      </w:r>
      <w:proofErr w:type="spellStart"/>
      <w:r>
        <w:rPr>
          <w:rFonts w:ascii="Calibri" w:eastAsia="SimSun" w:hAnsi="Calibri" w:cs="Calibri"/>
          <w:b/>
          <w:sz w:val="20"/>
          <w:szCs w:val="20"/>
          <w:lang w:eastAsia="zh-CN"/>
        </w:rPr>
        <w:t>i.e</w:t>
      </w:r>
      <w:proofErr w:type="spellEnd"/>
      <w:r>
        <w:rPr>
          <w:rFonts w:ascii="Calibri" w:eastAsia="SimSun" w:hAnsi="Calibri" w:cs="Calibri"/>
          <w:b/>
          <w:sz w:val="20"/>
          <w:szCs w:val="20"/>
          <w:lang w:eastAsia="zh-CN"/>
        </w:rPr>
        <w:t xml:space="preserve"> CA band combination </w:t>
      </w:r>
      <w:proofErr w:type="gramStart"/>
      <w:r>
        <w:rPr>
          <w:rFonts w:ascii="Calibri" w:eastAsia="SimSun" w:hAnsi="Calibri" w:cs="Calibri"/>
          <w:b/>
          <w:sz w:val="20"/>
          <w:szCs w:val="20"/>
          <w:lang w:eastAsia="zh-CN"/>
        </w:rPr>
        <w:t>has to</w:t>
      </w:r>
      <w:proofErr w:type="gramEnd"/>
      <w:r>
        <w:rPr>
          <w:rFonts w:ascii="Calibri" w:eastAsia="SimSun" w:hAnsi="Calibri" w:cs="Calibri"/>
          <w:b/>
          <w:sz w:val="20"/>
          <w:szCs w:val="20"/>
          <w:lang w:eastAsia="zh-CN"/>
        </w:rPr>
        <w:t xml:space="preserve"> be looked in totality if it is</w:t>
      </w:r>
      <w:r w:rsidR="001672E5">
        <w:rPr>
          <w:rFonts w:ascii="Calibri" w:eastAsia="SimSun" w:hAnsi="Calibri" w:cs="Calibri"/>
          <w:b/>
          <w:sz w:val="20"/>
          <w:szCs w:val="20"/>
          <w:lang w:eastAsia="zh-CN"/>
        </w:rPr>
        <w:t xml:space="preserve"> an</w:t>
      </w:r>
      <w:r>
        <w:rPr>
          <w:rFonts w:ascii="Calibri" w:eastAsia="SimSun" w:hAnsi="Calibri" w:cs="Calibri"/>
          <w:b/>
          <w:sz w:val="20"/>
          <w:szCs w:val="20"/>
          <w:lang w:eastAsia="zh-CN"/>
        </w:rPr>
        <w:t xml:space="preserve"> </w:t>
      </w:r>
      <w:r w:rsidR="001672E5">
        <w:rPr>
          <w:rFonts w:ascii="Calibri" w:eastAsia="SimSun" w:hAnsi="Calibri" w:cs="Calibri"/>
          <w:b/>
          <w:sz w:val="20"/>
          <w:szCs w:val="20"/>
          <w:lang w:eastAsia="zh-CN"/>
        </w:rPr>
        <w:t>intra-band non-contiguous CA band combination or if partial band combination of an inter band CA combination will be applicable for removing implied intra-band non-contiguous CA band combination.</w:t>
      </w:r>
    </w:p>
    <w:p w14:paraId="4F54BE44" w14:textId="77777777" w:rsidR="006A7CC9" w:rsidRPr="00CE0424" w:rsidRDefault="006A7CC9" w:rsidP="006A7CC9">
      <w:pPr>
        <w:pStyle w:val="Heading1"/>
      </w:pPr>
      <w:r w:rsidRPr="00CE0424">
        <w:t>Conclusion</w:t>
      </w:r>
    </w:p>
    <w:p w14:paraId="0AD959C0" w14:textId="0B5B44C3" w:rsidR="006A7CC9" w:rsidRDefault="006A7CC9" w:rsidP="006A7CC9">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w:t>
      </w:r>
      <w:r w:rsidR="001672E5">
        <w:t>that RAN2 discusses the above problem and clarifies the below observation in specification.</w:t>
      </w:r>
    </w:p>
    <w:p w14:paraId="30279B39" w14:textId="77777777" w:rsidR="001672E5" w:rsidRPr="00893078" w:rsidRDefault="001672E5" w:rsidP="001672E5">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1: RAN2 </w:t>
      </w:r>
      <w:r>
        <w:rPr>
          <w:rFonts w:ascii="Calibri" w:eastAsia="SimSun" w:hAnsi="Calibri" w:cs="Calibri"/>
          <w:b/>
          <w:sz w:val="20"/>
          <w:szCs w:val="20"/>
          <w:lang w:eastAsia="zh-CN"/>
        </w:rPr>
        <w:t xml:space="preserve">to clarify if </w:t>
      </w:r>
      <w:proofErr w:type="spellStart"/>
      <w:r w:rsidRPr="007C3C49">
        <w:rPr>
          <w:rFonts w:ascii="Calibri" w:eastAsia="SimSun" w:hAnsi="Calibri" w:cs="Calibri"/>
          <w:b/>
          <w:i/>
          <w:sz w:val="20"/>
          <w:szCs w:val="20"/>
          <w:lang w:eastAsia="zh-CN"/>
        </w:rPr>
        <w:t>ReducedIntNonContComb</w:t>
      </w:r>
      <w:proofErr w:type="spellEnd"/>
      <w:r w:rsidRPr="007C3C49">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is applicable to an inter-band CA band combination containing intra-band non-contiguous CA band combination </w:t>
      </w:r>
      <w:proofErr w:type="spellStart"/>
      <w:r>
        <w:rPr>
          <w:rFonts w:ascii="Calibri" w:eastAsia="SimSun" w:hAnsi="Calibri" w:cs="Calibri"/>
          <w:b/>
          <w:sz w:val="20"/>
          <w:szCs w:val="20"/>
          <w:lang w:eastAsia="zh-CN"/>
        </w:rPr>
        <w:t>i.e</w:t>
      </w:r>
      <w:proofErr w:type="spellEnd"/>
      <w:r>
        <w:rPr>
          <w:rFonts w:ascii="Calibri" w:eastAsia="SimSun" w:hAnsi="Calibri" w:cs="Calibri"/>
          <w:b/>
          <w:sz w:val="20"/>
          <w:szCs w:val="20"/>
          <w:lang w:eastAsia="zh-CN"/>
        </w:rPr>
        <w:t xml:space="preserve"> CA band combination </w:t>
      </w:r>
      <w:proofErr w:type="gramStart"/>
      <w:r>
        <w:rPr>
          <w:rFonts w:ascii="Calibri" w:eastAsia="SimSun" w:hAnsi="Calibri" w:cs="Calibri"/>
          <w:b/>
          <w:sz w:val="20"/>
          <w:szCs w:val="20"/>
          <w:lang w:eastAsia="zh-CN"/>
        </w:rPr>
        <w:t>has to</w:t>
      </w:r>
      <w:proofErr w:type="gramEnd"/>
      <w:r>
        <w:rPr>
          <w:rFonts w:ascii="Calibri" w:eastAsia="SimSun" w:hAnsi="Calibri" w:cs="Calibri"/>
          <w:b/>
          <w:sz w:val="20"/>
          <w:szCs w:val="20"/>
          <w:lang w:eastAsia="zh-CN"/>
        </w:rPr>
        <w:t xml:space="preserve"> be looked in totality if it is an intra-band non-contiguous CA band combination or if partial band combination of an inter band CA combination will be applicable for removing implied intra-band non-contiguous CA band combination.</w:t>
      </w:r>
    </w:p>
    <w:p w14:paraId="1043D2AB" w14:textId="494F75AF"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 xml:space="preserve">Proposal </w:t>
      </w:r>
      <w:r w:rsidRPr="00793B46">
        <w:rPr>
          <w:rFonts w:ascii="Calibri" w:eastAsia="SimSun" w:hAnsi="Calibri" w:cs="Calibri"/>
          <w:b/>
          <w:sz w:val="20"/>
          <w:szCs w:val="20"/>
          <w:lang w:eastAsia="zh-CN"/>
        </w:rPr>
        <w:t>1</w:t>
      </w:r>
      <w:r w:rsidRPr="006629D1">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RAN2 to </w:t>
      </w:r>
      <w:r w:rsidR="001672E5">
        <w:rPr>
          <w:rFonts w:ascii="Calibri" w:eastAsia="SimSun" w:hAnsi="Calibri" w:cs="Calibri"/>
          <w:b/>
          <w:sz w:val="20"/>
          <w:szCs w:val="20"/>
          <w:lang w:eastAsia="zh-CN"/>
        </w:rPr>
        <w:t xml:space="preserve">confirm the understanding of </w:t>
      </w:r>
      <w:proofErr w:type="spellStart"/>
      <w:r w:rsidR="001672E5" w:rsidRPr="007C3C49">
        <w:rPr>
          <w:rFonts w:ascii="Calibri" w:eastAsia="SimSun" w:hAnsi="Calibri" w:cs="Calibri"/>
          <w:b/>
          <w:i/>
          <w:sz w:val="20"/>
          <w:szCs w:val="20"/>
          <w:lang w:eastAsia="zh-CN"/>
        </w:rPr>
        <w:t>ReducedIntNonContComb</w:t>
      </w:r>
      <w:proofErr w:type="spellEnd"/>
      <w:r w:rsidR="001672E5">
        <w:rPr>
          <w:rFonts w:ascii="Calibri" w:eastAsia="SimSun" w:hAnsi="Calibri" w:cs="Calibri"/>
          <w:b/>
          <w:i/>
          <w:sz w:val="20"/>
          <w:szCs w:val="20"/>
          <w:lang w:eastAsia="zh-CN"/>
        </w:rPr>
        <w:t xml:space="preserve"> </w:t>
      </w:r>
      <w:r w:rsidR="001672E5">
        <w:rPr>
          <w:rFonts w:ascii="Calibri" w:eastAsia="SimSun" w:hAnsi="Calibri" w:cs="Calibri"/>
          <w:b/>
          <w:sz w:val="20"/>
          <w:szCs w:val="20"/>
          <w:lang w:eastAsia="zh-CN"/>
        </w:rPr>
        <w:t>for inter-band CA combinations containing intra-band non- contiguous CA combination and</w:t>
      </w:r>
      <w:r>
        <w:rPr>
          <w:rFonts w:ascii="Calibri" w:eastAsia="SimSun" w:hAnsi="Calibri" w:cs="Calibri"/>
          <w:b/>
          <w:sz w:val="20"/>
          <w:szCs w:val="20"/>
          <w:lang w:eastAsia="zh-CN"/>
        </w:rPr>
        <w:t xml:space="preserve"> include it in </w:t>
      </w:r>
      <w:r w:rsidR="001672E5">
        <w:rPr>
          <w:rFonts w:ascii="Calibri" w:eastAsia="SimSun" w:hAnsi="Calibri" w:cs="Calibri"/>
          <w:b/>
          <w:sz w:val="20"/>
          <w:szCs w:val="20"/>
          <w:lang w:eastAsia="zh-CN"/>
        </w:rPr>
        <w:t>the</w:t>
      </w:r>
      <w:r>
        <w:rPr>
          <w:rFonts w:ascii="Calibri" w:eastAsia="SimSun" w:hAnsi="Calibri" w:cs="Calibri"/>
          <w:b/>
          <w:sz w:val="20"/>
          <w:szCs w:val="20"/>
          <w:lang w:eastAsia="zh-CN"/>
        </w:rPr>
        <w:t xml:space="preserve"> specification.</w:t>
      </w:r>
    </w:p>
    <w:p w14:paraId="16690325" w14:textId="77777777" w:rsidR="00F472C9" w:rsidRDefault="00F472C9" w:rsidP="006A7CC9"/>
    <w:sectPr w:rsidR="00F47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B6D96"/>
    <w:multiLevelType w:val="hybridMultilevel"/>
    <w:tmpl w:val="C386910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80613"/>
    <w:multiLevelType w:val="multilevel"/>
    <w:tmpl w:val="9098B8F6"/>
    <w:lvl w:ilvl="0">
      <w:start w:val="1"/>
      <w:numFmt w:val="none"/>
      <w:lvlRestart w:val="0"/>
      <w:pStyle w:val="-Note"/>
      <w:lvlText w:val="NOTE:"/>
      <w:lvlJc w:val="left"/>
      <w:pPr>
        <w:tabs>
          <w:tab w:val="num" w:pos="720"/>
        </w:tabs>
        <w:ind w:left="720" w:hanging="576"/>
      </w:pPr>
      <w:rPr>
        <w:rFonts w:ascii="Arial" w:hAnsi="Arial" w:cs="Arial"/>
        <w:b/>
        <w:i w:val="0"/>
        <w:sz w:val="14"/>
      </w:rPr>
    </w:lvl>
    <w:lvl w:ilvl="1">
      <w:start w:val="1"/>
      <w:numFmt w:val="none"/>
      <w:lvlRestart w:val="0"/>
      <w:pStyle w:val="C-Caution"/>
      <w:lvlText w:val="CAUTION:"/>
      <w:lvlJc w:val="left"/>
      <w:pPr>
        <w:tabs>
          <w:tab w:val="num" w:pos="720"/>
        </w:tabs>
        <w:ind w:left="720" w:hanging="806"/>
      </w:pPr>
      <w:rPr>
        <w:rFonts w:ascii="Arial" w:hAnsi="Arial" w:cs="Arial"/>
        <w:b/>
        <w:i w:val="0"/>
        <w:color w:val="000000"/>
        <w:sz w:val="14"/>
      </w:rPr>
    </w:lvl>
    <w:lvl w:ilvl="2">
      <w:start w:val="1"/>
      <w:numFmt w:val="none"/>
      <w:lvlRestart w:val="0"/>
      <w:pStyle w:val="W-Warning"/>
      <w:lvlText w:val="WARNING:"/>
      <w:lvlJc w:val="left"/>
      <w:pPr>
        <w:tabs>
          <w:tab w:val="num" w:pos="720"/>
        </w:tabs>
        <w:ind w:left="720" w:hanging="850"/>
      </w:pPr>
      <w:rPr>
        <w:rFonts w:ascii="Arial" w:hAnsi="Arial" w:cs="Arial"/>
        <w:b/>
        <w:i w:val="0"/>
        <w:color w:val="800000"/>
        <w:sz w:val="14"/>
      </w:rPr>
    </w:lvl>
    <w:lvl w:ilvl="3">
      <w:start w:val="1"/>
      <w:numFmt w:val="none"/>
      <w:lvlRestart w:val="0"/>
      <w:pStyle w:val="2"/>
      <w:lvlText w:val="NOTE:"/>
      <w:lvlJc w:val="left"/>
      <w:pPr>
        <w:tabs>
          <w:tab w:val="num" w:pos="1354"/>
        </w:tabs>
        <w:ind w:left="1354" w:hanging="634"/>
      </w:pPr>
      <w:rPr>
        <w:rFonts w:ascii="Arial" w:hAnsi="Arial" w:cs="Arial"/>
        <w:b/>
        <w:i w:val="0"/>
        <w:sz w:val="14"/>
      </w:rPr>
    </w:lvl>
    <w:lvl w:ilvl="4">
      <w:start w:val="1"/>
      <w:numFmt w:val="none"/>
      <w:lvlRestart w:val="0"/>
      <w:pStyle w:val="C2"/>
      <w:lvlText w:val="CAUTION:"/>
      <w:lvlJc w:val="left"/>
      <w:pPr>
        <w:tabs>
          <w:tab w:val="num" w:pos="1584"/>
        </w:tabs>
        <w:ind w:left="1584" w:hanging="864"/>
      </w:pPr>
      <w:rPr>
        <w:rFonts w:ascii="Arial" w:hAnsi="Arial" w:cs="Arial"/>
        <w:b/>
        <w:i w:val="0"/>
        <w:sz w:val="14"/>
      </w:rPr>
    </w:lvl>
    <w:lvl w:ilvl="5">
      <w:start w:val="1"/>
      <w:numFmt w:val="none"/>
      <w:lvlRestart w:val="0"/>
      <w:pStyle w:val="W2"/>
      <w:lvlText w:val="WARNING:"/>
      <w:lvlJc w:val="left"/>
      <w:pPr>
        <w:tabs>
          <w:tab w:val="num" w:pos="1656"/>
        </w:tabs>
        <w:ind w:left="1656" w:hanging="936"/>
      </w:pPr>
      <w:rPr>
        <w:rFonts w:ascii="Arial" w:hAnsi="Arial" w:cs="Arial"/>
        <w:b/>
        <w:i w:val="0"/>
        <w:color w:val="800000"/>
        <w:sz w:val="14"/>
      </w:rPr>
    </w:lvl>
    <w:lvl w:ilvl="6">
      <w:start w:val="1"/>
      <w:numFmt w:val="none"/>
      <w:lvlRestart w:val="0"/>
      <w:pStyle w:val="3"/>
      <w:lvlText w:val="NOTE:"/>
      <w:lvlJc w:val="left"/>
      <w:pPr>
        <w:tabs>
          <w:tab w:val="num" w:pos="1786"/>
        </w:tabs>
        <w:ind w:left="1786" w:hanging="706"/>
      </w:pPr>
      <w:rPr>
        <w:rFonts w:ascii="Arial" w:hAnsi="Arial" w:cs="Arial"/>
        <w:b/>
        <w:i w:val="0"/>
        <w:sz w:val="14"/>
      </w:rPr>
    </w:lvl>
    <w:lvl w:ilvl="7">
      <w:start w:val="1"/>
      <w:numFmt w:val="none"/>
      <w:lvlRestart w:val="0"/>
      <w:lvlText w:val="CAUTION:"/>
      <w:lvlJc w:val="left"/>
      <w:pPr>
        <w:tabs>
          <w:tab w:val="num" w:pos="1944"/>
        </w:tabs>
        <w:ind w:left="1944" w:hanging="1008"/>
      </w:pPr>
      <w:rPr>
        <w:rFonts w:ascii="Arial" w:hAnsi="Arial" w:cs="Arial"/>
        <w:b/>
        <w:i w:val="0"/>
        <w:sz w:val="14"/>
      </w:rPr>
    </w:lvl>
    <w:lvl w:ilvl="8">
      <w:start w:val="1"/>
      <w:numFmt w:val="none"/>
      <w:lvlRestart w:val="0"/>
      <w:pStyle w:val="W3"/>
      <w:lvlText w:val="WARNING:"/>
      <w:lvlJc w:val="left"/>
      <w:pPr>
        <w:tabs>
          <w:tab w:val="num" w:pos="2016"/>
        </w:tabs>
        <w:ind w:left="2016" w:hanging="936"/>
      </w:pPr>
      <w:rPr>
        <w:rFonts w:ascii="Arial" w:hAnsi="Arial" w:cs="Arial"/>
        <w:b/>
        <w:i w:val="0"/>
        <w:color w:val="800000"/>
        <w:sz w:val="14"/>
      </w:rPr>
    </w:lvl>
  </w:abstractNum>
  <w:abstractNum w:abstractNumId="8"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37E2056A"/>
    <w:multiLevelType w:val="hybridMultilevel"/>
    <w:tmpl w:val="960AA3F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D72F0A"/>
    <w:multiLevelType w:val="hybridMultilevel"/>
    <w:tmpl w:val="960AA3F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817A7"/>
    <w:multiLevelType w:val="hybridMultilevel"/>
    <w:tmpl w:val="713C864C"/>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A4B39"/>
    <w:multiLevelType w:val="hybridMultilevel"/>
    <w:tmpl w:val="C8E0C594"/>
    <w:lvl w:ilvl="0" w:tplc="04090001">
      <w:start w:val="1"/>
      <w:numFmt w:val="bullet"/>
      <w:lvlText w:val=""/>
      <w:lvlJc w:val="left"/>
      <w:pPr>
        <w:ind w:left="720" w:hanging="360"/>
      </w:pPr>
      <w:rPr>
        <w:rFonts w:ascii="Symbol" w:hAnsi="Symbol" w:hint="default"/>
      </w:rPr>
    </w:lvl>
    <w:lvl w:ilvl="1" w:tplc="7118453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F61"/>
    <w:multiLevelType w:val="hybridMultilevel"/>
    <w:tmpl w:val="9F96B658"/>
    <w:lvl w:ilvl="0" w:tplc="C868BA94">
      <w:start w:val="1"/>
      <w:numFmt w:val="bullet"/>
      <w:lvlText w:val="•"/>
      <w:lvlJc w:val="left"/>
      <w:pPr>
        <w:tabs>
          <w:tab w:val="num" w:pos="720"/>
        </w:tabs>
        <w:ind w:left="720" w:hanging="360"/>
      </w:pPr>
      <w:rPr>
        <w:rFonts w:ascii="Times New Roman" w:hAnsi="Times New Roman" w:hint="default"/>
      </w:rPr>
    </w:lvl>
    <w:lvl w:ilvl="1" w:tplc="4B846F44">
      <w:start w:val="238"/>
      <w:numFmt w:val="bullet"/>
      <w:lvlText w:val="–"/>
      <w:lvlJc w:val="left"/>
      <w:pPr>
        <w:tabs>
          <w:tab w:val="num" w:pos="1440"/>
        </w:tabs>
        <w:ind w:left="1440" w:hanging="360"/>
      </w:pPr>
      <w:rPr>
        <w:rFonts w:ascii="Times New Roman" w:hAnsi="Times New Roman" w:hint="default"/>
      </w:rPr>
    </w:lvl>
    <w:lvl w:ilvl="2" w:tplc="E1D2B764">
      <w:start w:val="238"/>
      <w:numFmt w:val="bullet"/>
      <w:lvlText w:val="•"/>
      <w:lvlJc w:val="left"/>
      <w:pPr>
        <w:tabs>
          <w:tab w:val="num" w:pos="2160"/>
        </w:tabs>
        <w:ind w:left="2160" w:hanging="360"/>
      </w:pPr>
      <w:rPr>
        <w:rFonts w:ascii="Times New Roman" w:hAnsi="Times New Roman" w:hint="default"/>
      </w:rPr>
    </w:lvl>
    <w:lvl w:ilvl="3" w:tplc="0BCC1486" w:tentative="1">
      <w:start w:val="1"/>
      <w:numFmt w:val="bullet"/>
      <w:lvlText w:val="•"/>
      <w:lvlJc w:val="left"/>
      <w:pPr>
        <w:tabs>
          <w:tab w:val="num" w:pos="2880"/>
        </w:tabs>
        <w:ind w:left="2880" w:hanging="360"/>
      </w:pPr>
      <w:rPr>
        <w:rFonts w:ascii="Times New Roman" w:hAnsi="Times New Roman" w:hint="default"/>
      </w:rPr>
    </w:lvl>
    <w:lvl w:ilvl="4" w:tplc="E1564420" w:tentative="1">
      <w:start w:val="1"/>
      <w:numFmt w:val="bullet"/>
      <w:lvlText w:val="•"/>
      <w:lvlJc w:val="left"/>
      <w:pPr>
        <w:tabs>
          <w:tab w:val="num" w:pos="3600"/>
        </w:tabs>
        <w:ind w:left="3600" w:hanging="360"/>
      </w:pPr>
      <w:rPr>
        <w:rFonts w:ascii="Times New Roman" w:hAnsi="Times New Roman" w:hint="default"/>
      </w:rPr>
    </w:lvl>
    <w:lvl w:ilvl="5" w:tplc="F3269BD4" w:tentative="1">
      <w:start w:val="1"/>
      <w:numFmt w:val="bullet"/>
      <w:lvlText w:val="•"/>
      <w:lvlJc w:val="left"/>
      <w:pPr>
        <w:tabs>
          <w:tab w:val="num" w:pos="4320"/>
        </w:tabs>
        <w:ind w:left="4320" w:hanging="360"/>
      </w:pPr>
      <w:rPr>
        <w:rFonts w:ascii="Times New Roman" w:hAnsi="Times New Roman" w:hint="default"/>
      </w:rPr>
    </w:lvl>
    <w:lvl w:ilvl="6" w:tplc="B48CE304" w:tentative="1">
      <w:start w:val="1"/>
      <w:numFmt w:val="bullet"/>
      <w:lvlText w:val="•"/>
      <w:lvlJc w:val="left"/>
      <w:pPr>
        <w:tabs>
          <w:tab w:val="num" w:pos="5040"/>
        </w:tabs>
        <w:ind w:left="5040" w:hanging="360"/>
      </w:pPr>
      <w:rPr>
        <w:rFonts w:ascii="Times New Roman" w:hAnsi="Times New Roman" w:hint="default"/>
      </w:rPr>
    </w:lvl>
    <w:lvl w:ilvl="7" w:tplc="9CAE5F44" w:tentative="1">
      <w:start w:val="1"/>
      <w:numFmt w:val="bullet"/>
      <w:lvlText w:val="•"/>
      <w:lvlJc w:val="left"/>
      <w:pPr>
        <w:tabs>
          <w:tab w:val="num" w:pos="5760"/>
        </w:tabs>
        <w:ind w:left="5760" w:hanging="360"/>
      </w:pPr>
      <w:rPr>
        <w:rFonts w:ascii="Times New Roman" w:hAnsi="Times New Roman" w:hint="default"/>
      </w:rPr>
    </w:lvl>
    <w:lvl w:ilvl="8" w:tplc="3EC0A87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87881"/>
    <w:multiLevelType w:val="hybridMultilevel"/>
    <w:tmpl w:val="FC700C78"/>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8"/>
  </w:num>
  <w:num w:numId="10">
    <w:abstractNumId w:val="13"/>
  </w:num>
  <w:num w:numId="11">
    <w:abstractNumId w:val="16"/>
  </w:num>
  <w:num w:numId="12">
    <w:abstractNumId w:val="2"/>
  </w:num>
  <w:num w:numId="13">
    <w:abstractNumId w:val="7"/>
  </w:num>
  <w:num w:numId="14">
    <w:abstractNumId w:val="15"/>
  </w:num>
  <w:num w:numId="15">
    <w:abstractNumId w:val="6"/>
  </w:num>
  <w:num w:numId="16">
    <w:abstractNumId w:val="4"/>
  </w:num>
  <w:num w:numId="17">
    <w:abstractNumId w:val="12"/>
  </w:num>
  <w:num w:numId="18">
    <w:abstractNumId w:val="17"/>
  </w:num>
  <w:num w:numId="19">
    <w:abstractNumId w:val="14"/>
  </w:num>
  <w:num w:numId="20">
    <w:abstractNumId w:val="11"/>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75E"/>
    <w:rsid w:val="000025C9"/>
    <w:rsid w:val="0000508E"/>
    <w:rsid w:val="00006B22"/>
    <w:rsid w:val="000070D0"/>
    <w:rsid w:val="000077E9"/>
    <w:rsid w:val="00014DEA"/>
    <w:rsid w:val="00020C46"/>
    <w:rsid w:val="00021D9C"/>
    <w:rsid w:val="0002360E"/>
    <w:rsid w:val="000308BC"/>
    <w:rsid w:val="000346BC"/>
    <w:rsid w:val="00035B7B"/>
    <w:rsid w:val="0004077A"/>
    <w:rsid w:val="00043B37"/>
    <w:rsid w:val="000614E3"/>
    <w:rsid w:val="00070496"/>
    <w:rsid w:val="00080802"/>
    <w:rsid w:val="00082A5E"/>
    <w:rsid w:val="00084CFD"/>
    <w:rsid w:val="00093766"/>
    <w:rsid w:val="000A06D4"/>
    <w:rsid w:val="000B08D7"/>
    <w:rsid w:val="000B0B66"/>
    <w:rsid w:val="000B2ED3"/>
    <w:rsid w:val="000B6590"/>
    <w:rsid w:val="000B6BD4"/>
    <w:rsid w:val="000C23CC"/>
    <w:rsid w:val="000C4C14"/>
    <w:rsid w:val="000C4FC2"/>
    <w:rsid w:val="000C6958"/>
    <w:rsid w:val="000C6A03"/>
    <w:rsid w:val="000D408C"/>
    <w:rsid w:val="000D5E27"/>
    <w:rsid w:val="000E5602"/>
    <w:rsid w:val="000E6D05"/>
    <w:rsid w:val="000F0D2C"/>
    <w:rsid w:val="000F3717"/>
    <w:rsid w:val="000F4D19"/>
    <w:rsid w:val="000F4FFB"/>
    <w:rsid w:val="00101565"/>
    <w:rsid w:val="0011117D"/>
    <w:rsid w:val="0012182E"/>
    <w:rsid w:val="00122D77"/>
    <w:rsid w:val="00123D76"/>
    <w:rsid w:val="00124245"/>
    <w:rsid w:val="001246CE"/>
    <w:rsid w:val="001248D6"/>
    <w:rsid w:val="00126F5E"/>
    <w:rsid w:val="00131CDD"/>
    <w:rsid w:val="0013318C"/>
    <w:rsid w:val="001331E8"/>
    <w:rsid w:val="00134A79"/>
    <w:rsid w:val="001369E6"/>
    <w:rsid w:val="00136DDA"/>
    <w:rsid w:val="00136EB3"/>
    <w:rsid w:val="00137A5E"/>
    <w:rsid w:val="00137C2A"/>
    <w:rsid w:val="0014060B"/>
    <w:rsid w:val="00143E51"/>
    <w:rsid w:val="001554FC"/>
    <w:rsid w:val="00155F7A"/>
    <w:rsid w:val="0015681E"/>
    <w:rsid w:val="001603C0"/>
    <w:rsid w:val="0016164B"/>
    <w:rsid w:val="001672E5"/>
    <w:rsid w:val="001726E1"/>
    <w:rsid w:val="0017578D"/>
    <w:rsid w:val="0018496E"/>
    <w:rsid w:val="00184AEA"/>
    <w:rsid w:val="00187DC2"/>
    <w:rsid w:val="00192F63"/>
    <w:rsid w:val="00194311"/>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D37E8"/>
    <w:rsid w:val="001D486E"/>
    <w:rsid w:val="001D4DCD"/>
    <w:rsid w:val="001D7C8F"/>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4BD2"/>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23BA"/>
    <w:rsid w:val="002C08F7"/>
    <w:rsid w:val="002C2521"/>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099C"/>
    <w:rsid w:val="003446FB"/>
    <w:rsid w:val="00350870"/>
    <w:rsid w:val="00353BE3"/>
    <w:rsid w:val="00354616"/>
    <w:rsid w:val="00355259"/>
    <w:rsid w:val="00360763"/>
    <w:rsid w:val="00365ED6"/>
    <w:rsid w:val="00366663"/>
    <w:rsid w:val="0037277D"/>
    <w:rsid w:val="00375E82"/>
    <w:rsid w:val="0037673B"/>
    <w:rsid w:val="00380624"/>
    <w:rsid w:val="00381803"/>
    <w:rsid w:val="003835B4"/>
    <w:rsid w:val="003843C3"/>
    <w:rsid w:val="00390C4C"/>
    <w:rsid w:val="00394200"/>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3F70A4"/>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0A09"/>
    <w:rsid w:val="00441A22"/>
    <w:rsid w:val="00441C31"/>
    <w:rsid w:val="004600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68ED"/>
    <w:rsid w:val="00557761"/>
    <w:rsid w:val="005615F3"/>
    <w:rsid w:val="00565C8B"/>
    <w:rsid w:val="00566C5D"/>
    <w:rsid w:val="005675F5"/>
    <w:rsid w:val="00570416"/>
    <w:rsid w:val="00571CF6"/>
    <w:rsid w:val="00584371"/>
    <w:rsid w:val="005862F0"/>
    <w:rsid w:val="00591123"/>
    <w:rsid w:val="00592C50"/>
    <w:rsid w:val="00593A8A"/>
    <w:rsid w:val="00595567"/>
    <w:rsid w:val="00595E32"/>
    <w:rsid w:val="005A07EB"/>
    <w:rsid w:val="005B4D06"/>
    <w:rsid w:val="005B6026"/>
    <w:rsid w:val="005C18D4"/>
    <w:rsid w:val="005C6283"/>
    <w:rsid w:val="005D459F"/>
    <w:rsid w:val="005D4B7E"/>
    <w:rsid w:val="005D7CE8"/>
    <w:rsid w:val="005E17EE"/>
    <w:rsid w:val="005E5770"/>
    <w:rsid w:val="005E59FE"/>
    <w:rsid w:val="005E6069"/>
    <w:rsid w:val="005E6861"/>
    <w:rsid w:val="00606159"/>
    <w:rsid w:val="006070BB"/>
    <w:rsid w:val="006132B2"/>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4F7A"/>
    <w:rsid w:val="00665AC8"/>
    <w:rsid w:val="00667133"/>
    <w:rsid w:val="006728C5"/>
    <w:rsid w:val="00673657"/>
    <w:rsid w:val="00674C26"/>
    <w:rsid w:val="00674CB6"/>
    <w:rsid w:val="00675ECA"/>
    <w:rsid w:val="006775DB"/>
    <w:rsid w:val="00677A85"/>
    <w:rsid w:val="0068760C"/>
    <w:rsid w:val="006A196E"/>
    <w:rsid w:val="006A34E9"/>
    <w:rsid w:val="006A4BB3"/>
    <w:rsid w:val="006A5A6D"/>
    <w:rsid w:val="006A7CC9"/>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149E1"/>
    <w:rsid w:val="00716490"/>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775B2"/>
    <w:rsid w:val="0078233A"/>
    <w:rsid w:val="00782F3A"/>
    <w:rsid w:val="0078448B"/>
    <w:rsid w:val="0078780B"/>
    <w:rsid w:val="00793B46"/>
    <w:rsid w:val="007944C5"/>
    <w:rsid w:val="00796497"/>
    <w:rsid w:val="007A167C"/>
    <w:rsid w:val="007A19BB"/>
    <w:rsid w:val="007A51DA"/>
    <w:rsid w:val="007A7EBD"/>
    <w:rsid w:val="007B1F1C"/>
    <w:rsid w:val="007B51BD"/>
    <w:rsid w:val="007C3C49"/>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16411"/>
    <w:rsid w:val="0082225A"/>
    <w:rsid w:val="0082554E"/>
    <w:rsid w:val="008258D3"/>
    <w:rsid w:val="00826BA2"/>
    <w:rsid w:val="00827A52"/>
    <w:rsid w:val="00830BCE"/>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2B1"/>
    <w:rsid w:val="00873BAD"/>
    <w:rsid w:val="00875260"/>
    <w:rsid w:val="00880A87"/>
    <w:rsid w:val="00881001"/>
    <w:rsid w:val="00883ED9"/>
    <w:rsid w:val="00884BC8"/>
    <w:rsid w:val="0089034A"/>
    <w:rsid w:val="00890B91"/>
    <w:rsid w:val="00892DAA"/>
    <w:rsid w:val="00893078"/>
    <w:rsid w:val="00893601"/>
    <w:rsid w:val="00894033"/>
    <w:rsid w:val="008943B8"/>
    <w:rsid w:val="008A0965"/>
    <w:rsid w:val="008A2B30"/>
    <w:rsid w:val="008A2CA5"/>
    <w:rsid w:val="008A375D"/>
    <w:rsid w:val="008A3BEB"/>
    <w:rsid w:val="008A4CB5"/>
    <w:rsid w:val="008B5A39"/>
    <w:rsid w:val="008B7244"/>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44B71"/>
    <w:rsid w:val="00951640"/>
    <w:rsid w:val="009522FE"/>
    <w:rsid w:val="0095670D"/>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6E1"/>
    <w:rsid w:val="009D671D"/>
    <w:rsid w:val="009E2F90"/>
    <w:rsid w:val="009F12A8"/>
    <w:rsid w:val="009F3497"/>
    <w:rsid w:val="009F4FF6"/>
    <w:rsid w:val="009F7A48"/>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2C48"/>
    <w:rsid w:val="00A777D2"/>
    <w:rsid w:val="00A779FB"/>
    <w:rsid w:val="00A8077A"/>
    <w:rsid w:val="00A814F4"/>
    <w:rsid w:val="00A81944"/>
    <w:rsid w:val="00A84D9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3B44"/>
    <w:rsid w:val="00AD590F"/>
    <w:rsid w:val="00AD65BE"/>
    <w:rsid w:val="00AE0F7C"/>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0292"/>
    <w:rsid w:val="00B610B4"/>
    <w:rsid w:val="00B674A8"/>
    <w:rsid w:val="00B7077E"/>
    <w:rsid w:val="00B7166E"/>
    <w:rsid w:val="00B7210C"/>
    <w:rsid w:val="00B72D34"/>
    <w:rsid w:val="00B732CA"/>
    <w:rsid w:val="00B82ED1"/>
    <w:rsid w:val="00B93AF2"/>
    <w:rsid w:val="00B9495F"/>
    <w:rsid w:val="00B96F04"/>
    <w:rsid w:val="00BA14F6"/>
    <w:rsid w:val="00BA361F"/>
    <w:rsid w:val="00BB0496"/>
    <w:rsid w:val="00BB2A9B"/>
    <w:rsid w:val="00BC0165"/>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0B88"/>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0BF0"/>
    <w:rsid w:val="00D214D8"/>
    <w:rsid w:val="00D2371A"/>
    <w:rsid w:val="00D27011"/>
    <w:rsid w:val="00D30A76"/>
    <w:rsid w:val="00D355FD"/>
    <w:rsid w:val="00D367BE"/>
    <w:rsid w:val="00D40782"/>
    <w:rsid w:val="00D44310"/>
    <w:rsid w:val="00D46098"/>
    <w:rsid w:val="00D46970"/>
    <w:rsid w:val="00D46A18"/>
    <w:rsid w:val="00D526F7"/>
    <w:rsid w:val="00D568A8"/>
    <w:rsid w:val="00D619FD"/>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E772C"/>
    <w:rsid w:val="00DF0CE9"/>
    <w:rsid w:val="00DF1514"/>
    <w:rsid w:val="00DF3ED0"/>
    <w:rsid w:val="00DF593D"/>
    <w:rsid w:val="00E02D6F"/>
    <w:rsid w:val="00E0344D"/>
    <w:rsid w:val="00E05AE0"/>
    <w:rsid w:val="00E14F3A"/>
    <w:rsid w:val="00E16F74"/>
    <w:rsid w:val="00E214AA"/>
    <w:rsid w:val="00E21912"/>
    <w:rsid w:val="00E21A61"/>
    <w:rsid w:val="00E21B26"/>
    <w:rsid w:val="00E21C24"/>
    <w:rsid w:val="00E248E7"/>
    <w:rsid w:val="00E31F55"/>
    <w:rsid w:val="00E35599"/>
    <w:rsid w:val="00E40CFB"/>
    <w:rsid w:val="00E42997"/>
    <w:rsid w:val="00E42BC2"/>
    <w:rsid w:val="00E4323C"/>
    <w:rsid w:val="00E46866"/>
    <w:rsid w:val="00E469A3"/>
    <w:rsid w:val="00E46B99"/>
    <w:rsid w:val="00E53A90"/>
    <w:rsid w:val="00E5620E"/>
    <w:rsid w:val="00E613B3"/>
    <w:rsid w:val="00E6623B"/>
    <w:rsid w:val="00E72A1D"/>
    <w:rsid w:val="00E73903"/>
    <w:rsid w:val="00E7529A"/>
    <w:rsid w:val="00E77FE8"/>
    <w:rsid w:val="00E81D22"/>
    <w:rsid w:val="00E84982"/>
    <w:rsid w:val="00E851C2"/>
    <w:rsid w:val="00E85D77"/>
    <w:rsid w:val="00E90148"/>
    <w:rsid w:val="00E948D7"/>
    <w:rsid w:val="00E96E29"/>
    <w:rsid w:val="00EB50AD"/>
    <w:rsid w:val="00EC019B"/>
    <w:rsid w:val="00EC0D19"/>
    <w:rsid w:val="00EC36C5"/>
    <w:rsid w:val="00ED10B5"/>
    <w:rsid w:val="00ED2D6E"/>
    <w:rsid w:val="00ED5341"/>
    <w:rsid w:val="00EE1888"/>
    <w:rsid w:val="00EE2899"/>
    <w:rsid w:val="00EE3DF8"/>
    <w:rsid w:val="00EF5712"/>
    <w:rsid w:val="00EF58BF"/>
    <w:rsid w:val="00F00BED"/>
    <w:rsid w:val="00F01004"/>
    <w:rsid w:val="00F023AD"/>
    <w:rsid w:val="00F03E19"/>
    <w:rsid w:val="00F04342"/>
    <w:rsid w:val="00F112D3"/>
    <w:rsid w:val="00F118D3"/>
    <w:rsid w:val="00F12D84"/>
    <w:rsid w:val="00F1475F"/>
    <w:rsid w:val="00F237F2"/>
    <w:rsid w:val="00F24CA8"/>
    <w:rsid w:val="00F2607F"/>
    <w:rsid w:val="00F332E2"/>
    <w:rsid w:val="00F4028F"/>
    <w:rsid w:val="00F40457"/>
    <w:rsid w:val="00F423C0"/>
    <w:rsid w:val="00F4381D"/>
    <w:rsid w:val="00F472C9"/>
    <w:rsid w:val="00F5339D"/>
    <w:rsid w:val="00F566DC"/>
    <w:rsid w:val="00F56C73"/>
    <w:rsid w:val="00F5743F"/>
    <w:rsid w:val="00F6170A"/>
    <w:rsid w:val="00F81671"/>
    <w:rsid w:val="00F8616D"/>
    <w:rsid w:val="00F86354"/>
    <w:rsid w:val="00F91E7D"/>
    <w:rsid w:val="00F94285"/>
    <w:rsid w:val="00F96B2D"/>
    <w:rsid w:val="00F97092"/>
    <w:rsid w:val="00FA11E3"/>
    <w:rsid w:val="00FA1AD2"/>
    <w:rsid w:val="00FA2F69"/>
    <w:rsid w:val="00FA34F9"/>
    <w:rsid w:val="00FA4734"/>
    <w:rsid w:val="00FA59E5"/>
    <w:rsid w:val="00FB12FD"/>
    <w:rsid w:val="00FB228E"/>
    <w:rsid w:val="00FB3889"/>
    <w:rsid w:val="00FC34AF"/>
    <w:rsid w:val="00FC3636"/>
    <w:rsid w:val="00FC4E0B"/>
    <w:rsid w:val="00FC675E"/>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CRCoverPage">
    <w:name w:val="CR Cover Page"/>
    <w:link w:val="CRCoverPageZchn"/>
    <w:rsid w:val="00EB50AD"/>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EB50AD"/>
    <w:rPr>
      <w:rFonts w:ascii="Arial" w:eastAsia="Times New Roman" w:hAnsi="Arial" w:cs="Times New Roman"/>
      <w:sz w:val="20"/>
      <w:szCs w:val="20"/>
      <w:lang w:val="en-GB"/>
    </w:rPr>
  </w:style>
  <w:style w:type="paragraph" w:customStyle="1" w:styleId="Doc-text2">
    <w:name w:val="Doc-text2"/>
    <w:basedOn w:val="Normal"/>
    <w:link w:val="Doc-text2Char"/>
    <w:qFormat/>
    <w:rsid w:val="00D619F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619FD"/>
    <w:rPr>
      <w:rFonts w:ascii="Arial" w:eastAsia="MS Mincho" w:hAnsi="Arial" w:cs="Times New Roman"/>
      <w:sz w:val="20"/>
      <w:szCs w:val="24"/>
      <w:lang w:val="en-GB" w:eastAsia="en-GB"/>
    </w:rPr>
  </w:style>
  <w:style w:type="paragraph" w:customStyle="1" w:styleId="2">
    <w:name w:val="!2"/>
    <w:basedOn w:val="Normal"/>
    <w:uiPriority w:val="11"/>
    <w:semiHidden/>
    <w:rsid w:val="00F86354"/>
    <w:pPr>
      <w:numPr>
        <w:ilvl w:val="3"/>
        <w:numId w:val="13"/>
      </w:numPr>
      <w:spacing w:before="300" w:after="300" w:line="276" w:lineRule="auto"/>
    </w:pPr>
    <w:rPr>
      <w:rFonts w:cstheme="minorHAnsi"/>
    </w:rPr>
  </w:style>
  <w:style w:type="paragraph" w:customStyle="1" w:styleId="3">
    <w:name w:val="!3"/>
    <w:basedOn w:val="2"/>
    <w:uiPriority w:val="12"/>
    <w:semiHidden/>
    <w:rsid w:val="00F86354"/>
    <w:pPr>
      <w:numPr>
        <w:ilvl w:val="6"/>
      </w:numPr>
    </w:pPr>
  </w:style>
  <w:style w:type="paragraph" w:customStyle="1" w:styleId="C2">
    <w:name w:val="!C2"/>
    <w:basedOn w:val="Normal"/>
    <w:next w:val="Normal"/>
    <w:uiPriority w:val="17"/>
    <w:semiHidden/>
    <w:rsid w:val="00F86354"/>
    <w:pPr>
      <w:numPr>
        <w:ilvl w:val="4"/>
        <w:numId w:val="13"/>
      </w:numPr>
      <w:spacing w:before="240" w:after="240" w:line="276" w:lineRule="auto"/>
    </w:pPr>
    <w:rPr>
      <w:rFonts w:cstheme="minorHAnsi"/>
    </w:rPr>
  </w:style>
  <w:style w:type="paragraph" w:customStyle="1" w:styleId="C-Caution">
    <w:name w:val="!C-Caution"/>
    <w:qFormat/>
    <w:rsid w:val="00F86354"/>
    <w:pPr>
      <w:numPr>
        <w:ilvl w:val="1"/>
        <w:numId w:val="13"/>
      </w:numPr>
      <w:spacing w:before="300" w:after="300" w:line="240" w:lineRule="auto"/>
    </w:pPr>
    <w:rPr>
      <w:rFonts w:ascii="Times New Roman" w:hAnsi="Times New Roman"/>
      <w:noProof/>
      <w:kern w:val="22"/>
    </w:rPr>
  </w:style>
  <w:style w:type="paragraph" w:customStyle="1" w:styleId="-Note">
    <w:name w:val="!-Note"/>
    <w:next w:val="B-Body"/>
    <w:qFormat/>
    <w:rsid w:val="00F86354"/>
    <w:pPr>
      <w:keepLines/>
      <w:numPr>
        <w:numId w:val="13"/>
      </w:numPr>
      <w:spacing w:before="300" w:after="300" w:line="240" w:lineRule="auto"/>
    </w:pPr>
    <w:rPr>
      <w:rFonts w:ascii="Times New Roman" w:eastAsia="Times New Roman" w:hAnsi="Times New Roman" w:cs="Times New Roman"/>
      <w:szCs w:val="20"/>
    </w:rPr>
  </w:style>
  <w:style w:type="paragraph" w:customStyle="1" w:styleId="W-Warning">
    <w:name w:val="!W-Warning"/>
    <w:next w:val="Normal"/>
    <w:qFormat/>
    <w:rsid w:val="00F86354"/>
    <w:pPr>
      <w:numPr>
        <w:ilvl w:val="2"/>
        <w:numId w:val="13"/>
      </w:numPr>
      <w:spacing w:before="240" w:after="240" w:line="240" w:lineRule="auto"/>
    </w:pPr>
    <w:rPr>
      <w:rFonts w:ascii="Times New Roman" w:eastAsia="Times New Roman" w:hAnsi="Times New Roman" w:cs="Times New Roman"/>
      <w:szCs w:val="20"/>
    </w:rPr>
  </w:style>
  <w:style w:type="paragraph" w:customStyle="1" w:styleId="W2">
    <w:name w:val="!W2"/>
    <w:basedOn w:val="W-Warning"/>
    <w:uiPriority w:val="14"/>
    <w:semiHidden/>
    <w:rsid w:val="00F86354"/>
    <w:pPr>
      <w:numPr>
        <w:ilvl w:val="5"/>
      </w:numPr>
    </w:pPr>
  </w:style>
  <w:style w:type="paragraph" w:customStyle="1" w:styleId="W3">
    <w:name w:val="!W3"/>
    <w:basedOn w:val="W2"/>
    <w:uiPriority w:val="15"/>
    <w:semiHidden/>
    <w:rsid w:val="00F86354"/>
    <w:pPr>
      <w:numPr>
        <w:ilvl w:val="8"/>
      </w:numPr>
    </w:pPr>
  </w:style>
  <w:style w:type="paragraph" w:customStyle="1" w:styleId="B-Body">
    <w:name w:val="B-Body"/>
    <w:link w:val="B-BodyChar"/>
    <w:qFormat/>
    <w:rsid w:val="00F86354"/>
    <w:pPr>
      <w:tabs>
        <w:tab w:val="left" w:pos="2160"/>
      </w:tabs>
      <w:spacing w:before="120" w:after="40" w:line="240" w:lineRule="auto"/>
      <w:ind w:left="720"/>
    </w:pPr>
    <w:rPr>
      <w:rFonts w:ascii="Times New Roman" w:eastAsia="Times New Roman" w:hAnsi="Times New Roman" w:cs="Times New Roman"/>
      <w:szCs w:val="20"/>
    </w:rPr>
  </w:style>
  <w:style w:type="character" w:customStyle="1" w:styleId="B-BodyChar">
    <w:name w:val="B-Body Char"/>
    <w:basedOn w:val="DefaultParagraphFont"/>
    <w:link w:val="B-Body"/>
    <w:rsid w:val="00F86354"/>
    <w:rPr>
      <w:rFonts w:ascii="Times New Roman" w:eastAsia="Times New Roman" w:hAnsi="Times New Roman" w:cs="Times New Roman"/>
      <w:szCs w:val="20"/>
    </w:rPr>
  </w:style>
  <w:style w:type="paragraph" w:styleId="ListParagraph">
    <w:name w:val="List Paragraph"/>
    <w:basedOn w:val="Normal"/>
    <w:uiPriority w:val="34"/>
    <w:qFormat/>
    <w:rsid w:val="00035B7B"/>
    <w:pPr>
      <w:ind w:left="720"/>
      <w:contextualSpacing/>
    </w:pPr>
  </w:style>
  <w:style w:type="paragraph" w:customStyle="1" w:styleId="EW">
    <w:name w:val="EW"/>
    <w:basedOn w:val="Normal"/>
    <w:rsid w:val="0034099C"/>
    <w:pPr>
      <w:keepLines/>
      <w:overflowPunct w:val="0"/>
      <w:autoSpaceDE w:val="0"/>
      <w:autoSpaceDN w:val="0"/>
      <w:adjustRightInd w:val="0"/>
      <w:spacing w:after="0" w:line="240" w:lineRule="auto"/>
      <w:ind w:left="1702" w:hanging="1418"/>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04589">
      <w:bodyDiv w:val="1"/>
      <w:marLeft w:val="0"/>
      <w:marRight w:val="0"/>
      <w:marTop w:val="0"/>
      <w:marBottom w:val="0"/>
      <w:divBdr>
        <w:top w:val="none" w:sz="0" w:space="0" w:color="auto"/>
        <w:left w:val="none" w:sz="0" w:space="0" w:color="auto"/>
        <w:bottom w:val="none" w:sz="0" w:space="0" w:color="auto"/>
        <w:right w:val="none" w:sz="0" w:space="0" w:color="auto"/>
      </w:divBdr>
    </w:div>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579481370">
      <w:bodyDiv w:val="1"/>
      <w:marLeft w:val="0"/>
      <w:marRight w:val="0"/>
      <w:marTop w:val="0"/>
      <w:marBottom w:val="0"/>
      <w:divBdr>
        <w:top w:val="none" w:sz="0" w:space="0" w:color="auto"/>
        <w:left w:val="none" w:sz="0" w:space="0" w:color="auto"/>
        <w:bottom w:val="none" w:sz="0" w:space="0" w:color="auto"/>
        <w:right w:val="none" w:sz="0" w:space="0" w:color="auto"/>
      </w:divBdr>
    </w:div>
    <w:div w:id="665396639">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73462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2018-05-10T07:14:00Z</dcterms:created>
  <dcterms:modified xsi:type="dcterms:W3CDTF">2018-05-10T07:14:00Z</dcterms:modified>
</cp:coreProperties>
</file>