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98F6E" w14:textId="7DFA6861" w:rsidR="00651990" w:rsidRPr="00865C56" w:rsidRDefault="00651990" w:rsidP="00651990">
      <w:pPr>
        <w:tabs>
          <w:tab w:val="right" w:pos="9639"/>
        </w:tabs>
        <w:spacing w:after="0"/>
        <w:rPr>
          <w:rFonts w:ascii="Arial" w:eastAsia="Times New Roman" w:hAnsi="Arial"/>
          <w:b/>
          <w:bCs/>
          <w:i/>
          <w:sz w:val="24"/>
        </w:rPr>
      </w:pPr>
      <w:bookmarkStart w:id="0" w:name="OLE_LINK6"/>
      <w:bookmarkStart w:id="1" w:name="OLE_LINK7"/>
      <w:r w:rsidRPr="00865C56">
        <w:rPr>
          <w:rFonts w:ascii="Arial" w:eastAsia="Times New Roman" w:hAnsi="Arial"/>
          <w:b/>
          <w:bCs/>
          <w:sz w:val="24"/>
        </w:rPr>
        <w:t>3GPP TSG-RAN WG2 Meeting #102</w:t>
      </w:r>
      <w:r w:rsidRPr="00865C56">
        <w:rPr>
          <w:rFonts w:ascii="Arial" w:eastAsia="Times New Roman" w:hAnsi="Arial"/>
          <w:b/>
          <w:bCs/>
          <w:sz w:val="24"/>
        </w:rPr>
        <w:tab/>
      </w:r>
      <w:bookmarkStart w:id="2" w:name="_GoBack"/>
      <w:r w:rsidRPr="00865C56">
        <w:rPr>
          <w:rFonts w:ascii="Arial" w:eastAsia="Times New Roman" w:hAnsi="Arial"/>
          <w:b/>
          <w:bCs/>
          <w:sz w:val="24"/>
        </w:rPr>
        <w:t>R2-18068</w:t>
      </w:r>
      <w:r>
        <w:rPr>
          <w:rFonts w:ascii="Arial" w:eastAsia="Times New Roman" w:hAnsi="Arial"/>
          <w:b/>
          <w:bCs/>
          <w:sz w:val="24"/>
        </w:rPr>
        <w:t>9</w:t>
      </w:r>
      <w:r>
        <w:rPr>
          <w:rFonts w:ascii="Arial" w:eastAsia="Times New Roman" w:hAnsi="Arial"/>
          <w:b/>
          <w:bCs/>
          <w:sz w:val="24"/>
        </w:rPr>
        <w:t>1</w:t>
      </w:r>
      <w:bookmarkEnd w:id="2"/>
    </w:p>
    <w:p w14:paraId="01E04BA7" w14:textId="1D2CA962" w:rsidR="00651990" w:rsidRPr="00865C56" w:rsidRDefault="00651990" w:rsidP="00651990">
      <w:pPr>
        <w:tabs>
          <w:tab w:val="left" w:pos="6840"/>
          <w:tab w:val="right" w:pos="9639"/>
        </w:tabs>
        <w:spacing w:after="0"/>
        <w:rPr>
          <w:rFonts w:ascii="Arial" w:eastAsia="Times New Roman" w:hAnsi="Arial"/>
          <w:b/>
          <w:bCs/>
          <w:sz w:val="18"/>
          <w:szCs w:val="18"/>
        </w:rPr>
      </w:pPr>
      <w:r w:rsidRPr="00865C56">
        <w:rPr>
          <w:rFonts w:ascii="Arial" w:eastAsia="Times New Roman" w:hAnsi="Arial"/>
          <w:b/>
          <w:bCs/>
          <w:sz w:val="24"/>
        </w:rPr>
        <w:t>Busan, Korea, 21-25 May 2018</w:t>
      </w:r>
      <w:r>
        <w:rPr>
          <w:rFonts w:ascii="Arial" w:eastAsia="Times New Roman" w:hAnsi="Arial"/>
          <w:b/>
          <w:bCs/>
          <w:sz w:val="24"/>
        </w:rPr>
        <w:t xml:space="preserve"> </w:t>
      </w:r>
      <w:r>
        <w:rPr>
          <w:rFonts w:ascii="Arial" w:eastAsia="Times New Roman" w:hAnsi="Arial"/>
          <w:b/>
          <w:bCs/>
          <w:sz w:val="24"/>
        </w:rPr>
        <w:tab/>
      </w:r>
      <w:r>
        <w:rPr>
          <w:rFonts w:ascii="Arial" w:eastAsia="Times New Roman" w:hAnsi="Arial"/>
          <w:b/>
          <w:bCs/>
          <w:sz w:val="24"/>
        </w:rPr>
        <w:tab/>
      </w:r>
      <w:r w:rsidRPr="00865C56">
        <w:rPr>
          <w:rFonts w:ascii="Arial" w:eastAsia="Times New Roman" w:hAnsi="Arial"/>
          <w:b/>
          <w:bCs/>
          <w:sz w:val="18"/>
          <w:szCs w:val="18"/>
        </w:rPr>
        <w:t>(resubmission of R2-180</w:t>
      </w:r>
      <w:r>
        <w:rPr>
          <w:rFonts w:ascii="Arial" w:eastAsia="Times New Roman" w:hAnsi="Arial"/>
          <w:b/>
          <w:bCs/>
          <w:sz w:val="18"/>
          <w:szCs w:val="18"/>
        </w:rPr>
        <w:t>60</w:t>
      </w:r>
      <w:r>
        <w:rPr>
          <w:rFonts w:ascii="Arial" w:eastAsia="Times New Roman" w:hAnsi="Arial"/>
          <w:b/>
          <w:bCs/>
          <w:sz w:val="18"/>
          <w:szCs w:val="18"/>
        </w:rPr>
        <w:t>38</w:t>
      </w:r>
      <w:r w:rsidRPr="00865C56">
        <w:rPr>
          <w:rFonts w:ascii="Arial" w:eastAsia="Times New Roman" w:hAnsi="Arial"/>
          <w:b/>
          <w:bCs/>
          <w:sz w:val="18"/>
          <w:szCs w:val="18"/>
        </w:rPr>
        <w:t>)</w:t>
      </w:r>
    </w:p>
    <w:p w14:paraId="18C32E45" w14:textId="6C36DE04" w:rsidR="00871FDD" w:rsidRPr="00A70B8C" w:rsidRDefault="00871FDD" w:rsidP="00871FDD">
      <w:pPr>
        <w:pStyle w:val="CRCoverPage"/>
        <w:tabs>
          <w:tab w:val="left" w:pos="7110"/>
        </w:tabs>
        <w:spacing w:after="0"/>
        <w:ind w:right="641"/>
        <w:rPr>
          <w:b/>
          <w:noProof/>
          <w:sz w:val="16"/>
          <w:lang w:val="pt-PT"/>
        </w:rPr>
      </w:pPr>
      <w:r>
        <w:rPr>
          <w:rFonts w:cs="Arial"/>
          <w:b/>
          <w:sz w:val="24"/>
          <w:szCs w:val="28"/>
        </w:rPr>
        <w:tab/>
      </w:r>
    </w:p>
    <w:p w14:paraId="4AA28D15" w14:textId="77777777" w:rsidR="00871FDD" w:rsidRPr="006D3016" w:rsidRDefault="00871FDD" w:rsidP="00871FDD">
      <w:pPr>
        <w:spacing w:after="0"/>
        <w:rPr>
          <w:rFonts w:ascii="Arial" w:eastAsia="Times New Roman" w:hAnsi="Arial"/>
          <w:b/>
          <w:bCs/>
          <w:sz w:val="24"/>
        </w:rPr>
      </w:pPr>
    </w:p>
    <w:p w14:paraId="590B485A" w14:textId="77777777" w:rsidR="00871FDD" w:rsidRPr="00B25B11" w:rsidRDefault="00871FDD" w:rsidP="00871FDD">
      <w:pPr>
        <w:tabs>
          <w:tab w:val="left" w:pos="1985"/>
        </w:tabs>
        <w:rPr>
          <w:rFonts w:ascii="Arial" w:eastAsia="MS Mincho" w:hAnsi="Arial" w:cs="Arial"/>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Cs/>
          <w:sz w:val="24"/>
        </w:rPr>
        <w:t>11.2</w:t>
      </w:r>
    </w:p>
    <w:p w14:paraId="20E39551" w14:textId="77777777" w:rsidR="00871FDD" w:rsidRPr="00213A26" w:rsidRDefault="00871FDD" w:rsidP="00871FDD">
      <w:pPr>
        <w:tabs>
          <w:tab w:val="left" w:pos="1985"/>
        </w:tabs>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Cs/>
          <w:sz w:val="24"/>
        </w:rPr>
        <w:t xml:space="preserve">Qualcomm </w:t>
      </w:r>
      <w:r w:rsidRPr="007E7E42">
        <w:rPr>
          <w:rFonts w:ascii="Arial" w:hAnsi="Arial"/>
          <w:bCs/>
          <w:sz w:val="24"/>
        </w:rPr>
        <w:t>Incorporated</w:t>
      </w:r>
    </w:p>
    <w:p w14:paraId="55E3F820" w14:textId="340261F4" w:rsidR="00871FDD" w:rsidRPr="00915C58" w:rsidRDefault="00871FDD" w:rsidP="00871FDD">
      <w:pPr>
        <w:tabs>
          <w:tab w:val="left" w:pos="1985"/>
        </w:tabs>
        <w:ind w:left="1980" w:hanging="1980"/>
        <w:rPr>
          <w:rFonts w:ascii="Arial" w:hAnsi="Arial"/>
          <w:sz w:val="24"/>
          <w:lang w:val="en-US"/>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Pr>
          <w:rFonts w:ascii="Arial" w:hAnsi="Arial"/>
          <w:sz w:val="24"/>
        </w:rPr>
        <w:t xml:space="preserve">Channel Access for NR Unlicensed </w:t>
      </w:r>
    </w:p>
    <w:p w14:paraId="25B2CA34" w14:textId="77777777" w:rsidR="00871FDD" w:rsidRDefault="00871FDD" w:rsidP="00871FDD">
      <w:pPr>
        <w:tabs>
          <w:tab w:val="left" w:pos="1985"/>
        </w:tabs>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 and Decision</w:t>
      </w:r>
    </w:p>
    <w:p w14:paraId="7AB7E55C" w14:textId="2EC5310B" w:rsidR="00E80D0C" w:rsidRDefault="00E80D0C" w:rsidP="00FA110D">
      <w:pPr>
        <w:pStyle w:val="Heading1"/>
      </w:pPr>
      <w:r w:rsidRPr="00392E7D">
        <w:t>Introduction</w:t>
      </w:r>
    </w:p>
    <w:p w14:paraId="5DF7395A" w14:textId="695AFA46" w:rsidR="00FA110D" w:rsidRDefault="0015088F" w:rsidP="00F53A74">
      <w:r>
        <w:t xml:space="preserve">The SID for NR-unlicensed includes the following objectives </w:t>
      </w:r>
    </w:p>
    <w:p w14:paraId="36698E15" w14:textId="77777777" w:rsidR="0015088F" w:rsidRPr="0015088F" w:rsidRDefault="0015088F" w:rsidP="0015088F">
      <w:pPr>
        <w:numPr>
          <w:ilvl w:val="0"/>
          <w:numId w:val="18"/>
        </w:numPr>
        <w:rPr>
          <w:bCs/>
          <w:lang w:val="en-US"/>
        </w:rPr>
      </w:pPr>
      <w:r w:rsidRPr="0015088F">
        <w:rPr>
          <w:bCs/>
          <w:lang w:val="en-US"/>
        </w:rPr>
        <w:t xml:space="preserve">Study NR-based operation in unlicensed spectrum (RAN1, RAN2, RAN4) including </w:t>
      </w:r>
    </w:p>
    <w:p w14:paraId="0A7C7A7F" w14:textId="77777777" w:rsidR="0015088F" w:rsidRPr="0015088F" w:rsidRDefault="0015088F" w:rsidP="0015088F">
      <w:pPr>
        <w:numPr>
          <w:ilvl w:val="1"/>
          <w:numId w:val="19"/>
        </w:numPr>
        <w:rPr>
          <w:bCs/>
          <w:lang w:val="en-US"/>
        </w:rPr>
      </w:pPr>
      <w:r w:rsidRPr="0015088F">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64741CD2" w14:textId="77777777" w:rsidR="0015088F" w:rsidRPr="0015088F" w:rsidRDefault="0015088F" w:rsidP="0015088F">
      <w:pPr>
        <w:numPr>
          <w:ilvl w:val="2"/>
          <w:numId w:val="19"/>
        </w:numPr>
        <w:rPr>
          <w:bCs/>
          <w:lang w:val="en-US"/>
        </w:rPr>
      </w:pPr>
      <w:r w:rsidRPr="0015088F">
        <w:rPr>
          <w:bCs/>
          <w:lang w:val="en-US"/>
        </w:rPr>
        <w:t>Consider unlicensed bands both below and above 6GHz, up to 52.6GHz</w:t>
      </w:r>
    </w:p>
    <w:p w14:paraId="55829774" w14:textId="77777777" w:rsidR="0015088F" w:rsidRPr="0015088F" w:rsidRDefault="0015088F" w:rsidP="0015088F">
      <w:pPr>
        <w:numPr>
          <w:ilvl w:val="2"/>
          <w:numId w:val="19"/>
        </w:numPr>
        <w:rPr>
          <w:bCs/>
          <w:lang w:val="en-US"/>
        </w:rPr>
      </w:pPr>
      <w:r w:rsidRPr="0015088F">
        <w:rPr>
          <w:bCs/>
          <w:lang w:val="en-US"/>
        </w:rPr>
        <w:t xml:space="preserve">Consider unlicensed bands above 52.6GHz to the extent that waveform design principles remain unchanged with respect to below 52.6GHz bands </w:t>
      </w:r>
    </w:p>
    <w:p w14:paraId="0DF91DF4" w14:textId="77777777" w:rsidR="0015088F" w:rsidRPr="0015088F" w:rsidRDefault="0015088F" w:rsidP="0015088F">
      <w:pPr>
        <w:numPr>
          <w:ilvl w:val="2"/>
          <w:numId w:val="19"/>
        </w:numPr>
        <w:rPr>
          <w:bCs/>
          <w:lang w:val="en-US"/>
        </w:rPr>
      </w:pPr>
      <w:r w:rsidRPr="0015088F">
        <w:rPr>
          <w:bCs/>
          <w:lang w:val="en-US"/>
        </w:rPr>
        <w:t xml:space="preserve">Consider similar forward compatibility principles made in the NR WI </w:t>
      </w:r>
    </w:p>
    <w:p w14:paraId="28FEC0D4" w14:textId="77777777" w:rsidR="0015088F" w:rsidRPr="0015088F" w:rsidRDefault="0015088F" w:rsidP="0015088F">
      <w:pPr>
        <w:numPr>
          <w:ilvl w:val="1"/>
          <w:numId w:val="19"/>
        </w:numPr>
        <w:rPr>
          <w:bCs/>
        </w:rPr>
      </w:pPr>
      <w:r w:rsidRPr="0015088F">
        <w:rPr>
          <w:bCs/>
        </w:rPr>
        <w:t>Initial access, channel access. Scheduling/HARQ, and mobility including connected/inactive/idle mode operation and radio-link monitoring/failure</w:t>
      </w:r>
    </w:p>
    <w:p w14:paraId="50385EC7" w14:textId="77777777" w:rsidR="0015088F" w:rsidRPr="0015088F" w:rsidRDefault="0015088F" w:rsidP="0015088F">
      <w:pPr>
        <w:numPr>
          <w:ilvl w:val="1"/>
          <w:numId w:val="19"/>
        </w:numPr>
        <w:rPr>
          <w:bCs/>
          <w:lang w:val="en-US"/>
        </w:rPr>
      </w:pPr>
      <w:r w:rsidRPr="0015088F">
        <w:rPr>
          <w:bCs/>
          <w:lang w:val="en-US"/>
        </w:rPr>
        <w:t xml:space="preserve">Coexistence methods within NR-based and between NR-based operation in unlicensed and LTE-based LAA and with other incumbent RATs in accordance with regulatory requirements in e.g., 5GHz , 37GHz, 60GHz bands </w:t>
      </w:r>
    </w:p>
    <w:p w14:paraId="1D98E95D" w14:textId="77777777" w:rsidR="0015088F" w:rsidRPr="0015088F" w:rsidRDefault="0015088F" w:rsidP="0015088F">
      <w:pPr>
        <w:numPr>
          <w:ilvl w:val="2"/>
          <w:numId w:val="19"/>
        </w:numPr>
        <w:rPr>
          <w:bCs/>
          <w:lang w:val="en-US"/>
        </w:rPr>
      </w:pPr>
      <w:r w:rsidRPr="0015088F">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748D1B46" w14:textId="77777777" w:rsidR="00525F0E" w:rsidRPr="00525F0E" w:rsidRDefault="00525F0E" w:rsidP="00525F0E">
      <w:pPr>
        <w:ind w:right="1035"/>
        <w:rPr>
          <w:lang w:val="en-US"/>
        </w:rPr>
      </w:pPr>
      <w:r w:rsidRPr="00525F0E">
        <w:rPr>
          <w:lang w:val="en-US"/>
        </w:rPr>
        <w:t xml:space="preserve">The above study will address the following architectural scenarios (RAN2): </w:t>
      </w:r>
    </w:p>
    <w:p w14:paraId="645C47D6" w14:textId="77777777" w:rsidR="00525F0E" w:rsidRPr="00525F0E" w:rsidRDefault="00525F0E" w:rsidP="00525F0E">
      <w:pPr>
        <w:widowControl/>
        <w:numPr>
          <w:ilvl w:val="1"/>
          <w:numId w:val="19"/>
        </w:numPr>
        <w:kinsoku/>
        <w:adjustRightInd w:val="0"/>
        <w:spacing w:after="180"/>
        <w:ind w:right="1035"/>
        <w:textAlignment w:val="baseline"/>
        <w:rPr>
          <w:lang w:val="en-US"/>
        </w:rPr>
      </w:pPr>
      <w:r w:rsidRPr="00525F0E">
        <w:rPr>
          <w:lang w:val="en-US"/>
        </w:rPr>
        <w:t>An NR-based LAA cell(s) connects with an LTE or NR anchor cell operating in licensed spectrum</w:t>
      </w:r>
    </w:p>
    <w:p w14:paraId="433CBCE0" w14:textId="77777777" w:rsidR="00525F0E" w:rsidRPr="00525F0E" w:rsidRDefault="00525F0E" w:rsidP="00525F0E">
      <w:pPr>
        <w:widowControl/>
        <w:numPr>
          <w:ilvl w:val="2"/>
          <w:numId w:val="19"/>
        </w:numPr>
        <w:kinsoku/>
        <w:adjustRightInd w:val="0"/>
        <w:spacing w:after="180"/>
        <w:ind w:right="1035"/>
        <w:textAlignment w:val="baseline"/>
        <w:rPr>
          <w:lang w:val="en-US"/>
        </w:rPr>
      </w:pPr>
      <w:r w:rsidRPr="00525F0E">
        <w:rPr>
          <w:lang w:val="en-US"/>
        </w:rPr>
        <w:t xml:space="preserve">The study assumes the techniques for linking between </w:t>
      </w:r>
      <w:proofErr w:type="spellStart"/>
      <w:r w:rsidRPr="00525F0E">
        <w:rPr>
          <w:lang w:val="en-US"/>
        </w:rPr>
        <w:t>Pcell</w:t>
      </w:r>
      <w:proofErr w:type="spellEnd"/>
      <w:r w:rsidRPr="00525F0E">
        <w:rPr>
          <w:lang w:val="en-US"/>
        </w:rPr>
        <w:t xml:space="preserve"> (LTE or NR licensed CC) and </w:t>
      </w:r>
      <w:proofErr w:type="spellStart"/>
      <w:r w:rsidRPr="00525F0E">
        <w:rPr>
          <w:lang w:val="en-US"/>
        </w:rPr>
        <w:t>Scell</w:t>
      </w:r>
      <w:proofErr w:type="spellEnd"/>
      <w:r w:rsidRPr="00525F0E">
        <w:rPr>
          <w:lang w:val="en-US"/>
        </w:rPr>
        <w:t xml:space="preserve"> (NR unlicensed CCs) according to the NR WI</w:t>
      </w:r>
    </w:p>
    <w:p w14:paraId="0C26B8F1" w14:textId="77777777" w:rsidR="00525F0E" w:rsidRPr="00525F0E" w:rsidRDefault="00525F0E" w:rsidP="00525F0E">
      <w:pPr>
        <w:widowControl/>
        <w:numPr>
          <w:ilvl w:val="1"/>
          <w:numId w:val="19"/>
        </w:numPr>
        <w:kinsoku/>
        <w:adjustRightInd w:val="0"/>
        <w:spacing w:after="180"/>
        <w:ind w:right="1035"/>
        <w:textAlignment w:val="baseline"/>
        <w:rPr>
          <w:lang w:val="en-US"/>
        </w:rPr>
      </w:pPr>
      <w:r w:rsidRPr="00525F0E">
        <w:rPr>
          <w:lang w:val="en-US"/>
        </w:rPr>
        <w:t xml:space="preserve">An NR-based cell operating standalone in unlicensed spectrum, connected to a 5G-CN network with priority on frequency bands above 6GHz, e.g., for private network deployments; </w:t>
      </w:r>
    </w:p>
    <w:p w14:paraId="4491A7AE" w14:textId="77777777" w:rsidR="00525F0E" w:rsidRPr="00525F0E" w:rsidRDefault="00525F0E" w:rsidP="00525F0E">
      <w:pPr>
        <w:widowControl/>
        <w:numPr>
          <w:ilvl w:val="1"/>
          <w:numId w:val="19"/>
        </w:numPr>
        <w:kinsoku/>
        <w:adjustRightInd w:val="0"/>
        <w:spacing w:after="180"/>
        <w:ind w:right="1035"/>
        <w:textAlignment w:val="baseline"/>
        <w:rPr>
          <w:lang w:val="en-US"/>
        </w:rPr>
      </w:pPr>
      <w:r w:rsidRPr="00525F0E">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C5C41A6" w14:textId="33A86E65" w:rsidR="00663C07" w:rsidRDefault="00663C07" w:rsidP="00F53A74">
      <w:pPr>
        <w:rPr>
          <w:lang w:val="en-US"/>
        </w:rPr>
      </w:pPr>
      <w:r>
        <w:rPr>
          <w:lang w:val="en-US"/>
        </w:rPr>
        <w:t>Follow</w:t>
      </w:r>
      <w:r w:rsidR="00D7530F">
        <w:rPr>
          <w:lang w:val="en-US"/>
        </w:rPr>
        <w:t>ing</w:t>
      </w:r>
      <w:r>
        <w:rPr>
          <w:lang w:val="en-US"/>
        </w:rPr>
        <w:t xml:space="preserve"> the </w:t>
      </w:r>
      <w:r w:rsidR="009F7EE5">
        <w:rPr>
          <w:lang w:val="en-US"/>
        </w:rPr>
        <w:t xml:space="preserve">Study Item </w:t>
      </w:r>
      <w:r>
        <w:rPr>
          <w:lang w:val="en-US"/>
        </w:rPr>
        <w:t xml:space="preserve">objectives, the NR licensed design will be the baseline for NR-unlicensed design. Only changes that are essential </w:t>
      </w:r>
      <w:r w:rsidR="00D7530F">
        <w:rPr>
          <w:lang w:val="en-US"/>
        </w:rPr>
        <w:t>for</w:t>
      </w:r>
      <w:r>
        <w:rPr>
          <w:lang w:val="en-US"/>
        </w:rPr>
        <w:t xml:space="preserve"> unlicensed operation will be introduced. </w:t>
      </w:r>
    </w:p>
    <w:p w14:paraId="18B36327" w14:textId="3FBD2D40" w:rsidR="0015088F" w:rsidRDefault="0015088F" w:rsidP="00F53A74">
      <w:pPr>
        <w:rPr>
          <w:lang w:val="en-US"/>
        </w:rPr>
      </w:pPr>
      <w:r>
        <w:rPr>
          <w:lang w:val="en-US"/>
        </w:rPr>
        <w:t xml:space="preserve">In this paper, we discuss </w:t>
      </w:r>
      <w:r w:rsidR="00D7530F">
        <w:rPr>
          <w:lang w:val="en-US"/>
        </w:rPr>
        <w:t xml:space="preserve">a few </w:t>
      </w:r>
      <w:r>
        <w:rPr>
          <w:lang w:val="en-US"/>
        </w:rPr>
        <w:t xml:space="preserve">aspects </w:t>
      </w:r>
      <w:r w:rsidR="00D7530F">
        <w:rPr>
          <w:lang w:val="en-US"/>
        </w:rPr>
        <w:t>that we believe are essential</w:t>
      </w:r>
      <w:r>
        <w:rPr>
          <w:lang w:val="en-US"/>
        </w:rPr>
        <w:t xml:space="preserve"> for </w:t>
      </w:r>
      <w:r w:rsidR="00D7530F">
        <w:rPr>
          <w:lang w:val="en-US"/>
        </w:rPr>
        <w:t xml:space="preserve">efficient </w:t>
      </w:r>
      <w:r>
        <w:rPr>
          <w:lang w:val="en-US"/>
        </w:rPr>
        <w:t>NR-unlicensed</w:t>
      </w:r>
      <w:r w:rsidR="00D7530F">
        <w:rPr>
          <w:lang w:val="en-US"/>
        </w:rPr>
        <w:t xml:space="preserve"> operation. The areas covered</w:t>
      </w:r>
      <w:r>
        <w:rPr>
          <w:lang w:val="en-US"/>
        </w:rPr>
        <w:t xml:space="preserve"> includ</w:t>
      </w:r>
      <w:r w:rsidR="00D7530F">
        <w:rPr>
          <w:lang w:val="en-US"/>
        </w:rPr>
        <w:t>e:</w:t>
      </w:r>
    </w:p>
    <w:p w14:paraId="1FDCC905" w14:textId="5ABFBF88" w:rsidR="0015088F" w:rsidRDefault="00ED4F08" w:rsidP="0015088F">
      <w:pPr>
        <w:pStyle w:val="ListParagraph"/>
        <w:numPr>
          <w:ilvl w:val="0"/>
          <w:numId w:val="18"/>
        </w:numPr>
        <w:rPr>
          <w:lang w:val="en-US"/>
        </w:rPr>
      </w:pPr>
      <w:r>
        <w:rPr>
          <w:lang w:val="en-US"/>
        </w:rPr>
        <w:t>Channel access robustness</w:t>
      </w:r>
    </w:p>
    <w:p w14:paraId="620B39BB" w14:textId="6D50CE39" w:rsidR="0015088F" w:rsidRDefault="00D1328D" w:rsidP="0015088F">
      <w:pPr>
        <w:pStyle w:val="ListParagraph"/>
        <w:numPr>
          <w:ilvl w:val="0"/>
          <w:numId w:val="18"/>
        </w:numPr>
        <w:rPr>
          <w:lang w:val="en-US"/>
        </w:rPr>
      </w:pPr>
      <w:r>
        <w:rPr>
          <w:lang w:val="en-US"/>
        </w:rPr>
        <w:t>Broadcast</w:t>
      </w:r>
      <w:r w:rsidR="00D97BF9">
        <w:rPr>
          <w:lang w:val="en-US"/>
        </w:rPr>
        <w:t xml:space="preserve"> and paging control</w:t>
      </w:r>
      <w:r w:rsidR="00B241C5">
        <w:rPr>
          <w:lang w:val="en-US"/>
        </w:rPr>
        <w:t xml:space="preserve"> channel protection</w:t>
      </w:r>
    </w:p>
    <w:p w14:paraId="64AF001A" w14:textId="70386236" w:rsidR="002105A0" w:rsidRDefault="002105A0" w:rsidP="0015088F">
      <w:pPr>
        <w:pStyle w:val="ListParagraph"/>
        <w:numPr>
          <w:ilvl w:val="0"/>
          <w:numId w:val="18"/>
        </w:numPr>
        <w:rPr>
          <w:lang w:val="en-US"/>
        </w:rPr>
      </w:pPr>
      <w:r>
        <w:rPr>
          <w:lang w:val="en-US"/>
        </w:rPr>
        <w:t>System Information delivery</w:t>
      </w:r>
    </w:p>
    <w:bookmarkEnd w:id="0"/>
    <w:bookmarkEnd w:id="1"/>
    <w:p w14:paraId="1385149F" w14:textId="77777777" w:rsidR="00AB0EBA" w:rsidRDefault="00AB0EBA" w:rsidP="00AB0EBA">
      <w:pPr>
        <w:pStyle w:val="ListParagraph"/>
        <w:ind w:left="720"/>
        <w:rPr>
          <w:lang w:val="en-US"/>
        </w:rPr>
      </w:pPr>
    </w:p>
    <w:p w14:paraId="7374D726" w14:textId="77777777" w:rsidR="00AB0EBA" w:rsidRDefault="00AB0EBA" w:rsidP="00AB0EBA">
      <w:pPr>
        <w:pStyle w:val="Heading1"/>
      </w:pPr>
      <w:r>
        <w:t>Discussions</w:t>
      </w:r>
    </w:p>
    <w:p w14:paraId="646EC044" w14:textId="77777777" w:rsidR="00AB0EBA" w:rsidRDefault="00AB0EBA" w:rsidP="00AB0EBA">
      <w:pPr>
        <w:pStyle w:val="Heading2"/>
      </w:pPr>
      <w:r>
        <w:t>2.1</w:t>
      </w:r>
      <w:r>
        <w:tab/>
        <w:t>SMTC for Channel Access Robustness</w:t>
      </w:r>
    </w:p>
    <w:p w14:paraId="07D2ED76" w14:textId="5F9FD8FA" w:rsidR="00AB0EBA" w:rsidRDefault="00AB0EBA" w:rsidP="00AB0EBA">
      <w:r w:rsidRPr="00A0032E">
        <w:rPr>
          <w:lang w:eastAsia="ko-KR"/>
        </w:rPr>
        <w:t xml:space="preserve">Access on unlicensed spectrum is typically granted after a </w:t>
      </w:r>
      <w:r>
        <w:t>listen-before-talk</w:t>
      </w:r>
      <w:r w:rsidRPr="00A0032E">
        <w:rPr>
          <w:lang w:eastAsia="ko-KR"/>
        </w:rPr>
        <w:t xml:space="preserve"> </w:t>
      </w:r>
      <w:r>
        <w:rPr>
          <w:lang w:eastAsia="ko-KR"/>
        </w:rPr>
        <w:t>(</w:t>
      </w:r>
      <w:r w:rsidRPr="00A0032E">
        <w:rPr>
          <w:lang w:eastAsia="ko-KR"/>
        </w:rPr>
        <w:t>LBT</w:t>
      </w:r>
      <w:r>
        <w:rPr>
          <w:lang w:eastAsia="ko-KR"/>
        </w:rPr>
        <w:t>)</w:t>
      </w:r>
      <w:r w:rsidRPr="00A0032E">
        <w:rPr>
          <w:lang w:eastAsia="ko-KR"/>
        </w:rPr>
        <w:t xml:space="preserve"> procedure.</w:t>
      </w:r>
      <w:r>
        <w:t xml:space="preserve"> Bands subject – for technical, regulatory, or coexistence requirements - to LBT procedures [1], experience non-deterministic timing for critical channels.</w:t>
      </w:r>
    </w:p>
    <w:p w14:paraId="41EC8BE7" w14:textId="77777777" w:rsidR="00AB0EBA" w:rsidRDefault="00AB0EBA" w:rsidP="00AB0EBA">
      <w:r>
        <w:t>On one hand, as in LTE-LAA, broadcast downlink channels used for cell detection, RRM, paging may not occur at deterministic times. LBT can further preclude deterministic occasions for initial (or subsequent) uplink access. Examples of bands where LBT requirements exist are:</w:t>
      </w:r>
    </w:p>
    <w:p w14:paraId="2ABFF410" w14:textId="1253E92E" w:rsidR="00AB0EBA" w:rsidRDefault="00AB0EBA" w:rsidP="00AB0EBA">
      <w:pPr>
        <w:pStyle w:val="ListParagraph"/>
        <w:numPr>
          <w:ilvl w:val="0"/>
          <w:numId w:val="19"/>
        </w:numPr>
      </w:pPr>
      <w:r>
        <w:t>the 5 GHz band considered for LTE-LAA [2]</w:t>
      </w:r>
    </w:p>
    <w:p w14:paraId="2102C6CE" w14:textId="382554F1" w:rsidR="00AB0EBA" w:rsidRDefault="00AB0EBA" w:rsidP="00AB0EBA">
      <w:pPr>
        <w:pStyle w:val="ListParagraph"/>
        <w:numPr>
          <w:ilvl w:val="0"/>
          <w:numId w:val="19"/>
        </w:numPr>
      </w:pPr>
      <w:r>
        <w:t>60 GHz: subject to omni LBT under ETSI rules [1]</w:t>
      </w:r>
    </w:p>
    <w:p w14:paraId="0291A122" w14:textId="77777777" w:rsidR="00AB0EBA" w:rsidRDefault="00AB0EBA" w:rsidP="00AB0EBA"/>
    <w:p w14:paraId="27DF5617" w14:textId="77777777" w:rsidR="00AB0EBA" w:rsidRPr="00FF6DFF" w:rsidRDefault="00AB0EBA" w:rsidP="00AB0EBA">
      <w:pPr>
        <w:rPr>
          <w:b/>
        </w:rPr>
      </w:pPr>
      <w:r w:rsidRPr="00FF6DFF">
        <w:rPr>
          <w:b/>
        </w:rPr>
        <w:t>Observation</w:t>
      </w:r>
      <w:r>
        <w:rPr>
          <w:b/>
        </w:rPr>
        <w:t xml:space="preserve"> 1.1</w:t>
      </w:r>
      <w:r w:rsidRPr="00FF6DFF">
        <w:rPr>
          <w:b/>
        </w:rPr>
        <w:t>:</w:t>
      </w:r>
      <w:r>
        <w:rPr>
          <w:b/>
        </w:rPr>
        <w:t xml:space="preserve"> In LBT bands, deterministic timing cannot be expected f</w:t>
      </w:r>
      <w:r w:rsidRPr="00FF6DFF">
        <w:rPr>
          <w:b/>
        </w:rPr>
        <w:t>or downlink and uplink channels used for cell detection, RRM, paging and (initial, possibly subsequent) uplink access.</w:t>
      </w:r>
    </w:p>
    <w:p w14:paraId="3DF687CD" w14:textId="77777777" w:rsidR="00AB0EBA" w:rsidRDefault="00AB0EBA" w:rsidP="00AB0EBA">
      <w:r>
        <w:t>To ensure predictable and robust user experience, LTE-LAA made use of a RS discovery window (DMTC) to protect discovery RS. A DMTC mechanism has a series of benefits, amongst which:</w:t>
      </w:r>
    </w:p>
    <w:p w14:paraId="35C48CFA" w14:textId="77777777" w:rsidR="00AB0EBA" w:rsidRDefault="00AB0EBA" w:rsidP="00AB0EBA">
      <w:pPr>
        <w:pStyle w:val="ListParagraph"/>
        <w:numPr>
          <w:ilvl w:val="0"/>
          <w:numId w:val="45"/>
        </w:numPr>
      </w:pPr>
      <w:r>
        <w:t>Synchronous cochannel NR operators can increase robustness by orthogonalizing their DMTC windows (by, for instance, user lower-priority LBT or avoid transmission altogether in coexisting operators’ DMTC)</w:t>
      </w:r>
    </w:p>
    <w:p w14:paraId="506133ED" w14:textId="77777777" w:rsidR="00AB0EBA" w:rsidRDefault="00AB0EBA" w:rsidP="00AB0EBA">
      <w:pPr>
        <w:pStyle w:val="ListParagraph"/>
        <w:numPr>
          <w:ilvl w:val="0"/>
          <w:numId w:val="45"/>
        </w:numPr>
      </w:pPr>
      <w:proofErr w:type="spellStart"/>
      <w:r>
        <w:t>gNB</w:t>
      </w:r>
      <w:proofErr w:type="spellEnd"/>
      <w:r>
        <w:t xml:space="preserve"> can use a higher-priority LBT access to increase the chance of RS transmission in DMTC, in coexistence or asynchronous deployment scenarios.</w:t>
      </w:r>
    </w:p>
    <w:p w14:paraId="3C11F486" w14:textId="77777777" w:rsidR="00AB0EBA" w:rsidRDefault="00AB0EBA" w:rsidP="00AB0EBA"/>
    <w:p w14:paraId="17DE81F6" w14:textId="77777777" w:rsidR="00AB0EBA" w:rsidRDefault="00AB0EBA" w:rsidP="00AB0EBA">
      <w:r>
        <w:t>In addition to RRM/cell discovery reference signals (RS), standalone and dual-connectivity (DC) architectures require protection of additional channels and signals: paging, essential broadcast (including PBCH and RMSI), PRACH. Ensuring these channels’ robustness is crucial to providing a consistent and seamless user experience: high likelihood and low latency in channel access.</w:t>
      </w:r>
    </w:p>
    <w:p w14:paraId="4E2C8692" w14:textId="77777777" w:rsidR="00AB0EBA" w:rsidRPr="00FF6DFF" w:rsidRDefault="00AB0EBA" w:rsidP="00AB0EBA">
      <w:pPr>
        <w:rPr>
          <w:b/>
        </w:rPr>
      </w:pPr>
      <w:r w:rsidRPr="00FF6DFF">
        <w:rPr>
          <w:b/>
        </w:rPr>
        <w:t>Observation</w:t>
      </w:r>
      <w:r>
        <w:rPr>
          <w:b/>
        </w:rPr>
        <w:t xml:space="preserve"> 1.2</w:t>
      </w:r>
      <w:r w:rsidRPr="00FF6DFF">
        <w:rPr>
          <w:b/>
        </w:rPr>
        <w:t>:</w:t>
      </w:r>
      <w:r>
        <w:rPr>
          <w:b/>
        </w:rPr>
        <w:t xml:space="preserve"> Robust transmission of RRM reference signals, as well as paging, essential broadcast (including PBCH, RMSI) and PRACH is essential to </w:t>
      </w:r>
      <w:r w:rsidRPr="00E44EF0">
        <w:rPr>
          <w:b/>
        </w:rPr>
        <w:t>ensure high quality, reliable user experience</w:t>
      </w:r>
      <w:r>
        <w:rPr>
          <w:b/>
        </w:rPr>
        <w:t xml:space="preserve"> in SA and DC architectures.</w:t>
      </w:r>
    </w:p>
    <w:p w14:paraId="1D335E77" w14:textId="36622812" w:rsidR="00AB0EBA" w:rsidRDefault="00AB0EBA" w:rsidP="00AB0EBA">
      <w:r>
        <w:t>Similar to the LTE-LAA DMTC concept, a simple coexistence mechanism is preferred to both reuse Rel-15 NR design</w:t>
      </w:r>
      <w:r w:rsidR="009F7EE5">
        <w:t xml:space="preserve"> [3]</w:t>
      </w:r>
      <w:r>
        <w:t xml:space="preserve">, as well as take advantage of the advanced functionality in Rel-15 NR. We </w:t>
      </w:r>
      <w:r w:rsidR="009F7EE5">
        <w:t>think</w:t>
      </w:r>
      <w:r>
        <w:t xml:space="preserve"> that NR SMTC </w:t>
      </w:r>
      <w:r w:rsidR="009F7EE5">
        <w:t xml:space="preserve">can </w:t>
      </w:r>
      <w:r>
        <w:t xml:space="preserve">be a foundation for signalling a predictable resource set in which UE (and other nodes) can detect and acquire robust DL signals. </w:t>
      </w:r>
      <w:r w:rsidR="00EF03E1">
        <w:t xml:space="preserve">This will be called SMTC-U in the sequel. </w:t>
      </w:r>
      <w:r>
        <w:t>RAN nodes would deliver DL transmissions in this resource set with a higher likelihood of success (e.g. one-shot LBT, or shorter C</w:t>
      </w:r>
      <w:r w:rsidR="009F7EE5">
        <w:t xml:space="preserve">ontention </w:t>
      </w:r>
      <w:r>
        <w:t>W</w:t>
      </w:r>
      <w:r w:rsidR="009F7EE5">
        <w:t>indow</w:t>
      </w:r>
      <w:r>
        <w:t>).</w:t>
      </w:r>
    </w:p>
    <w:p w14:paraId="56BBC363" w14:textId="3FEC2CE1" w:rsidR="00AB0EBA" w:rsidRDefault="00AB0EBA" w:rsidP="00AB0EBA">
      <w:pPr>
        <w:rPr>
          <w:b/>
        </w:rPr>
      </w:pPr>
      <w:r>
        <w:rPr>
          <w:b/>
        </w:rPr>
        <w:t>Proposal 1.1: RAN2 should study SMTC</w:t>
      </w:r>
      <w:r w:rsidR="00EF03E1">
        <w:rPr>
          <w:b/>
        </w:rPr>
        <w:t>-U</w:t>
      </w:r>
      <w:r>
        <w:rPr>
          <w:b/>
        </w:rPr>
        <w:t xml:space="preserve"> protection as a starting point for ensuring channel access robustness, akin to LAA-DMTC, for SSB, essential broadcast, and paging channels</w:t>
      </w:r>
      <w:r w:rsidR="009F7EE5">
        <w:rPr>
          <w:b/>
        </w:rPr>
        <w:t>.</w:t>
      </w:r>
    </w:p>
    <w:p w14:paraId="7C4383BA" w14:textId="77777777" w:rsidR="00AB0EBA" w:rsidRDefault="00AB0EBA" w:rsidP="00AB0EBA">
      <w:r>
        <w:t>Additional NR functionality (e.g. mini-slot granularity, BWP) can be further considered as RAN1 deems appropriate to ensure robustness in contention medium, to further refine SMTC-U (SMTC for NR-U)</w:t>
      </w:r>
    </w:p>
    <w:p w14:paraId="452183CF" w14:textId="77777777" w:rsidR="00AB0EBA" w:rsidRDefault="00AB0EBA" w:rsidP="00AB0EBA">
      <w:r w:rsidDel="00BD7D4A">
        <w:t xml:space="preserve"> </w:t>
      </w:r>
    </w:p>
    <w:p w14:paraId="31CA852D" w14:textId="77777777" w:rsidR="00AB0EBA" w:rsidRDefault="00AB0EBA" w:rsidP="00AB0EBA">
      <w:pPr>
        <w:keepNext/>
        <w:jc w:val="center"/>
      </w:pPr>
      <w:r>
        <w:object w:dxaOrig="12106" w:dyaOrig="4486" w14:anchorId="34289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78.55pt" o:ole="">
            <v:imagedata r:id="rId13" o:title=""/>
          </v:shape>
          <o:OLEObject Type="Embed" ProgID="Visio.DrawingConvertable.15" ShapeID="_x0000_i1025" DrawAspect="Content" ObjectID="_1587419780" r:id="rId14"/>
        </w:object>
      </w:r>
    </w:p>
    <w:p w14:paraId="4163D52E" w14:textId="77777777" w:rsidR="00AB0EBA" w:rsidRDefault="00AB0EBA" w:rsidP="00AB0EB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(Figure </w:t>
      </w:r>
      <w:r w:rsidRPr="00BD7D4A">
        <w:t>7.2.1.2-1</w:t>
      </w:r>
      <w:r>
        <w:t xml:space="preserve"> from 36.889): </w:t>
      </w:r>
      <w:r>
        <w:rPr>
          <w:noProof/>
        </w:rPr>
        <w:t>discovery window options considered for DMTC-LAA, as starting point for SMTC-U</w:t>
      </w:r>
    </w:p>
    <w:p w14:paraId="2DF62AA4" w14:textId="0F8EE6D0" w:rsidR="00AB0EBA" w:rsidRDefault="00AB0EBA" w:rsidP="00AB0EBA">
      <w:r>
        <w:t xml:space="preserve">A robust protection mechanism should not make fundamental assumptions on inter-cell synchronizations. While synchronous networks in contention environments can be </w:t>
      </w:r>
      <w:r w:rsidR="009F7EE5">
        <w:t>further optimized</w:t>
      </w:r>
      <w:r>
        <w:t>, the robust signalling of protected DL and UL channel resources shall allow asynchronous deployments for both intra and inter-operator neighbour cells.</w:t>
      </w:r>
    </w:p>
    <w:p w14:paraId="57CEA2C1" w14:textId="1D361CBD" w:rsidR="00AB0EBA" w:rsidRDefault="00AB0EBA" w:rsidP="00AB0EBA">
      <w:r w:rsidRPr="002218C5">
        <w:rPr>
          <w:b/>
        </w:rPr>
        <w:t xml:space="preserve">Proposal </w:t>
      </w:r>
      <w:r>
        <w:rPr>
          <w:b/>
        </w:rPr>
        <w:t>1.</w:t>
      </w:r>
      <w:r w:rsidRPr="002218C5">
        <w:rPr>
          <w:b/>
        </w:rPr>
        <w:t xml:space="preserve">2: </w:t>
      </w:r>
      <w:r>
        <w:rPr>
          <w:b/>
        </w:rPr>
        <w:t>SMTC</w:t>
      </w:r>
      <w:r w:rsidR="009F7EE5">
        <w:rPr>
          <w:b/>
        </w:rPr>
        <w:t xml:space="preserve"> framework</w:t>
      </w:r>
      <w:r>
        <w:rPr>
          <w:b/>
        </w:rPr>
        <w:t xml:space="preserve"> </w:t>
      </w:r>
      <w:r w:rsidR="009F7EE5">
        <w:rPr>
          <w:b/>
        </w:rPr>
        <w:t xml:space="preserve">should </w:t>
      </w:r>
      <w:r>
        <w:rPr>
          <w:b/>
        </w:rPr>
        <w:t xml:space="preserve">also </w:t>
      </w:r>
      <w:r w:rsidR="009F7EE5">
        <w:rPr>
          <w:b/>
        </w:rPr>
        <w:t xml:space="preserve">be </w:t>
      </w:r>
      <w:r>
        <w:rPr>
          <w:b/>
        </w:rPr>
        <w:t>studied for s</w:t>
      </w:r>
      <w:r w:rsidRPr="002218C5">
        <w:rPr>
          <w:b/>
        </w:rPr>
        <w:t>ignal</w:t>
      </w:r>
      <w:r>
        <w:rPr>
          <w:b/>
        </w:rPr>
        <w:t>ling</w:t>
      </w:r>
      <w:r w:rsidRPr="002218C5">
        <w:rPr>
          <w:b/>
        </w:rPr>
        <w:t xml:space="preserve"> protected resources</w:t>
      </w:r>
      <w:r>
        <w:rPr>
          <w:b/>
        </w:rPr>
        <w:t xml:space="preserve"> </w:t>
      </w:r>
      <w:r w:rsidRPr="002218C5">
        <w:rPr>
          <w:b/>
        </w:rPr>
        <w:t xml:space="preserve">for asynchronous </w:t>
      </w:r>
      <w:r>
        <w:rPr>
          <w:b/>
        </w:rPr>
        <w:t xml:space="preserve">(intra-operator and inter-operator) </w:t>
      </w:r>
      <w:r w:rsidRPr="002218C5">
        <w:rPr>
          <w:b/>
        </w:rPr>
        <w:t>cell deployments.</w:t>
      </w:r>
    </w:p>
    <w:p w14:paraId="09F75F5E" w14:textId="0C8BE445" w:rsidR="00AB0EBA" w:rsidRDefault="00AB0EBA" w:rsidP="00AB0EBA">
      <w:r>
        <w:t xml:space="preserve">For bands not currently subject to LBT requirements (e.g. CBRS), RAN1 is expected to </w:t>
      </w:r>
      <w:r w:rsidR="003E3602">
        <w:t>develop</w:t>
      </w:r>
      <w:r>
        <w:t xml:space="preserve"> a coexistence mechanism. From a design simplicity perspective</w:t>
      </w:r>
      <w:r w:rsidR="003E3602">
        <w:t>,</w:t>
      </w:r>
      <w:r>
        <w:t xml:space="preserve"> uniform design is preferred for both LBT and non-LBT-based access. </w:t>
      </w:r>
    </w:p>
    <w:p w14:paraId="72124E6B" w14:textId="618F0C07" w:rsidR="00AB0EBA" w:rsidRDefault="00AB0EBA" w:rsidP="00AB0EBA">
      <w:pPr>
        <w:rPr>
          <w:b/>
        </w:rPr>
      </w:pPr>
      <w:r>
        <w:rPr>
          <w:b/>
        </w:rPr>
        <w:t xml:space="preserve">Proposal 1.3: RAN2 </w:t>
      </w:r>
      <w:r w:rsidR="003E3602">
        <w:rPr>
          <w:b/>
        </w:rPr>
        <w:t>should</w:t>
      </w:r>
      <w:r>
        <w:rPr>
          <w:b/>
        </w:rPr>
        <w:t xml:space="preserve"> </w:t>
      </w:r>
      <w:r w:rsidR="003E3602">
        <w:rPr>
          <w:b/>
        </w:rPr>
        <w:t>aim for a</w:t>
      </w:r>
      <w:r>
        <w:rPr>
          <w:b/>
        </w:rPr>
        <w:t xml:space="preserve"> uniform design of robust channel access protection mechanisms to address both LBT and non-LBT based medium contention.</w:t>
      </w:r>
    </w:p>
    <w:p w14:paraId="435764B1" w14:textId="77777777" w:rsidR="00AB0EBA" w:rsidRDefault="00AB0EBA" w:rsidP="00AB0EBA">
      <w:pPr>
        <w:pStyle w:val="Heading2"/>
      </w:pPr>
      <w:r>
        <w:t>2.2 System Information</w:t>
      </w:r>
    </w:p>
    <w:p w14:paraId="0ABEC407" w14:textId="350E117D" w:rsidR="00AB0EBA" w:rsidRDefault="00AB0EBA" w:rsidP="00AB0EBA">
      <w:r>
        <w:t xml:space="preserve">RAN1 agreed to consider the following deployment </w:t>
      </w:r>
      <w:r w:rsidR="003E3602">
        <w:t>scenarios</w:t>
      </w:r>
      <w:r>
        <w:t xml:space="preserve"> [4]:</w:t>
      </w:r>
    </w:p>
    <w:tbl>
      <w:tblPr>
        <w:tblStyle w:val="TableGrid"/>
        <w:tblW w:w="0" w:type="auto"/>
        <w:tblLook w:val="04A0" w:firstRow="1" w:lastRow="0" w:firstColumn="1" w:lastColumn="0" w:noHBand="0" w:noVBand="1"/>
      </w:tblPr>
      <w:tblGrid>
        <w:gridCol w:w="9362"/>
      </w:tblGrid>
      <w:tr w:rsidR="00AB0EBA" w14:paraId="026DADF4" w14:textId="77777777" w:rsidTr="00650718">
        <w:tc>
          <w:tcPr>
            <w:tcW w:w="9362" w:type="dxa"/>
          </w:tcPr>
          <w:p w14:paraId="5372FF55" w14:textId="77777777" w:rsidR="00AB0EBA" w:rsidRPr="00332B71" w:rsidRDefault="00AB0EBA" w:rsidP="00650718">
            <w:pPr>
              <w:pStyle w:val="ListParagraph"/>
              <w:numPr>
                <w:ilvl w:val="0"/>
                <w:numId w:val="46"/>
              </w:numPr>
              <w:kinsoku/>
              <w:autoSpaceDE w:val="0"/>
              <w:autoSpaceDN w:val="0"/>
              <w:adjustRightInd w:val="0"/>
              <w:spacing w:after="180"/>
              <w:contextualSpacing/>
              <w:textAlignment w:val="baseline"/>
              <w:rPr>
                <w:lang w:val="en-US" w:eastAsia="x-none"/>
              </w:rPr>
            </w:pPr>
            <w:r w:rsidRPr="00332B71">
              <w:rPr>
                <w:lang w:val="en-US" w:eastAsia="x-none"/>
              </w:rPr>
              <w:t>Carrier aggregation between licensed band NR (PCell) and NR-U (SCell)</w:t>
            </w:r>
          </w:p>
          <w:p w14:paraId="7DBA41F5" w14:textId="77777777" w:rsidR="00AB0EBA" w:rsidRPr="00332B71" w:rsidRDefault="00AB0EBA" w:rsidP="00650718">
            <w:pPr>
              <w:pStyle w:val="ListParagraph"/>
              <w:numPr>
                <w:ilvl w:val="1"/>
                <w:numId w:val="46"/>
              </w:numPr>
              <w:kinsoku/>
              <w:autoSpaceDE w:val="0"/>
              <w:autoSpaceDN w:val="0"/>
              <w:adjustRightInd w:val="0"/>
              <w:spacing w:after="180"/>
              <w:contextualSpacing/>
              <w:textAlignment w:val="baseline"/>
              <w:rPr>
                <w:lang w:val="en-US" w:eastAsia="x-none"/>
              </w:rPr>
            </w:pPr>
            <w:r w:rsidRPr="00332B71">
              <w:rPr>
                <w:lang w:val="en-US" w:eastAsia="x-none"/>
              </w:rPr>
              <w:t>NR-U SCell may have both DL and UL, or DL-only.</w:t>
            </w:r>
          </w:p>
          <w:p w14:paraId="6D814B4A" w14:textId="77777777" w:rsidR="00AB0EBA" w:rsidRPr="00332B71" w:rsidRDefault="00AB0EBA" w:rsidP="00650718">
            <w:pPr>
              <w:pStyle w:val="ListParagraph"/>
              <w:numPr>
                <w:ilvl w:val="0"/>
                <w:numId w:val="46"/>
              </w:numPr>
              <w:kinsoku/>
              <w:autoSpaceDE w:val="0"/>
              <w:autoSpaceDN w:val="0"/>
              <w:adjustRightInd w:val="0"/>
              <w:spacing w:after="180"/>
              <w:contextualSpacing/>
              <w:textAlignment w:val="baseline"/>
              <w:rPr>
                <w:lang w:val="en-US" w:eastAsia="x-none"/>
              </w:rPr>
            </w:pPr>
            <w:r w:rsidRPr="00332B71">
              <w:rPr>
                <w:lang w:val="en-US" w:eastAsia="x-none"/>
              </w:rPr>
              <w:t xml:space="preserve">Dual connectivity </w:t>
            </w:r>
            <w:bookmarkStart w:id="3" w:name="_Hlk500847868"/>
            <w:r w:rsidRPr="00332B71">
              <w:rPr>
                <w:lang w:val="en-US" w:eastAsia="x-none"/>
              </w:rPr>
              <w:t>between licensed band LTE (PCell) and NR-U (</w:t>
            </w:r>
            <w:proofErr w:type="spellStart"/>
            <w:r w:rsidRPr="00332B71">
              <w:rPr>
                <w:lang w:val="en-US" w:eastAsia="x-none"/>
              </w:rPr>
              <w:t>PSCell</w:t>
            </w:r>
            <w:proofErr w:type="spellEnd"/>
            <w:r w:rsidRPr="00332B71">
              <w:rPr>
                <w:lang w:val="en-US" w:eastAsia="x-none"/>
              </w:rPr>
              <w:t>)</w:t>
            </w:r>
            <w:bookmarkEnd w:id="3"/>
          </w:p>
          <w:p w14:paraId="14323652" w14:textId="77777777" w:rsidR="00AB0EBA" w:rsidRPr="00332B71" w:rsidRDefault="00AB0EBA" w:rsidP="00650718">
            <w:pPr>
              <w:pStyle w:val="ListParagraph"/>
              <w:numPr>
                <w:ilvl w:val="0"/>
                <w:numId w:val="46"/>
              </w:numPr>
              <w:kinsoku/>
              <w:autoSpaceDE w:val="0"/>
              <w:autoSpaceDN w:val="0"/>
              <w:adjustRightInd w:val="0"/>
              <w:spacing w:after="180"/>
              <w:contextualSpacing/>
              <w:textAlignment w:val="baseline"/>
              <w:rPr>
                <w:lang w:val="en-US" w:eastAsia="x-none"/>
              </w:rPr>
            </w:pPr>
            <w:r w:rsidRPr="00332B71">
              <w:rPr>
                <w:lang w:val="en-US" w:eastAsia="x-none"/>
              </w:rPr>
              <w:t>Stand-alone NR-U</w:t>
            </w:r>
          </w:p>
          <w:p w14:paraId="655A9292" w14:textId="77777777" w:rsidR="00AB0EBA" w:rsidRPr="00332B71" w:rsidRDefault="00AB0EBA" w:rsidP="00650718">
            <w:pPr>
              <w:pStyle w:val="ListParagraph"/>
              <w:numPr>
                <w:ilvl w:val="0"/>
                <w:numId w:val="46"/>
              </w:numPr>
              <w:kinsoku/>
              <w:autoSpaceDE w:val="0"/>
              <w:autoSpaceDN w:val="0"/>
              <w:adjustRightInd w:val="0"/>
              <w:spacing w:after="180"/>
              <w:contextualSpacing/>
              <w:textAlignment w:val="baseline"/>
              <w:rPr>
                <w:lang w:val="en-US" w:eastAsia="x-none"/>
              </w:rPr>
            </w:pPr>
            <w:r w:rsidRPr="00332B71">
              <w:rPr>
                <w:lang w:val="en-US" w:eastAsia="x-none"/>
              </w:rPr>
              <w:t>An NR cell with DL in unlicensed band and UL in licensed band</w:t>
            </w:r>
          </w:p>
          <w:p w14:paraId="5EB5E060" w14:textId="77777777" w:rsidR="00AB0EBA" w:rsidRDefault="00AB0EBA" w:rsidP="00650718">
            <w:pPr>
              <w:pStyle w:val="ListParagraph"/>
              <w:numPr>
                <w:ilvl w:val="0"/>
                <w:numId w:val="46"/>
              </w:numPr>
              <w:kinsoku/>
              <w:autoSpaceDE w:val="0"/>
              <w:autoSpaceDN w:val="0"/>
              <w:adjustRightInd w:val="0"/>
              <w:spacing w:after="180"/>
              <w:contextualSpacing/>
              <w:textAlignment w:val="baseline"/>
            </w:pPr>
            <w:bookmarkStart w:id="4" w:name="_Hlk500847837"/>
            <w:r w:rsidRPr="00332B71">
              <w:rPr>
                <w:lang w:val="en-US" w:eastAsia="x-none"/>
              </w:rPr>
              <w:t>Dual connectivity between licensed band NR (PCell) and NR-U (</w:t>
            </w:r>
            <w:proofErr w:type="spellStart"/>
            <w:r w:rsidRPr="00332B71">
              <w:rPr>
                <w:lang w:val="en-US" w:eastAsia="x-none"/>
              </w:rPr>
              <w:t>PSCell</w:t>
            </w:r>
            <w:bookmarkEnd w:id="4"/>
            <w:proofErr w:type="spellEnd"/>
            <w:r w:rsidRPr="00332B71">
              <w:rPr>
                <w:lang w:val="en-US" w:eastAsia="x-none"/>
              </w:rPr>
              <w:t>)</w:t>
            </w:r>
          </w:p>
        </w:tc>
      </w:tr>
    </w:tbl>
    <w:p w14:paraId="44B70C68" w14:textId="77777777" w:rsidR="00AB0EBA" w:rsidRDefault="00AB0EBA" w:rsidP="00AB0EBA"/>
    <w:p w14:paraId="3D63D66A" w14:textId="65EA5CE6" w:rsidR="00AB0EBA" w:rsidRDefault="003E3602" w:rsidP="00AB0EBA">
      <w:r>
        <w:t>The delivery of s</w:t>
      </w:r>
      <w:r w:rsidR="00AB0EBA">
        <w:t xml:space="preserve">ystem </w:t>
      </w:r>
      <w:r>
        <w:t>i</w:t>
      </w:r>
      <w:r w:rsidR="00AB0EBA">
        <w:t xml:space="preserve">nformation delivery is </w:t>
      </w:r>
      <w:r>
        <w:t>necessary in NR stand-alone (</w:t>
      </w:r>
      <w:r w:rsidR="00AB0EBA">
        <w:t>SA</w:t>
      </w:r>
      <w:r>
        <w:t>)</w:t>
      </w:r>
      <w:r w:rsidR="00AB0EBA">
        <w:t xml:space="preserve"> and </w:t>
      </w:r>
      <w:r>
        <w:t>beneficial in EN-DC architect</w:t>
      </w:r>
      <w:r w:rsidR="00AB0EBA">
        <w:t xml:space="preserve">ures. While SFN/SSB index and basic cell barring information can be extracted from SSB, UE requires RMSI information for – at least – initial cell access (e.g. </w:t>
      </w:r>
      <w:proofErr w:type="spellStart"/>
      <w:r w:rsidR="00AB0EBA" w:rsidRPr="000B25BA">
        <w:t>pdcch-ConfigCommon</w:t>
      </w:r>
      <w:proofErr w:type="spellEnd"/>
      <w:r w:rsidR="00AB0EBA">
        <w:t xml:space="preserve">, </w:t>
      </w:r>
      <w:proofErr w:type="spellStart"/>
      <w:r w:rsidR="00AB0EBA">
        <w:t>pucch-ConfigCommon</w:t>
      </w:r>
      <w:proofErr w:type="spellEnd"/>
      <w:r w:rsidR="00AB0EBA">
        <w:t>, etc)</w:t>
      </w:r>
      <w:r>
        <w:t xml:space="preserve"> as in NR licensed</w:t>
      </w:r>
      <w:r w:rsidR="00AB0EBA">
        <w:t>.</w:t>
      </w:r>
    </w:p>
    <w:p w14:paraId="3A2568D0" w14:textId="77777777" w:rsidR="00AB0EBA" w:rsidRDefault="00AB0EBA" w:rsidP="00AB0EBA">
      <w:r>
        <w:t xml:space="preserve">In 5GHz, for instance, high-priority medium access is subject to stringently short </w:t>
      </w:r>
      <w:proofErr w:type="spellStart"/>
      <w:r>
        <w:t>TxOP</w:t>
      </w:r>
      <w:proofErr w:type="spellEnd"/>
      <w:r>
        <w:t xml:space="preserve"> (e.g. 1ms for one-shot LBT, 2 </w:t>
      </w:r>
      <w:proofErr w:type="spellStart"/>
      <w:r>
        <w:t>ms</w:t>
      </w:r>
      <w:proofErr w:type="spellEnd"/>
      <w:r>
        <w:t xml:space="preserve"> for priority-1 LBT). For this reason, it is important to multiplex important signals in frequency domain, to efficiently use SMTC-U resources.</w:t>
      </w:r>
    </w:p>
    <w:p w14:paraId="4832D844" w14:textId="77777777" w:rsidR="00AB0EBA" w:rsidRDefault="00AB0EBA" w:rsidP="00AB0EBA"/>
    <w:p w14:paraId="619F8756" w14:textId="77777777" w:rsidR="00AB0EBA" w:rsidRDefault="00AB0EBA" w:rsidP="00AB0EBA">
      <w:pPr>
        <w:keepNext/>
      </w:pPr>
      <w:r w:rsidRPr="00A2695B">
        <w:rPr>
          <w:noProof/>
        </w:rPr>
        <w:lastRenderedPageBreak/>
        <w:drawing>
          <wp:inline distT="0" distB="0" distL="0" distR="0" wp14:anchorId="45D322F3" wp14:editId="4FF092CD">
            <wp:extent cx="5951220" cy="2390140"/>
            <wp:effectExtent l="0" t="0" r="0" b="0"/>
            <wp:docPr id="8" name="Picture 5">
              <a:extLst xmlns:a="http://schemas.openxmlformats.org/drawingml/2006/main">
                <a:ext uri="{FF2B5EF4-FFF2-40B4-BE49-F238E27FC236}">
                  <a16:creationId xmlns:a16="http://schemas.microsoft.com/office/drawing/2014/main" id="{7996A0CC-8619-437F-AFCC-89534188DE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7996A0CC-8619-437F-AFCC-89534188DE7D}"/>
                        </a:ext>
                      </a:extLst>
                    </pic:cNvPr>
                    <pic:cNvPicPr>
                      <a:picLocks noChangeAspect="1"/>
                    </pic:cNvPicPr>
                  </pic:nvPicPr>
                  <pic:blipFill>
                    <a:blip r:embed="rId15"/>
                    <a:stretch>
                      <a:fillRect/>
                    </a:stretch>
                  </pic:blipFill>
                  <pic:spPr>
                    <a:xfrm>
                      <a:off x="0" y="0"/>
                      <a:ext cx="5951220" cy="2390140"/>
                    </a:xfrm>
                    <a:prstGeom prst="rect">
                      <a:avLst/>
                    </a:prstGeom>
                  </pic:spPr>
                </pic:pic>
              </a:graphicData>
            </a:graphic>
          </wp:inline>
        </w:drawing>
      </w:r>
    </w:p>
    <w:p w14:paraId="4017D7E4" w14:textId="77777777" w:rsidR="00AB0EBA" w:rsidRDefault="00AB0EBA" w:rsidP="00AB0EBA">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RMSI / SSB multiplexing options in NR Rel-15</w:t>
      </w:r>
    </w:p>
    <w:p w14:paraId="6DC22403" w14:textId="0D3F26E8" w:rsidR="00AB0EBA" w:rsidRDefault="00AB0EBA" w:rsidP="00AB0EBA">
      <w:r>
        <w:t>Only RMSI/SSB TDM (Pattern 1) is available in FR1, while patterns 1, 2, 3 are allowed in FR2. Prohibiting the FDM-</w:t>
      </w:r>
      <w:proofErr w:type="spellStart"/>
      <w:r>
        <w:t>ing</w:t>
      </w:r>
      <w:proofErr w:type="spellEnd"/>
      <w:r>
        <w:t xml:space="preserve"> of SSB and RMSI may not make effective use of channel resources, or power spectrum regulatory restrictions [6].</w:t>
      </w:r>
    </w:p>
    <w:p w14:paraId="4BEC6D4B" w14:textId="77777777" w:rsidR="00AB0EBA" w:rsidRPr="00A2695B" w:rsidRDefault="00AB0EBA" w:rsidP="00AB0EBA">
      <w:pPr>
        <w:rPr>
          <w:b/>
        </w:rPr>
      </w:pPr>
      <w:r w:rsidRPr="00A2695B">
        <w:rPr>
          <w:b/>
        </w:rPr>
        <w:t xml:space="preserve">Observation </w:t>
      </w:r>
      <w:r>
        <w:rPr>
          <w:b/>
        </w:rPr>
        <w:t>2.1</w:t>
      </w:r>
      <w:r w:rsidRPr="00A2695B">
        <w:rPr>
          <w:b/>
        </w:rPr>
        <w:t>: RMSI/SSB FDM is not available in FR1</w:t>
      </w:r>
      <w:r>
        <w:rPr>
          <w:b/>
        </w:rPr>
        <w:t>.</w:t>
      </w:r>
    </w:p>
    <w:p w14:paraId="4829A6CB" w14:textId="760683EA" w:rsidR="00AB0EBA" w:rsidRPr="00A2695B" w:rsidRDefault="00AB0EBA" w:rsidP="00AB0EBA">
      <w:pPr>
        <w:rPr>
          <w:b/>
        </w:rPr>
      </w:pPr>
      <w:r w:rsidRPr="00A2695B">
        <w:rPr>
          <w:b/>
        </w:rPr>
        <w:t xml:space="preserve">Proposal </w:t>
      </w:r>
      <w:r>
        <w:rPr>
          <w:b/>
        </w:rPr>
        <w:t>2.1</w:t>
      </w:r>
      <w:r w:rsidRPr="00A2695B">
        <w:rPr>
          <w:b/>
        </w:rPr>
        <w:t xml:space="preserve">: RAN2 </w:t>
      </w:r>
      <w:r>
        <w:rPr>
          <w:b/>
        </w:rPr>
        <w:t>should</w:t>
      </w:r>
      <w:r w:rsidRPr="00A2695B">
        <w:rPr>
          <w:b/>
        </w:rPr>
        <w:t xml:space="preserve"> work with RAN</w:t>
      </w:r>
      <w:r>
        <w:rPr>
          <w:b/>
        </w:rPr>
        <w:t>1</w:t>
      </w:r>
      <w:r w:rsidRPr="00A2695B">
        <w:rPr>
          <w:b/>
        </w:rPr>
        <w:t xml:space="preserve"> to ensure that channels</w:t>
      </w:r>
      <w:r w:rsidR="003E3602">
        <w:rPr>
          <w:b/>
        </w:rPr>
        <w:t xml:space="preserve"> essential for access and</w:t>
      </w:r>
      <w:r w:rsidRPr="00A2695B">
        <w:rPr>
          <w:b/>
        </w:rPr>
        <w:t xml:space="preserve"> </w:t>
      </w:r>
      <w:r w:rsidR="003E3602">
        <w:rPr>
          <w:b/>
        </w:rPr>
        <w:t>considered for</w:t>
      </w:r>
      <w:r w:rsidRPr="00A2695B">
        <w:rPr>
          <w:b/>
        </w:rPr>
        <w:t xml:space="preserve"> access protection can be efficiently multiplexed</w:t>
      </w:r>
      <w:r>
        <w:rPr>
          <w:b/>
        </w:rPr>
        <w:t xml:space="preserve"> in unlicensed bands</w:t>
      </w:r>
      <w:r w:rsidRPr="00A2695B">
        <w:rPr>
          <w:b/>
        </w:rPr>
        <w:t>.</w:t>
      </w:r>
    </w:p>
    <w:p w14:paraId="29DEC1B5" w14:textId="77777777" w:rsidR="00AB0EBA" w:rsidRDefault="00AB0EBA" w:rsidP="00AB0EBA">
      <w:r>
        <w:t>Since rapid RMSI acquisition is crucial for at least RRC_IDLE or RRC_INACTIVE mobility, RMSI should benefit from robust channel access protection, as observed in section 2.1.</w:t>
      </w:r>
    </w:p>
    <w:p w14:paraId="61BA02E3" w14:textId="77777777" w:rsidR="00AB0EBA" w:rsidRDefault="00AB0EBA" w:rsidP="00AB0EBA">
      <w:r>
        <w:t>Additional system information relevant to cell discovery and inter-cell mobility should also be subject to fast acquisition and robust channel access protection:</w:t>
      </w:r>
    </w:p>
    <w:p w14:paraId="380DA468" w14:textId="77777777" w:rsidR="00AB0EBA" w:rsidRDefault="00AB0EBA" w:rsidP="00AB0EBA">
      <w:pPr>
        <w:pStyle w:val="ListParagraph"/>
        <w:numPr>
          <w:ilvl w:val="0"/>
          <w:numId w:val="45"/>
        </w:numPr>
      </w:pPr>
      <w:r>
        <w:t>higher-layer information (e.g. PLMN identity, access control and slice information) that ensures UE reselects to the correct same-operator cell) – expected to be added to NR Rel-15 standalone.</w:t>
      </w:r>
    </w:p>
    <w:p w14:paraId="7E68F528" w14:textId="77777777" w:rsidR="00AB0EBA" w:rsidRDefault="00AB0EBA" w:rsidP="00AB0EBA"/>
    <w:p w14:paraId="1B91F565" w14:textId="1FF83D34" w:rsidR="00AB0EBA" w:rsidRPr="001105C3" w:rsidRDefault="00AB0EBA" w:rsidP="00AB0EBA">
      <w:pPr>
        <w:rPr>
          <w:b/>
        </w:rPr>
      </w:pPr>
      <w:r>
        <w:rPr>
          <w:b/>
        </w:rPr>
        <w:t>Proposal 2.2</w:t>
      </w:r>
      <w:r w:rsidRPr="001105C3">
        <w:rPr>
          <w:b/>
        </w:rPr>
        <w:t xml:space="preserve">: In addition to RMSI, System Information relevant to fast and efficient cell re/selection (such as </w:t>
      </w:r>
      <w:r w:rsidR="003E3602">
        <w:rPr>
          <w:b/>
        </w:rPr>
        <w:t>neighbour cell information</w:t>
      </w:r>
      <w:r w:rsidRPr="001105C3">
        <w:rPr>
          <w:b/>
        </w:rPr>
        <w:t>) s</w:t>
      </w:r>
      <w:r w:rsidR="003E3602">
        <w:rPr>
          <w:b/>
        </w:rPr>
        <w:t>hould</w:t>
      </w:r>
      <w:r w:rsidRPr="001105C3">
        <w:rPr>
          <w:b/>
        </w:rPr>
        <w:t xml:space="preserve"> be subject to robust channel access protection.</w:t>
      </w:r>
    </w:p>
    <w:p w14:paraId="497FF2E4" w14:textId="77777777" w:rsidR="00AB0EBA" w:rsidRDefault="00AB0EBA" w:rsidP="00AB0EBA"/>
    <w:p w14:paraId="4C95EE71" w14:textId="77777777" w:rsidR="00AB0EBA" w:rsidRDefault="00AB0EBA" w:rsidP="00AB0EBA">
      <w:pPr>
        <w:pStyle w:val="Heading2"/>
      </w:pPr>
      <w:r>
        <w:t>2.3 Paging</w:t>
      </w:r>
    </w:p>
    <w:p w14:paraId="2EE9482F" w14:textId="5BF17D06" w:rsidR="00AB0EBA" w:rsidRDefault="00A80841" w:rsidP="00AB0EBA">
      <w:r>
        <w:t>Fast p</w:t>
      </w:r>
      <w:r w:rsidR="00AB0EBA">
        <w:t xml:space="preserve">aging (for MT calls, or to notify UE of system information changes) </w:t>
      </w:r>
      <w:r w:rsidR="003E3602">
        <w:t>is</w:t>
      </w:r>
      <w:r w:rsidR="00AB0EBA">
        <w:t xml:space="preserve"> crucial </w:t>
      </w:r>
      <w:r>
        <w:t>for</w:t>
      </w:r>
      <w:r w:rsidR="00AB0EBA">
        <w:t xml:space="preserve"> the user experience</w:t>
      </w:r>
      <w:r>
        <w:t>. F</w:t>
      </w:r>
      <w:r w:rsidR="00AB0EBA">
        <w:t>urthermore</w:t>
      </w:r>
      <w:r>
        <w:t>,</w:t>
      </w:r>
      <w:r w:rsidR="00AB0EBA">
        <w:t xml:space="preserve"> system information change notification is relevant to DC architecture</w:t>
      </w:r>
      <w:r>
        <w:t>. F</w:t>
      </w:r>
      <w:r w:rsidR="00AB0EBA">
        <w:t>or this reason, the paging channel should benefit from robust channel access protection, as observed in section 2.1.</w:t>
      </w:r>
    </w:p>
    <w:p w14:paraId="4682F277" w14:textId="77777777" w:rsidR="00AB0EBA" w:rsidRDefault="00AB0EBA" w:rsidP="00AB0EBA">
      <w:r>
        <w:t>Unlike in licensed bands, where paging occasions can be limited to specific subframes, LBT or other contention-based erasure may impact single-slot paging occasions. It is important to ensure a high likelihood of UE receiving pages; at the same time, robust paging designs should not unduly impact UE power efficiency or increase paging latency.</w:t>
      </w:r>
    </w:p>
    <w:p w14:paraId="289C8C55" w14:textId="0A3BDACE" w:rsidR="00AB0EBA" w:rsidRPr="00F02604" w:rsidRDefault="00AB0EBA" w:rsidP="00AB0EBA">
      <w:pPr>
        <w:rPr>
          <w:b/>
        </w:rPr>
      </w:pPr>
      <w:r w:rsidRPr="00F02604">
        <w:rPr>
          <w:b/>
        </w:rPr>
        <w:t xml:space="preserve">Proposal </w:t>
      </w:r>
      <w:r>
        <w:rPr>
          <w:b/>
        </w:rPr>
        <w:t>3.1</w:t>
      </w:r>
      <w:r w:rsidRPr="00F02604">
        <w:rPr>
          <w:b/>
        </w:rPr>
        <w:t xml:space="preserve">: NR Rel-16 should minimize the likelihood </w:t>
      </w:r>
      <w:r>
        <w:rPr>
          <w:b/>
        </w:rPr>
        <w:t>of</w:t>
      </w:r>
      <w:r w:rsidRPr="00F02604">
        <w:rPr>
          <w:b/>
        </w:rPr>
        <w:t xml:space="preserve"> </w:t>
      </w:r>
      <w:r w:rsidR="00A80841">
        <w:rPr>
          <w:b/>
        </w:rPr>
        <w:t>paging misdetection</w:t>
      </w:r>
      <w:r w:rsidR="00375D8D">
        <w:rPr>
          <w:b/>
        </w:rPr>
        <w:t xml:space="preserve"> due to LBT</w:t>
      </w:r>
      <w:r w:rsidRPr="00F02604">
        <w:rPr>
          <w:b/>
        </w:rPr>
        <w:t>.</w:t>
      </w:r>
    </w:p>
    <w:p w14:paraId="18C06F33" w14:textId="77777777" w:rsidR="00AB0EBA" w:rsidRDefault="00AB0EBA" w:rsidP="00AB0EBA">
      <w:pPr>
        <w:pStyle w:val="Heading2"/>
      </w:pPr>
      <w:r>
        <w:t>2.4 RACH</w:t>
      </w:r>
    </w:p>
    <w:p w14:paraId="2976B498" w14:textId="1F258181" w:rsidR="00AB0EBA" w:rsidRDefault="00AB0EBA" w:rsidP="00AB0EBA">
      <w:r>
        <w:t>Subsequent to cell acquisition, NR</w:t>
      </w:r>
      <w:r w:rsidR="00375D8D">
        <w:t xml:space="preserve">-U </w:t>
      </w:r>
      <w:r>
        <w:t>must ensure robust uplink access for seamless user  experience. For this purpose, UE uplink access (at least for initial and mobility purposes)</w:t>
      </w:r>
      <w:r w:rsidR="00EF03E1">
        <w:t xml:space="preserve"> can also</w:t>
      </w:r>
      <w:r>
        <w:t xml:space="preserve"> benefit from robust channel access protection, by mapping RACH occasions to a protected window. </w:t>
      </w:r>
    </w:p>
    <w:p w14:paraId="49FB067B" w14:textId="77777777" w:rsidR="00AB0EBA" w:rsidRDefault="00AB0EBA" w:rsidP="00AB0EBA">
      <w:pPr>
        <w:rPr>
          <w:b/>
        </w:rPr>
      </w:pPr>
      <w:r w:rsidRPr="000C49FD">
        <w:rPr>
          <w:b/>
        </w:rPr>
        <w:t>Proposal 4.1</w:t>
      </w:r>
      <w:r w:rsidRPr="000C49FD">
        <w:rPr>
          <w:b/>
          <w:lang w:val="en-US"/>
        </w:rPr>
        <w:t xml:space="preserve">: </w:t>
      </w:r>
      <w:r w:rsidRPr="000C49FD">
        <w:rPr>
          <w:b/>
        </w:rPr>
        <w:t>RAN2 should study robust RACH channel protection for NR-U</w:t>
      </w:r>
      <w:r>
        <w:rPr>
          <w:b/>
        </w:rPr>
        <w:t>, at least for RACH mapped from SSB.</w:t>
      </w:r>
    </w:p>
    <w:p w14:paraId="3E347FAA" w14:textId="77777777" w:rsidR="00AB0EBA" w:rsidRPr="000C49FD" w:rsidRDefault="00AB0EBA" w:rsidP="00AB0EBA">
      <w:pPr>
        <w:rPr>
          <w:b/>
          <w:lang w:val="en-US"/>
        </w:rPr>
      </w:pPr>
      <w:r>
        <w:rPr>
          <w:b/>
        </w:rPr>
        <w:t>Proposal 4.2: Robust RACH protection should be achieved by mapping RACH occasions to a protected uplink access window.</w:t>
      </w:r>
    </w:p>
    <w:p w14:paraId="7F127492" w14:textId="77777777" w:rsidR="00AB0EBA" w:rsidRDefault="00AB0EBA" w:rsidP="00AB0EBA">
      <w:pPr>
        <w:pStyle w:val="Heading2"/>
      </w:pPr>
      <w:r>
        <w:lastRenderedPageBreak/>
        <w:t>2.5 Illustration (SMTC-U and robust channel multiplexing)</w:t>
      </w:r>
    </w:p>
    <w:p w14:paraId="020F00C0" w14:textId="6E24E81E" w:rsidR="00AB0EBA" w:rsidRDefault="00AB0EBA" w:rsidP="00AB0EBA">
      <w:r>
        <w:t>A</w:t>
      </w:r>
      <w:r w:rsidR="00EF03E1">
        <w:t>n</w:t>
      </w:r>
      <w:r>
        <w:t xml:space="preserve"> illustration of the role of SMTC-U in an NR-U multi-operator deployment is drawn in </w:t>
      </w:r>
      <w:r>
        <w:fldChar w:fldCharType="begin"/>
      </w:r>
      <w:r>
        <w:instrText xml:space="preserve"> REF _Ref510610801 \h </w:instrText>
      </w:r>
      <w:r>
        <w:fldChar w:fldCharType="separate"/>
      </w:r>
      <w:r>
        <w:t xml:space="preserve">Figure </w:t>
      </w:r>
      <w:r>
        <w:rPr>
          <w:noProof/>
        </w:rPr>
        <w:t>3</w:t>
      </w:r>
      <w:r>
        <w:fldChar w:fldCharType="end"/>
      </w:r>
      <w:r>
        <w:t>. In this example (which does not show non-3GPP technologies), operator 1 does not transmit in the SMTC-U for operator 2, and vice-versa.</w:t>
      </w:r>
    </w:p>
    <w:p w14:paraId="149C7508" w14:textId="77777777" w:rsidR="00AB0EBA" w:rsidRDefault="00AB0EBA" w:rsidP="00AB0EBA">
      <w:pPr>
        <w:keepNext/>
      </w:pPr>
      <w:r w:rsidRPr="00BF0F8A">
        <w:rPr>
          <w:noProof/>
        </w:rPr>
        <w:drawing>
          <wp:inline distT="0" distB="0" distL="0" distR="0" wp14:anchorId="5B3CAA19" wp14:editId="415662F0">
            <wp:extent cx="5951220" cy="1654392"/>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1220" cy="1654392"/>
                    </a:xfrm>
                    <a:prstGeom prst="rect">
                      <a:avLst/>
                    </a:prstGeom>
                    <a:noFill/>
                    <a:ln>
                      <a:noFill/>
                    </a:ln>
                  </pic:spPr>
                </pic:pic>
              </a:graphicData>
            </a:graphic>
          </wp:inline>
        </w:drawing>
      </w:r>
    </w:p>
    <w:p w14:paraId="51427EFC" w14:textId="34507551" w:rsidR="00AB0EBA" w:rsidRDefault="00AB0EBA" w:rsidP="00AB0EBA">
      <w:pPr>
        <w:pStyle w:val="Caption"/>
        <w:jc w:val="center"/>
      </w:pPr>
      <w:bookmarkStart w:id="5" w:name="_Ref510610801"/>
      <w:r>
        <w:t xml:space="preserve">Figure </w:t>
      </w:r>
      <w:r>
        <w:fldChar w:fldCharType="begin"/>
      </w:r>
      <w:r>
        <w:instrText xml:space="preserve"> SEQ Figure \* ARABIC </w:instrText>
      </w:r>
      <w:r>
        <w:fldChar w:fldCharType="separate"/>
      </w:r>
      <w:r>
        <w:rPr>
          <w:noProof/>
        </w:rPr>
        <w:t>3</w:t>
      </w:r>
      <w:r>
        <w:fldChar w:fldCharType="end"/>
      </w:r>
      <w:bookmarkEnd w:id="5"/>
      <w:r>
        <w:t>: Illustration of</w:t>
      </w:r>
      <w:r w:rsidR="00EF03E1">
        <w:t xml:space="preserve"> </w:t>
      </w:r>
      <w:r>
        <w:t>SMTC-U coordination between NR-U deployments (two operators)</w:t>
      </w:r>
    </w:p>
    <w:p w14:paraId="697FD6AC" w14:textId="1D4EA56A" w:rsidR="00AB0EBA" w:rsidRDefault="00AB0EBA" w:rsidP="00AB0EBA">
      <w:r>
        <w:t xml:space="preserve">In </w:t>
      </w:r>
      <w:r>
        <w:fldChar w:fldCharType="begin"/>
      </w:r>
      <w:r>
        <w:instrText xml:space="preserve"> REF _Ref510613614 \h </w:instrText>
      </w:r>
      <w:r>
        <w:fldChar w:fldCharType="separate"/>
      </w:r>
      <w:r>
        <w:t xml:space="preserve">Figure </w:t>
      </w:r>
      <w:r>
        <w:rPr>
          <w:noProof/>
        </w:rPr>
        <w:t>4</w:t>
      </w:r>
      <w:r>
        <w:fldChar w:fldCharType="end"/>
      </w:r>
      <w:r>
        <w:t>, frequency and time multiplexing of SSB with RMSI, critical SI and paging is illustrated for SCS 15 kHz. RAN1 would need to consider how inter-SSB gaps and LBT interact. In this illustration, robust DL channels are sent in inter-SSB gaps:</w:t>
      </w:r>
    </w:p>
    <w:p w14:paraId="685B7CE4" w14:textId="77777777" w:rsidR="00AB0EBA" w:rsidRDefault="00AB0EBA" w:rsidP="00AB0EBA">
      <w:pPr>
        <w:keepNext/>
      </w:pPr>
      <w:r w:rsidRPr="00FD0B4B">
        <w:rPr>
          <w:noProof/>
        </w:rPr>
        <w:drawing>
          <wp:inline distT="0" distB="0" distL="0" distR="0" wp14:anchorId="2A1E7392" wp14:editId="6D446E78">
            <wp:extent cx="5951220" cy="2853688"/>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51220" cy="2853688"/>
                    </a:xfrm>
                    <a:prstGeom prst="rect">
                      <a:avLst/>
                    </a:prstGeom>
                    <a:noFill/>
                    <a:ln>
                      <a:noFill/>
                    </a:ln>
                  </pic:spPr>
                </pic:pic>
              </a:graphicData>
            </a:graphic>
          </wp:inline>
        </w:drawing>
      </w:r>
    </w:p>
    <w:p w14:paraId="18D33310" w14:textId="77777777" w:rsidR="00AB0EBA" w:rsidRDefault="00AB0EBA" w:rsidP="00AB0EBA">
      <w:pPr>
        <w:pStyle w:val="Caption"/>
        <w:jc w:val="center"/>
      </w:pPr>
      <w:bookmarkStart w:id="6" w:name="_Ref510613614"/>
      <w:r>
        <w:t xml:space="preserve">Figure </w:t>
      </w:r>
      <w:r>
        <w:fldChar w:fldCharType="begin"/>
      </w:r>
      <w:r>
        <w:instrText xml:space="preserve"> SEQ Figure \* ARABIC </w:instrText>
      </w:r>
      <w:r>
        <w:fldChar w:fldCharType="separate"/>
      </w:r>
      <w:r>
        <w:rPr>
          <w:noProof/>
        </w:rPr>
        <w:t>4</w:t>
      </w:r>
      <w:r>
        <w:fldChar w:fldCharType="end"/>
      </w:r>
      <w:bookmarkEnd w:id="6"/>
      <w:r>
        <w:t>: Illustration of multiplexing SSB with other robust DL channels (for Rel-16)</w:t>
      </w:r>
    </w:p>
    <w:p w14:paraId="795AA66E" w14:textId="77777777" w:rsidR="00AB0EBA" w:rsidRPr="00D42325" w:rsidRDefault="00AB0EBA" w:rsidP="00AB0EBA"/>
    <w:p w14:paraId="25AFBDF4" w14:textId="77777777" w:rsidR="00AB0EBA" w:rsidRDefault="00AB0EBA" w:rsidP="00AB0EBA">
      <w:pPr>
        <w:pStyle w:val="Heading2"/>
      </w:pPr>
      <w:r>
        <w:t>2.6 Inter-operator coordination</w:t>
      </w:r>
    </w:p>
    <w:p w14:paraId="6216F402" w14:textId="62827DFE" w:rsidR="00AB0EBA" w:rsidRDefault="00AB0EBA" w:rsidP="00AB0EBA">
      <w:r>
        <w:t>Certain deployments can benefit from inter-operator coordination. For instance, where inter-operator cells benefit from GNSS synchronization</w:t>
      </w:r>
      <w:r w:rsidR="00EF03E1">
        <w:t>,</w:t>
      </w:r>
      <w:r>
        <w:t xml:space="preserve"> robust access resources can be orthogonalized in the time domain (as illustrated in </w:t>
      </w:r>
      <w:r>
        <w:fldChar w:fldCharType="begin"/>
      </w:r>
      <w:r>
        <w:instrText xml:space="preserve"> REF _Ref510610801 \h </w:instrText>
      </w:r>
      <w:r>
        <w:fldChar w:fldCharType="separate"/>
      </w:r>
      <w:r>
        <w:t xml:space="preserve">Figure </w:t>
      </w:r>
      <w:r>
        <w:rPr>
          <w:noProof/>
        </w:rPr>
        <w:t>3</w:t>
      </w:r>
      <w:r>
        <w:fldChar w:fldCharType="end"/>
      </w:r>
      <w:r>
        <w:t xml:space="preserve">). </w:t>
      </w:r>
    </w:p>
    <w:p w14:paraId="259BDDAD" w14:textId="77777777" w:rsidR="00AB0EBA" w:rsidRPr="00634F30" w:rsidRDefault="00AB0EBA" w:rsidP="00AB0EBA">
      <w:pPr>
        <w:rPr>
          <w:b/>
        </w:rPr>
      </w:pPr>
      <w:r w:rsidRPr="00634F30">
        <w:rPr>
          <w:b/>
        </w:rPr>
        <w:t xml:space="preserve">Proposal </w:t>
      </w:r>
      <w:r>
        <w:rPr>
          <w:b/>
        </w:rPr>
        <w:t>6.1</w:t>
      </w:r>
      <w:r w:rsidRPr="00634F30">
        <w:rPr>
          <w:b/>
        </w:rPr>
        <w:t xml:space="preserve">: RAN2 to ensure signalling of robust access resources is simple and interchangeable between co-channel operators. RAN2 to further work with RAN1 where necessary to </w:t>
      </w:r>
      <w:r>
        <w:rPr>
          <w:b/>
        </w:rPr>
        <w:t>study</w:t>
      </w:r>
      <w:r w:rsidRPr="00634F30">
        <w:rPr>
          <w:b/>
        </w:rPr>
        <w:t xml:space="preserve"> any further inter-operator coordination mechanisms.</w:t>
      </w:r>
    </w:p>
    <w:p w14:paraId="6793ED5E" w14:textId="77777777" w:rsidR="00AB0EBA" w:rsidRPr="002A0101" w:rsidRDefault="00AB0EBA" w:rsidP="00AB0EBA"/>
    <w:p w14:paraId="31061FD8" w14:textId="77777777" w:rsidR="00AB0EBA" w:rsidRDefault="00AB0EBA" w:rsidP="00AB0EBA">
      <w:pPr>
        <w:pStyle w:val="Heading1"/>
      </w:pPr>
      <w:r>
        <w:t>Conclusions</w:t>
      </w:r>
    </w:p>
    <w:p w14:paraId="53005C23" w14:textId="77777777" w:rsidR="00AB0EBA" w:rsidRPr="006D0719" w:rsidRDefault="00AB0EBA" w:rsidP="00AB0EBA">
      <w:pPr>
        <w:rPr>
          <w:lang w:eastAsia="ko-KR"/>
        </w:rPr>
      </w:pPr>
      <w:r w:rsidRPr="006D0719">
        <w:rPr>
          <w:lang w:eastAsia="ko-KR"/>
        </w:rPr>
        <w:t>The proposals and observations made in this contribution are summarized below.</w:t>
      </w:r>
    </w:p>
    <w:p w14:paraId="3D04A9DE" w14:textId="77777777" w:rsidR="00057A9A" w:rsidRPr="00FF6DFF" w:rsidRDefault="00057A9A" w:rsidP="00057A9A">
      <w:pPr>
        <w:rPr>
          <w:b/>
        </w:rPr>
      </w:pPr>
      <w:r w:rsidRPr="00FF6DFF">
        <w:rPr>
          <w:b/>
        </w:rPr>
        <w:t>Observation</w:t>
      </w:r>
      <w:r>
        <w:rPr>
          <w:b/>
        </w:rPr>
        <w:t xml:space="preserve"> 1.1</w:t>
      </w:r>
      <w:r w:rsidRPr="00FF6DFF">
        <w:rPr>
          <w:b/>
        </w:rPr>
        <w:t>:</w:t>
      </w:r>
      <w:r>
        <w:rPr>
          <w:b/>
        </w:rPr>
        <w:t xml:space="preserve"> In LBT bands, deterministic timing cannot be expected f</w:t>
      </w:r>
      <w:r w:rsidRPr="00FF6DFF">
        <w:rPr>
          <w:b/>
        </w:rPr>
        <w:t>or downlink and uplink channels used for cell detection, RRM, paging and (initial, possibly subsequent) uplink access.</w:t>
      </w:r>
    </w:p>
    <w:p w14:paraId="7AD1317A" w14:textId="77777777" w:rsidR="00057A9A" w:rsidRPr="00FF6DFF" w:rsidRDefault="00057A9A" w:rsidP="00057A9A">
      <w:pPr>
        <w:rPr>
          <w:b/>
        </w:rPr>
      </w:pPr>
      <w:r w:rsidRPr="00FF6DFF">
        <w:rPr>
          <w:b/>
        </w:rPr>
        <w:lastRenderedPageBreak/>
        <w:t>Observation</w:t>
      </w:r>
      <w:r>
        <w:rPr>
          <w:b/>
        </w:rPr>
        <w:t xml:space="preserve"> 1.2</w:t>
      </w:r>
      <w:r w:rsidRPr="00FF6DFF">
        <w:rPr>
          <w:b/>
        </w:rPr>
        <w:t>:</w:t>
      </w:r>
      <w:r>
        <w:rPr>
          <w:b/>
        </w:rPr>
        <w:t xml:space="preserve"> Robust transmission of RRM reference signals, as well as paging, essential broadcast (including PBCH, RMSI) and PRACH is essential to </w:t>
      </w:r>
      <w:r w:rsidRPr="00E44EF0">
        <w:rPr>
          <w:b/>
        </w:rPr>
        <w:t>ensure high quality, reliable user experience</w:t>
      </w:r>
      <w:r>
        <w:rPr>
          <w:b/>
        </w:rPr>
        <w:t xml:space="preserve"> in SA and DC architectures.</w:t>
      </w:r>
    </w:p>
    <w:p w14:paraId="0A77B1F6" w14:textId="77777777" w:rsidR="00057A9A" w:rsidRDefault="00057A9A" w:rsidP="00057A9A">
      <w:pPr>
        <w:rPr>
          <w:b/>
        </w:rPr>
      </w:pPr>
      <w:r>
        <w:rPr>
          <w:b/>
        </w:rPr>
        <w:t>Proposal 1.1: RAN2 should study SMTC-U protection as a starting point for ensuring channel access robustness, akin to LAA-DMTC, for SSB, essential broadcast, and paging channels.</w:t>
      </w:r>
    </w:p>
    <w:p w14:paraId="3F960092" w14:textId="77777777" w:rsidR="00057A9A" w:rsidRDefault="00057A9A" w:rsidP="00057A9A">
      <w:r w:rsidRPr="002218C5">
        <w:rPr>
          <w:b/>
        </w:rPr>
        <w:t xml:space="preserve">Proposal </w:t>
      </w:r>
      <w:r>
        <w:rPr>
          <w:b/>
        </w:rPr>
        <w:t>1.</w:t>
      </w:r>
      <w:r w:rsidRPr="002218C5">
        <w:rPr>
          <w:b/>
        </w:rPr>
        <w:t xml:space="preserve">2: </w:t>
      </w:r>
      <w:r>
        <w:rPr>
          <w:b/>
        </w:rPr>
        <w:t>SMTC framework should also be studied for s</w:t>
      </w:r>
      <w:r w:rsidRPr="002218C5">
        <w:rPr>
          <w:b/>
        </w:rPr>
        <w:t>ignal</w:t>
      </w:r>
      <w:r>
        <w:rPr>
          <w:b/>
        </w:rPr>
        <w:t>ling</w:t>
      </w:r>
      <w:r w:rsidRPr="002218C5">
        <w:rPr>
          <w:b/>
        </w:rPr>
        <w:t xml:space="preserve"> protected resources</w:t>
      </w:r>
      <w:r>
        <w:rPr>
          <w:b/>
        </w:rPr>
        <w:t xml:space="preserve"> </w:t>
      </w:r>
      <w:r w:rsidRPr="002218C5">
        <w:rPr>
          <w:b/>
        </w:rPr>
        <w:t xml:space="preserve">for asynchronous </w:t>
      </w:r>
      <w:r>
        <w:rPr>
          <w:b/>
        </w:rPr>
        <w:t xml:space="preserve">(intra-operator and inter-operator) </w:t>
      </w:r>
      <w:r w:rsidRPr="002218C5">
        <w:rPr>
          <w:b/>
        </w:rPr>
        <w:t>cell deployments.</w:t>
      </w:r>
    </w:p>
    <w:p w14:paraId="55496E65" w14:textId="1C4A2B74" w:rsidR="00057A9A" w:rsidRPr="00057A9A" w:rsidRDefault="00057A9A" w:rsidP="00057A9A">
      <w:pPr>
        <w:rPr>
          <w:b/>
        </w:rPr>
      </w:pPr>
      <w:r>
        <w:rPr>
          <w:b/>
        </w:rPr>
        <w:t>Proposal 1.3: RAN2 should aim for a uniform design of robust channel access protection mechanisms to address both LBT and non-LBT based medium contention.</w:t>
      </w:r>
    </w:p>
    <w:p w14:paraId="7F0C0D2F" w14:textId="77777777" w:rsidR="00057A9A" w:rsidRPr="00A2695B" w:rsidRDefault="00057A9A" w:rsidP="00057A9A">
      <w:pPr>
        <w:rPr>
          <w:b/>
        </w:rPr>
      </w:pPr>
      <w:r w:rsidRPr="00A2695B">
        <w:rPr>
          <w:b/>
        </w:rPr>
        <w:t xml:space="preserve">Observation </w:t>
      </w:r>
      <w:r>
        <w:rPr>
          <w:b/>
        </w:rPr>
        <w:t>2.1</w:t>
      </w:r>
      <w:r w:rsidRPr="00A2695B">
        <w:rPr>
          <w:b/>
        </w:rPr>
        <w:t>: RMSI/SSB FDM is not available in FR1</w:t>
      </w:r>
      <w:r>
        <w:rPr>
          <w:b/>
        </w:rPr>
        <w:t>.</w:t>
      </w:r>
    </w:p>
    <w:p w14:paraId="0C62C900" w14:textId="77777777" w:rsidR="00057A9A" w:rsidRPr="00A2695B" w:rsidRDefault="00057A9A" w:rsidP="00057A9A">
      <w:pPr>
        <w:rPr>
          <w:b/>
        </w:rPr>
      </w:pPr>
      <w:r w:rsidRPr="00A2695B">
        <w:rPr>
          <w:b/>
        </w:rPr>
        <w:t xml:space="preserve">Proposal </w:t>
      </w:r>
      <w:r>
        <w:rPr>
          <w:b/>
        </w:rPr>
        <w:t>2.1</w:t>
      </w:r>
      <w:r w:rsidRPr="00A2695B">
        <w:rPr>
          <w:b/>
        </w:rPr>
        <w:t xml:space="preserve">: RAN2 </w:t>
      </w:r>
      <w:r>
        <w:rPr>
          <w:b/>
        </w:rPr>
        <w:t>should</w:t>
      </w:r>
      <w:r w:rsidRPr="00A2695B">
        <w:rPr>
          <w:b/>
        </w:rPr>
        <w:t xml:space="preserve"> work with RAN</w:t>
      </w:r>
      <w:r>
        <w:rPr>
          <w:b/>
        </w:rPr>
        <w:t>1</w:t>
      </w:r>
      <w:r w:rsidRPr="00A2695B">
        <w:rPr>
          <w:b/>
        </w:rPr>
        <w:t xml:space="preserve"> to ensure that channels</w:t>
      </w:r>
      <w:r>
        <w:rPr>
          <w:b/>
        </w:rPr>
        <w:t xml:space="preserve"> essential for access and</w:t>
      </w:r>
      <w:r w:rsidRPr="00A2695B">
        <w:rPr>
          <w:b/>
        </w:rPr>
        <w:t xml:space="preserve"> </w:t>
      </w:r>
      <w:r>
        <w:rPr>
          <w:b/>
        </w:rPr>
        <w:t>considered for</w:t>
      </w:r>
      <w:r w:rsidRPr="00A2695B">
        <w:rPr>
          <w:b/>
        </w:rPr>
        <w:t xml:space="preserve"> access protection can be efficiently multiplexed</w:t>
      </w:r>
      <w:r>
        <w:rPr>
          <w:b/>
        </w:rPr>
        <w:t xml:space="preserve"> in unlicensed bands</w:t>
      </w:r>
      <w:r w:rsidRPr="00A2695B">
        <w:rPr>
          <w:b/>
        </w:rPr>
        <w:t>.</w:t>
      </w:r>
    </w:p>
    <w:p w14:paraId="2AA0D473" w14:textId="77777777" w:rsidR="00057A9A" w:rsidRPr="001105C3" w:rsidRDefault="00057A9A" w:rsidP="00057A9A">
      <w:pPr>
        <w:rPr>
          <w:b/>
        </w:rPr>
      </w:pPr>
      <w:r>
        <w:rPr>
          <w:b/>
        </w:rPr>
        <w:t>Proposal 2.2</w:t>
      </w:r>
      <w:r w:rsidRPr="001105C3">
        <w:rPr>
          <w:b/>
        </w:rPr>
        <w:t xml:space="preserve">: In addition to RMSI, System Information relevant to fast and efficient cell re/selection (such as </w:t>
      </w:r>
      <w:r>
        <w:rPr>
          <w:b/>
        </w:rPr>
        <w:t>neighbour cell information</w:t>
      </w:r>
      <w:r w:rsidRPr="001105C3">
        <w:rPr>
          <w:b/>
        </w:rPr>
        <w:t>) s</w:t>
      </w:r>
      <w:r>
        <w:rPr>
          <w:b/>
        </w:rPr>
        <w:t>hould</w:t>
      </w:r>
      <w:r w:rsidRPr="001105C3">
        <w:rPr>
          <w:b/>
        </w:rPr>
        <w:t xml:space="preserve"> be subject to robust channel access protection.</w:t>
      </w:r>
    </w:p>
    <w:p w14:paraId="41994562" w14:textId="77777777" w:rsidR="00057A9A" w:rsidRPr="00F02604" w:rsidRDefault="00057A9A" w:rsidP="00057A9A">
      <w:pPr>
        <w:rPr>
          <w:b/>
        </w:rPr>
      </w:pPr>
      <w:r w:rsidRPr="00F02604">
        <w:rPr>
          <w:b/>
        </w:rPr>
        <w:t xml:space="preserve">Proposal </w:t>
      </w:r>
      <w:r>
        <w:rPr>
          <w:b/>
        </w:rPr>
        <w:t>3.1</w:t>
      </w:r>
      <w:r w:rsidRPr="00F02604">
        <w:rPr>
          <w:b/>
        </w:rPr>
        <w:t xml:space="preserve">: NR Rel-16 should minimize the likelihood </w:t>
      </w:r>
      <w:r>
        <w:rPr>
          <w:b/>
        </w:rPr>
        <w:t>of</w:t>
      </w:r>
      <w:r w:rsidRPr="00F02604">
        <w:rPr>
          <w:b/>
        </w:rPr>
        <w:t xml:space="preserve"> </w:t>
      </w:r>
      <w:r>
        <w:rPr>
          <w:b/>
        </w:rPr>
        <w:t>paging misdetection due to LBT</w:t>
      </w:r>
      <w:r w:rsidRPr="00F02604">
        <w:rPr>
          <w:b/>
        </w:rPr>
        <w:t>.</w:t>
      </w:r>
    </w:p>
    <w:p w14:paraId="00F13483" w14:textId="77777777" w:rsidR="00057A9A" w:rsidRDefault="00057A9A" w:rsidP="00057A9A">
      <w:pPr>
        <w:rPr>
          <w:b/>
        </w:rPr>
      </w:pPr>
      <w:r w:rsidRPr="000C49FD">
        <w:rPr>
          <w:b/>
        </w:rPr>
        <w:t>Proposal 4.1</w:t>
      </w:r>
      <w:r w:rsidRPr="000C49FD">
        <w:rPr>
          <w:b/>
          <w:lang w:val="en-US"/>
        </w:rPr>
        <w:t xml:space="preserve">: </w:t>
      </w:r>
      <w:r w:rsidRPr="000C49FD">
        <w:rPr>
          <w:b/>
        </w:rPr>
        <w:t>RAN2 should study robust RACH channel protection for NR-U</w:t>
      </w:r>
      <w:r>
        <w:rPr>
          <w:b/>
        </w:rPr>
        <w:t>, at least for RACH mapped from SSB.</w:t>
      </w:r>
    </w:p>
    <w:p w14:paraId="407847C0" w14:textId="77777777" w:rsidR="00057A9A" w:rsidRPr="000C49FD" w:rsidRDefault="00057A9A" w:rsidP="00057A9A">
      <w:pPr>
        <w:rPr>
          <w:b/>
          <w:lang w:val="en-US"/>
        </w:rPr>
      </w:pPr>
      <w:r>
        <w:rPr>
          <w:b/>
        </w:rPr>
        <w:t>Proposal 4.2: Robust RACH protection should be achieved by mapping RACH occasions to a protected uplink access window.</w:t>
      </w:r>
    </w:p>
    <w:p w14:paraId="3558BCBB" w14:textId="77777777" w:rsidR="00057A9A" w:rsidRPr="00634F30" w:rsidRDefault="00057A9A" w:rsidP="00057A9A">
      <w:pPr>
        <w:rPr>
          <w:b/>
        </w:rPr>
      </w:pPr>
      <w:r w:rsidRPr="00634F30">
        <w:rPr>
          <w:b/>
        </w:rPr>
        <w:t xml:space="preserve">Proposal </w:t>
      </w:r>
      <w:r>
        <w:rPr>
          <w:b/>
        </w:rPr>
        <w:t>6.1</w:t>
      </w:r>
      <w:r w:rsidRPr="00634F30">
        <w:rPr>
          <w:b/>
        </w:rPr>
        <w:t xml:space="preserve">: RAN2 to ensure signalling of robust access resources is simple and interchangeable between co-channel operators. RAN2 to further work with RAN1 where necessary to </w:t>
      </w:r>
      <w:r>
        <w:rPr>
          <w:b/>
        </w:rPr>
        <w:t>study</w:t>
      </w:r>
      <w:r w:rsidRPr="00634F30">
        <w:rPr>
          <w:b/>
        </w:rPr>
        <w:t xml:space="preserve"> any further inter-operator coordination mechanisms.</w:t>
      </w:r>
    </w:p>
    <w:p w14:paraId="49423DCB" w14:textId="77777777" w:rsidR="00AB0EBA" w:rsidRDefault="00AB0EBA" w:rsidP="00AB0EBA">
      <w:pPr>
        <w:pStyle w:val="Heading1"/>
      </w:pPr>
      <w:r>
        <w:t>References</w:t>
      </w:r>
    </w:p>
    <w:p w14:paraId="0D4981D8" w14:textId="73E9CB54" w:rsidR="00AB0EBA" w:rsidRDefault="00AB0EBA" w:rsidP="00AB0EBA">
      <w:pPr>
        <w:rPr>
          <w:lang w:eastAsia="ko-KR"/>
        </w:rPr>
      </w:pPr>
      <w:r>
        <w:rPr>
          <w:lang w:eastAsia="ko-KR"/>
        </w:rPr>
        <w:t>[</w:t>
      </w:r>
      <w:r w:rsidRPr="00FB789D">
        <w:rPr>
          <w:lang w:eastAsia="ko-KR"/>
        </w:rPr>
        <w:t>1</w:t>
      </w:r>
      <w:r>
        <w:rPr>
          <w:lang w:eastAsia="ko-KR"/>
        </w:rPr>
        <w:t xml:space="preserve">] </w:t>
      </w:r>
      <w:r w:rsidR="0035371E">
        <w:t>R1-1804831</w:t>
      </w:r>
      <w:r>
        <w:rPr>
          <w:lang w:eastAsia="ko-KR"/>
        </w:rPr>
        <w:t>, “</w:t>
      </w:r>
      <w:r w:rsidR="0035371E" w:rsidRPr="0035371E">
        <w:rPr>
          <w:lang w:eastAsia="ko-KR"/>
        </w:rPr>
        <w:t>Potential procedure design for NR unlicensed</w:t>
      </w:r>
      <w:r>
        <w:rPr>
          <w:lang w:eastAsia="ko-KR"/>
        </w:rPr>
        <w:t xml:space="preserve">”, </w:t>
      </w:r>
      <w:r w:rsidRPr="00FB789D">
        <w:rPr>
          <w:lang w:eastAsia="ko-KR"/>
        </w:rPr>
        <w:t>Qualcomm Incorporated, RAN1#92</w:t>
      </w:r>
      <w:r>
        <w:rPr>
          <w:lang w:eastAsia="ko-KR"/>
        </w:rPr>
        <w:t>bis</w:t>
      </w:r>
    </w:p>
    <w:p w14:paraId="580700ED" w14:textId="77777777" w:rsidR="00AB0EBA" w:rsidRDefault="00AB0EBA" w:rsidP="00AB0EBA">
      <w:pPr>
        <w:rPr>
          <w:lang w:eastAsia="ko-KR"/>
        </w:rPr>
      </w:pPr>
      <w:r>
        <w:rPr>
          <w:lang w:eastAsia="ko-KR"/>
        </w:rPr>
        <w:t>[2] 3GPP TR 36.889, “</w:t>
      </w:r>
      <w:r w:rsidRPr="00DB41CE">
        <w:rPr>
          <w:lang w:eastAsia="ko-KR"/>
        </w:rPr>
        <w:t>Feasibility Study on Licensed-Assisted Access to Unlicensed Spectrum</w:t>
      </w:r>
      <w:r>
        <w:rPr>
          <w:lang w:eastAsia="ko-KR"/>
        </w:rPr>
        <w:t>”</w:t>
      </w:r>
    </w:p>
    <w:p w14:paraId="1FBB6C8D" w14:textId="77777777" w:rsidR="00AB0EBA" w:rsidRDefault="00AB0EBA" w:rsidP="00AB0EBA">
      <w:pPr>
        <w:rPr>
          <w:lang w:eastAsia="ko-KR"/>
        </w:rPr>
      </w:pPr>
      <w:r>
        <w:rPr>
          <w:lang w:eastAsia="ko-KR"/>
        </w:rPr>
        <w:t>[3] 3GPP TR 38.331, “</w:t>
      </w:r>
      <w:r w:rsidRPr="005B0992">
        <w:rPr>
          <w:lang w:eastAsia="ko-KR"/>
        </w:rPr>
        <w:t>NR; Radio Resource Control (RRC); Protocol specification</w:t>
      </w:r>
      <w:r>
        <w:rPr>
          <w:lang w:eastAsia="ko-KR"/>
        </w:rPr>
        <w:t>”, v15.1.0</w:t>
      </w:r>
    </w:p>
    <w:p w14:paraId="744018A3" w14:textId="77777777" w:rsidR="00AB0EBA" w:rsidRDefault="00AB0EBA" w:rsidP="00AB0EBA">
      <w:pPr>
        <w:rPr>
          <w:lang w:eastAsia="ko-KR"/>
        </w:rPr>
      </w:pPr>
      <w:r>
        <w:rPr>
          <w:lang w:eastAsia="ko-KR"/>
        </w:rPr>
        <w:t>[4] Draft minutes v0.2 from RAN1#92, Athens, Greece, 26</w:t>
      </w:r>
      <w:r w:rsidRPr="007556B1">
        <w:rPr>
          <w:vertAlign w:val="superscript"/>
          <w:lang w:eastAsia="ko-KR"/>
        </w:rPr>
        <w:t>th</w:t>
      </w:r>
      <w:r>
        <w:rPr>
          <w:lang w:eastAsia="ko-KR"/>
        </w:rPr>
        <w:t xml:space="preserve"> Feb-2</w:t>
      </w:r>
      <w:r w:rsidRPr="007556B1">
        <w:rPr>
          <w:vertAlign w:val="superscript"/>
          <w:lang w:eastAsia="ko-KR"/>
        </w:rPr>
        <w:t>nd</w:t>
      </w:r>
      <w:r>
        <w:rPr>
          <w:lang w:eastAsia="ko-KR"/>
        </w:rPr>
        <w:t xml:space="preserve"> March, 2018.</w:t>
      </w:r>
    </w:p>
    <w:p w14:paraId="59FE26FD" w14:textId="77777777" w:rsidR="00AB0EBA" w:rsidRDefault="00AB0EBA" w:rsidP="00AB0EBA">
      <w:pPr>
        <w:rPr>
          <w:lang w:eastAsia="ko-KR"/>
        </w:rPr>
      </w:pPr>
      <w:r w:rsidRPr="00A34509">
        <w:rPr>
          <w:lang w:eastAsia="ko-KR"/>
        </w:rPr>
        <w:t>[5] 3GPP TS 36.213, “Evolved Universal Terrestrial Radio Access (E-UTRA); Physical layer procedures”, v15.1.0</w:t>
      </w:r>
    </w:p>
    <w:p w14:paraId="062AA8D5" w14:textId="01579E76" w:rsidR="00AB0EBA" w:rsidRDefault="00AB0EBA" w:rsidP="00AB0EBA">
      <w:pPr>
        <w:rPr>
          <w:lang w:eastAsia="ko-KR"/>
        </w:rPr>
      </w:pPr>
      <w:r>
        <w:rPr>
          <w:lang w:eastAsia="ko-KR"/>
        </w:rPr>
        <w:t xml:space="preserve">[6] </w:t>
      </w:r>
      <w:r w:rsidR="00B9346A">
        <w:t>R1-1804833</w:t>
      </w:r>
      <w:r>
        <w:rPr>
          <w:lang w:eastAsia="ko-KR"/>
        </w:rPr>
        <w:t>, “</w:t>
      </w:r>
      <w:r w:rsidR="00B9346A" w:rsidRPr="00B9346A">
        <w:rPr>
          <w:lang w:eastAsia="ko-KR"/>
        </w:rPr>
        <w:t>Waveform options for 60GHz band</w:t>
      </w:r>
      <w:r>
        <w:rPr>
          <w:lang w:eastAsia="ko-KR"/>
        </w:rPr>
        <w:t>”</w:t>
      </w:r>
      <w:r w:rsidRPr="00A34509">
        <w:rPr>
          <w:lang w:eastAsia="ko-KR"/>
        </w:rPr>
        <w:t xml:space="preserve"> </w:t>
      </w:r>
      <w:r>
        <w:rPr>
          <w:lang w:eastAsia="ko-KR"/>
        </w:rPr>
        <w:t xml:space="preserve">, </w:t>
      </w:r>
      <w:r w:rsidRPr="00FB789D">
        <w:rPr>
          <w:lang w:eastAsia="ko-KR"/>
        </w:rPr>
        <w:t>Qualcomm Incorporated, RAN1#92</w:t>
      </w:r>
      <w:r>
        <w:rPr>
          <w:lang w:eastAsia="ko-KR"/>
        </w:rPr>
        <w:t>bis</w:t>
      </w:r>
    </w:p>
    <w:p w14:paraId="2D9B9C97" w14:textId="77777777" w:rsidR="00AB0EBA" w:rsidRDefault="00AB0EBA" w:rsidP="00AB0EBA">
      <w:pPr>
        <w:rPr>
          <w:lang w:eastAsia="ko-KR"/>
        </w:rPr>
      </w:pPr>
    </w:p>
    <w:p w14:paraId="37B454C0" w14:textId="1D25D5CE" w:rsidR="00FB789D" w:rsidRPr="00E351E2" w:rsidRDefault="00FB789D" w:rsidP="00057A9A"/>
    <w:sectPr w:rsidR="00FB789D" w:rsidRPr="00E351E2" w:rsidSect="008C3D7B">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D7013" w14:textId="77777777" w:rsidR="00E43DF6" w:rsidRDefault="00E43DF6" w:rsidP="00F53A74">
      <w:r>
        <w:separator/>
      </w:r>
    </w:p>
    <w:p w14:paraId="7AC145BE" w14:textId="77777777" w:rsidR="00E43DF6" w:rsidRDefault="00E43DF6" w:rsidP="00F53A74"/>
  </w:endnote>
  <w:endnote w:type="continuationSeparator" w:id="0">
    <w:p w14:paraId="2AE14672" w14:textId="77777777" w:rsidR="00E43DF6" w:rsidRDefault="00E43DF6" w:rsidP="00F53A74">
      <w:r>
        <w:continuationSeparator/>
      </w:r>
    </w:p>
    <w:p w14:paraId="1F583AB7" w14:textId="77777777" w:rsidR="00E43DF6" w:rsidRDefault="00E43DF6" w:rsidP="00F53A74"/>
  </w:endnote>
  <w:endnote w:type="continuationNotice" w:id="1">
    <w:p w14:paraId="72C1124F" w14:textId="77777777" w:rsidR="00E43DF6" w:rsidRDefault="00E43DF6" w:rsidP="00F53A74"/>
    <w:p w14:paraId="73E86864" w14:textId="77777777" w:rsidR="00E43DF6" w:rsidRDefault="00E43DF6"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Calibre Regular">
    <w:altName w:val="Calibri"/>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BF0F8A" w:rsidRDefault="00BF0F8A"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F0F8A" w:rsidRDefault="00BF0F8A" w:rsidP="00F53A74">
    <w:pPr>
      <w:pStyle w:val="Footer"/>
    </w:pPr>
  </w:p>
  <w:p w14:paraId="164FD115" w14:textId="77777777" w:rsidR="00BF0F8A" w:rsidRDefault="00BF0F8A"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827CEA2" w:rsidR="00BF0F8A" w:rsidRDefault="00BF0F8A">
        <w:pPr>
          <w:pStyle w:val="Footer"/>
          <w:jc w:val="center"/>
        </w:pPr>
        <w:r>
          <w:fldChar w:fldCharType="begin"/>
        </w:r>
        <w:r>
          <w:instrText xml:space="preserve"> PAGE   \* MERGEFORMAT </w:instrText>
        </w:r>
        <w:r>
          <w:fldChar w:fldCharType="separate"/>
        </w:r>
        <w:r w:rsidR="000C49FD">
          <w:rPr>
            <w:noProof/>
          </w:rP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F88A7" w14:textId="77777777" w:rsidR="00E43DF6" w:rsidRDefault="00E43DF6" w:rsidP="00F53A74">
      <w:r>
        <w:separator/>
      </w:r>
    </w:p>
    <w:p w14:paraId="473A2C69" w14:textId="77777777" w:rsidR="00E43DF6" w:rsidRDefault="00E43DF6" w:rsidP="00F53A74"/>
  </w:footnote>
  <w:footnote w:type="continuationSeparator" w:id="0">
    <w:p w14:paraId="63F857F2" w14:textId="77777777" w:rsidR="00E43DF6" w:rsidRDefault="00E43DF6" w:rsidP="00F53A74">
      <w:r>
        <w:continuationSeparator/>
      </w:r>
    </w:p>
    <w:p w14:paraId="4952BA1A" w14:textId="77777777" w:rsidR="00E43DF6" w:rsidRDefault="00E43DF6" w:rsidP="00F53A74"/>
  </w:footnote>
  <w:footnote w:type="continuationNotice" w:id="1">
    <w:p w14:paraId="58208B71" w14:textId="77777777" w:rsidR="00E43DF6" w:rsidRDefault="00E43DF6" w:rsidP="00F53A74"/>
    <w:p w14:paraId="73924304" w14:textId="77777777" w:rsidR="00E43DF6" w:rsidRDefault="00E43DF6"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34D42EC"/>
    <w:multiLevelType w:val="hybridMultilevel"/>
    <w:tmpl w:val="54B07A5A"/>
    <w:lvl w:ilvl="0" w:tplc="31448D58">
      <w:start w:val="1"/>
      <w:numFmt w:val="bullet"/>
      <w:lvlText w:val=""/>
      <w:lvlJc w:val="left"/>
      <w:pPr>
        <w:tabs>
          <w:tab w:val="num" w:pos="720"/>
        </w:tabs>
        <w:ind w:left="720" w:hanging="360"/>
      </w:pPr>
      <w:rPr>
        <w:rFonts w:ascii="Symbol" w:hAnsi="Symbol" w:hint="default"/>
      </w:rPr>
    </w:lvl>
    <w:lvl w:ilvl="1" w:tplc="EA7E9920">
      <w:start w:val="256"/>
      <w:numFmt w:val="bullet"/>
      <w:lvlText w:val="−"/>
      <w:lvlJc w:val="left"/>
      <w:pPr>
        <w:tabs>
          <w:tab w:val="num" w:pos="1440"/>
        </w:tabs>
        <w:ind w:left="1440" w:hanging="360"/>
      </w:pPr>
      <w:rPr>
        <w:rFonts w:ascii="Calibre Regular" w:hAnsi="Calibre Regular" w:hint="default"/>
      </w:rPr>
    </w:lvl>
    <w:lvl w:ilvl="2" w:tplc="092638A0">
      <w:start w:val="256"/>
      <w:numFmt w:val="bullet"/>
      <w:lvlText w:val="−"/>
      <w:lvlJc w:val="left"/>
      <w:pPr>
        <w:tabs>
          <w:tab w:val="num" w:pos="2160"/>
        </w:tabs>
        <w:ind w:left="2160" w:hanging="360"/>
      </w:pPr>
      <w:rPr>
        <w:rFonts w:ascii="Calibre Regular" w:hAnsi="Calibre Regular" w:hint="default"/>
      </w:rPr>
    </w:lvl>
    <w:lvl w:ilvl="3" w:tplc="A894E03E" w:tentative="1">
      <w:start w:val="1"/>
      <w:numFmt w:val="bullet"/>
      <w:lvlText w:val=""/>
      <w:lvlJc w:val="left"/>
      <w:pPr>
        <w:tabs>
          <w:tab w:val="num" w:pos="2880"/>
        </w:tabs>
        <w:ind w:left="2880" w:hanging="360"/>
      </w:pPr>
      <w:rPr>
        <w:rFonts w:ascii="Symbol" w:hAnsi="Symbol" w:hint="default"/>
      </w:rPr>
    </w:lvl>
    <w:lvl w:ilvl="4" w:tplc="4BE4F80A" w:tentative="1">
      <w:start w:val="1"/>
      <w:numFmt w:val="bullet"/>
      <w:lvlText w:val=""/>
      <w:lvlJc w:val="left"/>
      <w:pPr>
        <w:tabs>
          <w:tab w:val="num" w:pos="3600"/>
        </w:tabs>
        <w:ind w:left="3600" w:hanging="360"/>
      </w:pPr>
      <w:rPr>
        <w:rFonts w:ascii="Symbol" w:hAnsi="Symbol" w:hint="default"/>
      </w:rPr>
    </w:lvl>
    <w:lvl w:ilvl="5" w:tplc="2AF8DAFC" w:tentative="1">
      <w:start w:val="1"/>
      <w:numFmt w:val="bullet"/>
      <w:lvlText w:val=""/>
      <w:lvlJc w:val="left"/>
      <w:pPr>
        <w:tabs>
          <w:tab w:val="num" w:pos="4320"/>
        </w:tabs>
        <w:ind w:left="4320" w:hanging="360"/>
      </w:pPr>
      <w:rPr>
        <w:rFonts w:ascii="Symbol" w:hAnsi="Symbol" w:hint="default"/>
      </w:rPr>
    </w:lvl>
    <w:lvl w:ilvl="6" w:tplc="7334275E" w:tentative="1">
      <w:start w:val="1"/>
      <w:numFmt w:val="bullet"/>
      <w:lvlText w:val=""/>
      <w:lvlJc w:val="left"/>
      <w:pPr>
        <w:tabs>
          <w:tab w:val="num" w:pos="5040"/>
        </w:tabs>
        <w:ind w:left="5040" w:hanging="360"/>
      </w:pPr>
      <w:rPr>
        <w:rFonts w:ascii="Symbol" w:hAnsi="Symbol" w:hint="default"/>
      </w:rPr>
    </w:lvl>
    <w:lvl w:ilvl="7" w:tplc="86BA2876" w:tentative="1">
      <w:start w:val="1"/>
      <w:numFmt w:val="bullet"/>
      <w:lvlText w:val=""/>
      <w:lvlJc w:val="left"/>
      <w:pPr>
        <w:tabs>
          <w:tab w:val="num" w:pos="5760"/>
        </w:tabs>
        <w:ind w:left="5760" w:hanging="360"/>
      </w:pPr>
      <w:rPr>
        <w:rFonts w:ascii="Symbol" w:hAnsi="Symbol" w:hint="default"/>
      </w:rPr>
    </w:lvl>
    <w:lvl w:ilvl="8" w:tplc="A8541E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41C42A9"/>
    <w:multiLevelType w:val="hybridMultilevel"/>
    <w:tmpl w:val="D48EE9C2"/>
    <w:lvl w:ilvl="0" w:tplc="7DA48A04">
      <w:start w:val="1"/>
      <w:numFmt w:val="decimal"/>
      <w:lvlText w:val="(%1)"/>
      <w:lvlJc w:val="left"/>
      <w:pPr>
        <w:ind w:left="360" w:hanging="360"/>
      </w:pPr>
      <w:rPr>
        <w:rFonts w:ascii="Times New Roman" w:eastAsia="Gulim"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000DF"/>
    <w:multiLevelType w:val="hybridMultilevel"/>
    <w:tmpl w:val="2ABC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F32A8"/>
    <w:multiLevelType w:val="hybridMultilevel"/>
    <w:tmpl w:val="3AF8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247AB"/>
    <w:multiLevelType w:val="hybridMultilevel"/>
    <w:tmpl w:val="64662A58"/>
    <w:lvl w:ilvl="0" w:tplc="1C3EC8F2">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80A79"/>
    <w:multiLevelType w:val="hybridMultilevel"/>
    <w:tmpl w:val="EC725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C696E8A"/>
    <w:multiLevelType w:val="hybridMultilevel"/>
    <w:tmpl w:val="0ACA5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A4238C"/>
    <w:multiLevelType w:val="hybridMultilevel"/>
    <w:tmpl w:val="F24C0D52"/>
    <w:lvl w:ilvl="0" w:tplc="421EF026">
      <w:start w:val="1"/>
      <w:numFmt w:val="bullet"/>
      <w:lvlText w:val="−"/>
      <w:lvlJc w:val="left"/>
      <w:pPr>
        <w:tabs>
          <w:tab w:val="num" w:pos="720"/>
        </w:tabs>
        <w:ind w:left="720" w:hanging="360"/>
      </w:pPr>
      <w:rPr>
        <w:rFonts w:ascii="Calibre Regular" w:hAnsi="Calibre Regular" w:hint="default"/>
      </w:rPr>
    </w:lvl>
    <w:lvl w:ilvl="1" w:tplc="9DE85B7C">
      <w:start w:val="1"/>
      <w:numFmt w:val="bullet"/>
      <w:lvlText w:val="−"/>
      <w:lvlJc w:val="left"/>
      <w:pPr>
        <w:tabs>
          <w:tab w:val="num" w:pos="1440"/>
        </w:tabs>
        <w:ind w:left="1440" w:hanging="360"/>
      </w:pPr>
      <w:rPr>
        <w:rFonts w:ascii="Calibre Regular" w:hAnsi="Calibre Regular" w:hint="default"/>
      </w:rPr>
    </w:lvl>
    <w:lvl w:ilvl="2" w:tplc="2F44BEC2">
      <w:start w:val="146"/>
      <w:numFmt w:val="bullet"/>
      <w:lvlText w:val="−"/>
      <w:lvlJc w:val="left"/>
      <w:pPr>
        <w:tabs>
          <w:tab w:val="num" w:pos="2160"/>
        </w:tabs>
        <w:ind w:left="2160" w:hanging="360"/>
      </w:pPr>
      <w:rPr>
        <w:rFonts w:ascii="Calibre Regular" w:hAnsi="Calibre Regular" w:hint="default"/>
      </w:rPr>
    </w:lvl>
    <w:lvl w:ilvl="3" w:tplc="ABFEA8A2" w:tentative="1">
      <w:start w:val="1"/>
      <w:numFmt w:val="bullet"/>
      <w:lvlText w:val="−"/>
      <w:lvlJc w:val="left"/>
      <w:pPr>
        <w:tabs>
          <w:tab w:val="num" w:pos="2880"/>
        </w:tabs>
        <w:ind w:left="2880" w:hanging="360"/>
      </w:pPr>
      <w:rPr>
        <w:rFonts w:ascii="Calibre Regular" w:hAnsi="Calibre Regular" w:hint="default"/>
      </w:rPr>
    </w:lvl>
    <w:lvl w:ilvl="4" w:tplc="D1927AB6" w:tentative="1">
      <w:start w:val="1"/>
      <w:numFmt w:val="bullet"/>
      <w:lvlText w:val="−"/>
      <w:lvlJc w:val="left"/>
      <w:pPr>
        <w:tabs>
          <w:tab w:val="num" w:pos="3600"/>
        </w:tabs>
        <w:ind w:left="3600" w:hanging="360"/>
      </w:pPr>
      <w:rPr>
        <w:rFonts w:ascii="Calibre Regular" w:hAnsi="Calibre Regular" w:hint="default"/>
      </w:rPr>
    </w:lvl>
    <w:lvl w:ilvl="5" w:tplc="F3606D98" w:tentative="1">
      <w:start w:val="1"/>
      <w:numFmt w:val="bullet"/>
      <w:lvlText w:val="−"/>
      <w:lvlJc w:val="left"/>
      <w:pPr>
        <w:tabs>
          <w:tab w:val="num" w:pos="4320"/>
        </w:tabs>
        <w:ind w:left="4320" w:hanging="360"/>
      </w:pPr>
      <w:rPr>
        <w:rFonts w:ascii="Calibre Regular" w:hAnsi="Calibre Regular" w:hint="default"/>
      </w:rPr>
    </w:lvl>
    <w:lvl w:ilvl="6" w:tplc="CD6C51E6" w:tentative="1">
      <w:start w:val="1"/>
      <w:numFmt w:val="bullet"/>
      <w:lvlText w:val="−"/>
      <w:lvlJc w:val="left"/>
      <w:pPr>
        <w:tabs>
          <w:tab w:val="num" w:pos="5040"/>
        </w:tabs>
        <w:ind w:left="5040" w:hanging="360"/>
      </w:pPr>
      <w:rPr>
        <w:rFonts w:ascii="Calibre Regular" w:hAnsi="Calibre Regular" w:hint="default"/>
      </w:rPr>
    </w:lvl>
    <w:lvl w:ilvl="7" w:tplc="7FC88E60" w:tentative="1">
      <w:start w:val="1"/>
      <w:numFmt w:val="bullet"/>
      <w:lvlText w:val="−"/>
      <w:lvlJc w:val="left"/>
      <w:pPr>
        <w:tabs>
          <w:tab w:val="num" w:pos="5760"/>
        </w:tabs>
        <w:ind w:left="5760" w:hanging="360"/>
      </w:pPr>
      <w:rPr>
        <w:rFonts w:ascii="Calibre Regular" w:hAnsi="Calibre Regular" w:hint="default"/>
      </w:rPr>
    </w:lvl>
    <w:lvl w:ilvl="8" w:tplc="9F6C8536" w:tentative="1">
      <w:start w:val="1"/>
      <w:numFmt w:val="bullet"/>
      <w:lvlText w:val="−"/>
      <w:lvlJc w:val="left"/>
      <w:pPr>
        <w:tabs>
          <w:tab w:val="num" w:pos="6480"/>
        </w:tabs>
        <w:ind w:left="6480" w:hanging="360"/>
      </w:pPr>
      <w:rPr>
        <w:rFonts w:ascii="Calibre Regular" w:hAnsi="Calibre Regular" w:hint="default"/>
      </w:rPr>
    </w:lvl>
  </w:abstractNum>
  <w:abstractNum w:abstractNumId="14"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0552E"/>
    <w:multiLevelType w:val="multilevel"/>
    <w:tmpl w:val="B376569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086C24"/>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3A3E20B0"/>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2C71163"/>
    <w:multiLevelType w:val="hybridMultilevel"/>
    <w:tmpl w:val="51908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8252C4"/>
    <w:multiLevelType w:val="hybridMultilevel"/>
    <w:tmpl w:val="E938C732"/>
    <w:lvl w:ilvl="0" w:tplc="5A84EE84">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C3C8D"/>
    <w:multiLevelType w:val="hybridMultilevel"/>
    <w:tmpl w:val="3CE0C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4716C"/>
    <w:multiLevelType w:val="hybridMultilevel"/>
    <w:tmpl w:val="0212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85EDD"/>
    <w:multiLevelType w:val="hybridMultilevel"/>
    <w:tmpl w:val="0F661E8E"/>
    <w:lvl w:ilvl="0" w:tplc="95E4D0B8">
      <w:start w:val="1"/>
      <w:numFmt w:val="bullet"/>
      <w:lvlText w:val="−"/>
      <w:lvlJc w:val="left"/>
      <w:pPr>
        <w:tabs>
          <w:tab w:val="num" w:pos="720"/>
        </w:tabs>
        <w:ind w:left="720" w:hanging="360"/>
      </w:pPr>
      <w:rPr>
        <w:rFonts w:ascii="Calibre Regular" w:hAnsi="Calibre Regular" w:hint="default"/>
      </w:rPr>
    </w:lvl>
    <w:lvl w:ilvl="1" w:tplc="ACE8D162">
      <w:start w:val="1"/>
      <w:numFmt w:val="bullet"/>
      <w:lvlText w:val="−"/>
      <w:lvlJc w:val="left"/>
      <w:pPr>
        <w:tabs>
          <w:tab w:val="num" w:pos="1440"/>
        </w:tabs>
        <w:ind w:left="1440" w:hanging="360"/>
      </w:pPr>
      <w:rPr>
        <w:rFonts w:ascii="Calibre Regular" w:hAnsi="Calibre Regular" w:hint="default"/>
      </w:rPr>
    </w:lvl>
    <w:lvl w:ilvl="2" w:tplc="4928DA98" w:tentative="1">
      <w:start w:val="1"/>
      <w:numFmt w:val="bullet"/>
      <w:lvlText w:val="−"/>
      <w:lvlJc w:val="left"/>
      <w:pPr>
        <w:tabs>
          <w:tab w:val="num" w:pos="2160"/>
        </w:tabs>
        <w:ind w:left="2160" w:hanging="360"/>
      </w:pPr>
      <w:rPr>
        <w:rFonts w:ascii="Calibre Regular" w:hAnsi="Calibre Regular" w:hint="default"/>
      </w:rPr>
    </w:lvl>
    <w:lvl w:ilvl="3" w:tplc="95600438" w:tentative="1">
      <w:start w:val="1"/>
      <w:numFmt w:val="bullet"/>
      <w:lvlText w:val="−"/>
      <w:lvlJc w:val="left"/>
      <w:pPr>
        <w:tabs>
          <w:tab w:val="num" w:pos="2880"/>
        </w:tabs>
        <w:ind w:left="2880" w:hanging="360"/>
      </w:pPr>
      <w:rPr>
        <w:rFonts w:ascii="Calibre Regular" w:hAnsi="Calibre Regular" w:hint="default"/>
      </w:rPr>
    </w:lvl>
    <w:lvl w:ilvl="4" w:tplc="5C663602" w:tentative="1">
      <w:start w:val="1"/>
      <w:numFmt w:val="bullet"/>
      <w:lvlText w:val="−"/>
      <w:lvlJc w:val="left"/>
      <w:pPr>
        <w:tabs>
          <w:tab w:val="num" w:pos="3600"/>
        </w:tabs>
        <w:ind w:left="3600" w:hanging="360"/>
      </w:pPr>
      <w:rPr>
        <w:rFonts w:ascii="Calibre Regular" w:hAnsi="Calibre Regular" w:hint="default"/>
      </w:rPr>
    </w:lvl>
    <w:lvl w:ilvl="5" w:tplc="5FF2250A" w:tentative="1">
      <w:start w:val="1"/>
      <w:numFmt w:val="bullet"/>
      <w:lvlText w:val="−"/>
      <w:lvlJc w:val="left"/>
      <w:pPr>
        <w:tabs>
          <w:tab w:val="num" w:pos="4320"/>
        </w:tabs>
        <w:ind w:left="4320" w:hanging="360"/>
      </w:pPr>
      <w:rPr>
        <w:rFonts w:ascii="Calibre Regular" w:hAnsi="Calibre Regular" w:hint="default"/>
      </w:rPr>
    </w:lvl>
    <w:lvl w:ilvl="6" w:tplc="58507F70" w:tentative="1">
      <w:start w:val="1"/>
      <w:numFmt w:val="bullet"/>
      <w:lvlText w:val="−"/>
      <w:lvlJc w:val="left"/>
      <w:pPr>
        <w:tabs>
          <w:tab w:val="num" w:pos="5040"/>
        </w:tabs>
        <w:ind w:left="5040" w:hanging="360"/>
      </w:pPr>
      <w:rPr>
        <w:rFonts w:ascii="Calibre Regular" w:hAnsi="Calibre Regular" w:hint="default"/>
      </w:rPr>
    </w:lvl>
    <w:lvl w:ilvl="7" w:tplc="4C0A9C98" w:tentative="1">
      <w:start w:val="1"/>
      <w:numFmt w:val="bullet"/>
      <w:lvlText w:val="−"/>
      <w:lvlJc w:val="left"/>
      <w:pPr>
        <w:tabs>
          <w:tab w:val="num" w:pos="5760"/>
        </w:tabs>
        <w:ind w:left="5760" w:hanging="360"/>
      </w:pPr>
      <w:rPr>
        <w:rFonts w:ascii="Calibre Regular" w:hAnsi="Calibre Regular" w:hint="default"/>
      </w:rPr>
    </w:lvl>
    <w:lvl w:ilvl="8" w:tplc="1C18414E"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5A1051A8"/>
    <w:multiLevelType w:val="hybridMultilevel"/>
    <w:tmpl w:val="BDE6B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1AA124F"/>
    <w:multiLevelType w:val="hybridMultilevel"/>
    <w:tmpl w:val="E9B2D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15597"/>
    <w:multiLevelType w:val="hybridMultilevel"/>
    <w:tmpl w:val="82C06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5" w15:restartNumberingAfterBreak="0">
    <w:nsid w:val="67683F6A"/>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D291F61"/>
    <w:multiLevelType w:val="hybridMultilevel"/>
    <w:tmpl w:val="05F2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6780E"/>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03266E"/>
    <w:multiLevelType w:val="hybridMultilevel"/>
    <w:tmpl w:val="1270B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C30ECE"/>
    <w:multiLevelType w:val="hybridMultilevel"/>
    <w:tmpl w:val="3E4AEE8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5"/>
  </w:num>
  <w:num w:numId="2">
    <w:abstractNumId w:val="9"/>
  </w:num>
  <w:num w:numId="3">
    <w:abstractNumId w:val="25"/>
  </w:num>
  <w:num w:numId="4">
    <w:abstractNumId w:val="42"/>
  </w:num>
  <w:num w:numId="5">
    <w:abstractNumId w:val="43"/>
  </w:num>
  <w:num w:numId="6">
    <w:abstractNumId w:val="1"/>
  </w:num>
  <w:num w:numId="7">
    <w:abstractNumId w:val="44"/>
  </w:num>
  <w:num w:numId="8">
    <w:abstractNumId w:val="34"/>
  </w:num>
  <w:num w:numId="9">
    <w:abstractNumId w:val="30"/>
  </w:num>
  <w:num w:numId="10">
    <w:abstractNumId w:val="31"/>
  </w:num>
  <w:num w:numId="11">
    <w:abstractNumId w:val="24"/>
  </w:num>
  <w:num w:numId="12">
    <w:abstractNumId w:val="22"/>
  </w:num>
  <w:num w:numId="13">
    <w:abstractNumId w:val="0"/>
  </w:num>
  <w:num w:numId="14">
    <w:abstractNumId w:val="14"/>
  </w:num>
  <w:num w:numId="15">
    <w:abstractNumId w:val="11"/>
  </w:num>
  <w:num w:numId="16">
    <w:abstractNumId w:val="36"/>
  </w:num>
  <w:num w:numId="17">
    <w:abstractNumId w:val="21"/>
  </w:num>
  <w:num w:numId="18">
    <w:abstractNumId w:val="8"/>
  </w:num>
  <w:num w:numId="19">
    <w:abstractNumId w:val="26"/>
  </w:num>
  <w:num w:numId="20">
    <w:abstractNumId w:val="20"/>
  </w:num>
  <w:num w:numId="21">
    <w:abstractNumId w:val="16"/>
  </w:num>
  <w:num w:numId="22">
    <w:abstractNumId w:val="28"/>
  </w:num>
  <w:num w:numId="23">
    <w:abstractNumId w:val="39"/>
  </w:num>
  <w:num w:numId="24">
    <w:abstractNumId w:val="27"/>
  </w:num>
  <w:num w:numId="25">
    <w:abstractNumId w:val="32"/>
  </w:num>
  <w:num w:numId="26">
    <w:abstractNumId w:val="7"/>
  </w:num>
  <w:num w:numId="27">
    <w:abstractNumId w:val="23"/>
  </w:num>
  <w:num w:numId="28">
    <w:abstractNumId w:val="5"/>
  </w:num>
  <w:num w:numId="29">
    <w:abstractNumId w:val="33"/>
  </w:num>
  <w:num w:numId="30">
    <w:abstractNumId w:val="13"/>
  </w:num>
  <w:num w:numId="31">
    <w:abstractNumId w:val="19"/>
  </w:num>
  <w:num w:numId="32">
    <w:abstractNumId w:val="37"/>
  </w:num>
  <w:num w:numId="33">
    <w:abstractNumId w:val="40"/>
  </w:num>
  <w:num w:numId="34">
    <w:abstractNumId w:val="29"/>
  </w:num>
  <w:num w:numId="35">
    <w:abstractNumId w:val="35"/>
  </w:num>
  <w:num w:numId="36">
    <w:abstractNumId w:val="18"/>
  </w:num>
  <w:num w:numId="37">
    <w:abstractNumId w:val="12"/>
  </w:num>
  <w:num w:numId="38">
    <w:abstractNumId w:val="4"/>
  </w:num>
  <w:num w:numId="39">
    <w:abstractNumId w:val="2"/>
  </w:num>
  <w:num w:numId="40">
    <w:abstractNumId w:val="3"/>
  </w:num>
  <w:num w:numId="41">
    <w:abstractNumId w:val="17"/>
  </w:num>
  <w:num w:numId="42">
    <w:abstractNumId w:val="38"/>
  </w:num>
  <w:num w:numId="43">
    <w:abstractNumId w:val="10"/>
  </w:num>
  <w:num w:numId="44">
    <w:abstractNumId w:val="37"/>
  </w:num>
  <w:num w:numId="45">
    <w:abstractNumId w:val="6"/>
  </w:num>
  <w:num w:numId="46">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57A9A"/>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5BA"/>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49FD"/>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C6D"/>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D11"/>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5C3"/>
    <w:rsid w:val="0011077F"/>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582"/>
    <w:rsid w:val="001348F9"/>
    <w:rsid w:val="00134B43"/>
    <w:rsid w:val="00134DD5"/>
    <w:rsid w:val="00135E2E"/>
    <w:rsid w:val="00136204"/>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082"/>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547"/>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1F"/>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5A0"/>
    <w:rsid w:val="00210E3A"/>
    <w:rsid w:val="0021172D"/>
    <w:rsid w:val="0021235B"/>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573"/>
    <w:rsid w:val="00217897"/>
    <w:rsid w:val="00217E25"/>
    <w:rsid w:val="00220845"/>
    <w:rsid w:val="0022097D"/>
    <w:rsid w:val="00220BAF"/>
    <w:rsid w:val="00220F52"/>
    <w:rsid w:val="002212FF"/>
    <w:rsid w:val="0022168B"/>
    <w:rsid w:val="00221729"/>
    <w:rsid w:val="002218C5"/>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4F7"/>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685D"/>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101"/>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2B"/>
    <w:rsid w:val="002B1F58"/>
    <w:rsid w:val="002B2186"/>
    <w:rsid w:val="002B223B"/>
    <w:rsid w:val="002B2575"/>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71E"/>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1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5D8D"/>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39A"/>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02"/>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1EE0"/>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102"/>
    <w:rsid w:val="004C7C80"/>
    <w:rsid w:val="004C7DE5"/>
    <w:rsid w:val="004D020D"/>
    <w:rsid w:val="004D11AB"/>
    <w:rsid w:val="004D17DE"/>
    <w:rsid w:val="004D1868"/>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3D"/>
    <w:rsid w:val="004F60BF"/>
    <w:rsid w:val="004F6332"/>
    <w:rsid w:val="004F6767"/>
    <w:rsid w:val="004F693F"/>
    <w:rsid w:val="004F6DD0"/>
    <w:rsid w:val="004F75C4"/>
    <w:rsid w:val="004F7705"/>
    <w:rsid w:val="00500075"/>
    <w:rsid w:val="00500203"/>
    <w:rsid w:val="005002B9"/>
    <w:rsid w:val="005002E4"/>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670"/>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0992"/>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5F"/>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3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990"/>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DB3"/>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385A"/>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311D"/>
    <w:rsid w:val="00753C57"/>
    <w:rsid w:val="007543C7"/>
    <w:rsid w:val="0075447C"/>
    <w:rsid w:val="0075448C"/>
    <w:rsid w:val="00754686"/>
    <w:rsid w:val="00754787"/>
    <w:rsid w:val="00754913"/>
    <w:rsid w:val="007550CB"/>
    <w:rsid w:val="007556B1"/>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1FDD"/>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27"/>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3D7B"/>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561"/>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079"/>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297E"/>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77F4D"/>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02C"/>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9F7EE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C55"/>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0C"/>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95B"/>
    <w:rsid w:val="00A26A59"/>
    <w:rsid w:val="00A26B17"/>
    <w:rsid w:val="00A271B1"/>
    <w:rsid w:val="00A27307"/>
    <w:rsid w:val="00A27CCC"/>
    <w:rsid w:val="00A30063"/>
    <w:rsid w:val="00A301EE"/>
    <w:rsid w:val="00A30934"/>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509"/>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508"/>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841"/>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0EBA"/>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6F11"/>
    <w:rsid w:val="00B1710B"/>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1C5"/>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46A"/>
    <w:rsid w:val="00B9386E"/>
    <w:rsid w:val="00B9394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D7D4A"/>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0F8A"/>
    <w:rsid w:val="00BF10A1"/>
    <w:rsid w:val="00BF10F6"/>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828"/>
    <w:rsid w:val="00C22F0D"/>
    <w:rsid w:val="00C22F82"/>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0CE0"/>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957"/>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6C0B"/>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6819"/>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344"/>
    <w:rsid w:val="00D10437"/>
    <w:rsid w:val="00D1090E"/>
    <w:rsid w:val="00D11615"/>
    <w:rsid w:val="00D11E5E"/>
    <w:rsid w:val="00D12938"/>
    <w:rsid w:val="00D1309D"/>
    <w:rsid w:val="00D1328D"/>
    <w:rsid w:val="00D1342C"/>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325"/>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37"/>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C6B"/>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348"/>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9"/>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1CE"/>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1BFA"/>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154"/>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3DF6"/>
    <w:rsid w:val="00E4474C"/>
    <w:rsid w:val="00E447FB"/>
    <w:rsid w:val="00E449D0"/>
    <w:rsid w:val="00E44BC3"/>
    <w:rsid w:val="00E44BF4"/>
    <w:rsid w:val="00E44E50"/>
    <w:rsid w:val="00E44EF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52E"/>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0F1"/>
    <w:rsid w:val="00E9368F"/>
    <w:rsid w:val="00E9391D"/>
    <w:rsid w:val="00E94093"/>
    <w:rsid w:val="00E943F0"/>
    <w:rsid w:val="00E9449C"/>
    <w:rsid w:val="00E94836"/>
    <w:rsid w:val="00E94913"/>
    <w:rsid w:val="00E9496A"/>
    <w:rsid w:val="00E94A3A"/>
    <w:rsid w:val="00E94EDF"/>
    <w:rsid w:val="00E94F68"/>
    <w:rsid w:val="00E950AB"/>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80F"/>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F08"/>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3E1"/>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27"/>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604"/>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6F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260"/>
    <w:rsid w:val="00FA56EE"/>
    <w:rsid w:val="00FA58E2"/>
    <w:rsid w:val="00FA5CB7"/>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B38"/>
    <w:rsid w:val="00FD0B4B"/>
    <w:rsid w:val="00FD0D01"/>
    <w:rsid w:val="00FD0D04"/>
    <w:rsid w:val="00FD112F"/>
    <w:rsid w:val="00FD1566"/>
    <w:rsid w:val="00FD174F"/>
    <w:rsid w:val="00FD18B4"/>
    <w:rsid w:val="00FD1D6C"/>
    <w:rsid w:val="00FD1F3A"/>
    <w:rsid w:val="00FD1F6D"/>
    <w:rsid w:val="00FD2173"/>
    <w:rsid w:val="00FD2497"/>
    <w:rsid w:val="00FD24BD"/>
    <w:rsid w:val="00FD254F"/>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6DFF"/>
    <w:rsid w:val="00FF73D9"/>
    <w:rsid w:val="00FF747E"/>
    <w:rsid w:val="00FF75FE"/>
    <w:rsid w:val="00FF7611"/>
    <w:rsid w:val="00FF797D"/>
    <w:rsid w:val="00FF79E1"/>
    <w:rsid w:val="00FF7C63"/>
    <w:rsid w:val="00FF7E8F"/>
    <w:rsid w:val="5906A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56AB91-3A1F-4775-8CFF-9FE6FE9A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列出段落,Lista1,?? ??,?????,????"/>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列出段落 Char,Lista1 Char,?? ?? Char,????? Char,????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3EQ6UJ4K66FU-4-4187</_dlc_DocId>
    <_dlc_DocIdUrl xmlns="df4eea7b-52db-4162-980b-b352f1b580a3">
      <Url>https://projects.qualcomm.com/sites/meridian/_layouts/15/DocIdRedir.aspx?ID=3EQ6UJ4K66FU-4-4187</Url>
      <Description>3EQ6UJ4K66FU-4-4187</Description>
    </_dlc_DocIdUrl>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04D4D6-A3EF-483A-B5E1-685C6D3B2336}">
  <ds:schemaRefs>
    <ds:schemaRef ds:uri="http://schemas.openxmlformats.org/officeDocument/2006/bibliography"/>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4265AF14-DCA8-4AFE-AFD1-39E0582E9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2129</Words>
  <Characters>12139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Dedicated Control Channel</vt:lpstr>
    </vt:vector>
  </TitlesOfParts>
  <Company>LGE</Company>
  <LinksUpToDate>false</LinksUpToDate>
  <CharactersWithSpaces>14240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Ozcan Ozturk</cp:lastModifiedBy>
  <cp:revision>2</cp:revision>
  <cp:lastPrinted>2010-08-13T21:54:00Z</cp:lastPrinted>
  <dcterms:created xsi:type="dcterms:W3CDTF">2018-05-10T07:45:00Z</dcterms:created>
  <dcterms:modified xsi:type="dcterms:W3CDTF">2018-05-10T07:45:00Z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0e00386d-2129-4157-9efd-55f4df1e6ad8</vt:lpwstr>
  </property>
</Properties>
</file>