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36CE3B64" w:rsidR="00EE6198" w:rsidRPr="00EE6198" w:rsidRDefault="00EE6198" w:rsidP="00EE6198">
      <w:pPr>
        <w:pStyle w:val="Header"/>
        <w:tabs>
          <w:tab w:val="right" w:pos="9639"/>
        </w:tabs>
        <w:rPr>
          <w:sz w:val="24"/>
          <w:lang w:val="en-GB" w:eastAsia="zh-CN"/>
        </w:rPr>
      </w:pPr>
      <w:r w:rsidRPr="00EE6198">
        <w:rPr>
          <w:sz w:val="24"/>
          <w:lang w:val="en-GB" w:eastAsia="zh-CN"/>
        </w:rPr>
        <w:t xml:space="preserve">3GPP TSG-RAN WG2 </w:t>
      </w:r>
      <w:r w:rsidR="00504FD0">
        <w:rPr>
          <w:sz w:val="24"/>
          <w:lang w:val="en-GB" w:eastAsia="zh-CN"/>
        </w:rPr>
        <w:t>Meeting 101</w:t>
      </w:r>
      <w:r w:rsidRPr="00EE6198">
        <w:rPr>
          <w:sz w:val="24"/>
          <w:lang w:val="en-GB" w:eastAsia="zh-CN"/>
        </w:rPr>
        <w:tab/>
      </w:r>
      <w:r w:rsidR="00790003" w:rsidRPr="00790003">
        <w:rPr>
          <w:sz w:val="24"/>
          <w:lang w:val="en-GB" w:eastAsia="zh-CN"/>
        </w:rPr>
        <w:t>R2-1802949</w:t>
      </w:r>
    </w:p>
    <w:p w14:paraId="0B338A9B" w14:textId="1689ABA9" w:rsidR="00EE6198" w:rsidRPr="00EE6198" w:rsidRDefault="00504FD0" w:rsidP="00EE6198">
      <w:pPr>
        <w:pStyle w:val="Header"/>
        <w:tabs>
          <w:tab w:val="right" w:pos="9639"/>
        </w:tabs>
        <w:rPr>
          <w:sz w:val="24"/>
          <w:lang w:val="en-GB" w:eastAsia="zh-CN"/>
        </w:rPr>
      </w:pPr>
      <w:r>
        <w:rPr>
          <w:sz w:val="24"/>
          <w:lang w:val="en-GB" w:eastAsia="zh-CN"/>
        </w:rPr>
        <w:t>Athens</w:t>
      </w:r>
      <w:r w:rsidR="00EE6198" w:rsidRPr="00EE6198">
        <w:rPr>
          <w:sz w:val="24"/>
          <w:lang w:val="en-GB" w:eastAsia="zh-CN"/>
        </w:rPr>
        <w:t>,</w:t>
      </w:r>
      <w:r>
        <w:rPr>
          <w:sz w:val="24"/>
          <w:lang w:val="en-GB" w:eastAsia="zh-CN"/>
        </w:rPr>
        <w:t xml:space="preserve"> Greece,</w:t>
      </w:r>
      <w:r w:rsidR="00EE6198" w:rsidRPr="00EE6198">
        <w:rPr>
          <w:sz w:val="24"/>
          <w:lang w:val="en-GB" w:eastAsia="zh-CN"/>
        </w:rPr>
        <w:t xml:space="preserve"> </w:t>
      </w:r>
      <w:r>
        <w:rPr>
          <w:sz w:val="24"/>
          <w:lang w:val="en-GB" w:eastAsia="zh-CN"/>
        </w:rPr>
        <w:t>26</w:t>
      </w:r>
      <w:r w:rsidRPr="00504FD0">
        <w:rPr>
          <w:sz w:val="24"/>
          <w:lang w:val="en-GB" w:eastAsia="zh-CN"/>
        </w:rPr>
        <w:t>th</w:t>
      </w:r>
      <w:r>
        <w:rPr>
          <w:sz w:val="24"/>
          <w:lang w:val="en-GB" w:eastAsia="zh-CN"/>
        </w:rPr>
        <w:t xml:space="preserve"> February  – 2nd</w:t>
      </w:r>
      <w:r w:rsidR="00EE6198" w:rsidRPr="00EE6198">
        <w:rPr>
          <w:sz w:val="24"/>
          <w:lang w:val="en-GB" w:eastAsia="zh-CN"/>
        </w:rPr>
        <w:t xml:space="preserve"> </w:t>
      </w:r>
      <w:r>
        <w:rPr>
          <w:sz w:val="24"/>
          <w:lang w:val="en-GB" w:eastAsia="zh-CN"/>
        </w:rPr>
        <w:t>March</w:t>
      </w:r>
      <w:r w:rsidR="00EE6198" w:rsidRPr="00EE6198">
        <w:rPr>
          <w:sz w:val="24"/>
          <w:lang w:val="en-GB" w:eastAsia="zh-CN"/>
        </w:rPr>
        <w:t xml:space="preserve"> 2018</w:t>
      </w:r>
    </w:p>
    <w:p w14:paraId="60EF47B0" w14:textId="6ECBF7E1"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6C3B3194"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66D8">
        <w:rPr>
          <w:rFonts w:cs="Arial"/>
          <w:b/>
          <w:bCs/>
          <w:sz w:val="24"/>
          <w:lang w:val="en-US"/>
        </w:rPr>
        <w:t>10.3.1.4.2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4E8C01D5"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355BB" w:rsidRPr="000355BB">
        <w:rPr>
          <w:rFonts w:ascii="Arial" w:hAnsi="Arial" w:cs="Arial"/>
          <w:b/>
          <w:bCs/>
          <w:sz w:val="24"/>
        </w:rPr>
        <w:t>On beam failure recovery and detection using random access procedure</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2B5F0B8D" w14:textId="2F0150C0"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Beam failure detection and recovery procedure and the role of random access was discussed in de</w:t>
      </w:r>
      <w:r w:rsidR="00B70D0A">
        <w:rPr>
          <w:rFonts w:ascii="Times New Roman" w:hAnsi="Times New Roman"/>
          <w:sz w:val="20"/>
          <w:szCs w:val="20"/>
          <w:lang w:eastAsia="zh-CN"/>
        </w:rPr>
        <w:t xml:space="preserve">tail in the last RAN2 meeting </w:t>
      </w:r>
      <w:sdt>
        <w:sdtPr>
          <w:rPr>
            <w:rFonts w:ascii="Times New Roman" w:hAnsi="Times New Roman"/>
            <w:sz w:val="20"/>
            <w:szCs w:val="20"/>
            <w:lang w:eastAsia="zh-CN"/>
          </w:rPr>
          <w:id w:val="-465810611"/>
          <w:citation/>
        </w:sdtPr>
        <w:sdtEndPr/>
        <w:sdtContent>
          <w:r w:rsidR="00B70D0A">
            <w:rPr>
              <w:rFonts w:ascii="Times New Roman" w:hAnsi="Times New Roman"/>
              <w:sz w:val="20"/>
              <w:szCs w:val="20"/>
              <w:lang w:eastAsia="zh-CN"/>
            </w:rPr>
            <w:fldChar w:fldCharType="begin"/>
          </w:r>
          <w:r w:rsidR="00B70D0A">
            <w:rPr>
              <w:rFonts w:ascii="Times New Roman" w:hAnsi="Times New Roman"/>
              <w:sz w:val="20"/>
              <w:szCs w:val="20"/>
              <w:lang w:eastAsia="zh-CN"/>
            </w:rPr>
            <w:instrText xml:space="preserve"> CITATION RAN2adhoc3 \l 1033 </w:instrText>
          </w:r>
          <w:r w:rsidR="00B70D0A">
            <w:rPr>
              <w:rFonts w:ascii="Times New Roman" w:hAnsi="Times New Roman"/>
              <w:sz w:val="20"/>
              <w:szCs w:val="20"/>
              <w:lang w:eastAsia="zh-CN"/>
            </w:rPr>
            <w:fldChar w:fldCharType="separate"/>
          </w:r>
          <w:r w:rsidR="00B70D0A" w:rsidRPr="00B70D0A">
            <w:rPr>
              <w:rFonts w:ascii="Times New Roman" w:hAnsi="Times New Roman"/>
              <w:noProof/>
              <w:sz w:val="20"/>
              <w:szCs w:val="20"/>
              <w:lang w:eastAsia="zh-CN"/>
            </w:rPr>
            <w:t>[1]</w:t>
          </w:r>
          <w:r w:rsidR="00B70D0A">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and the following agreements were made:</w:t>
      </w:r>
    </w:p>
    <w:p w14:paraId="34175B97" w14:textId="77777777" w:rsidR="000355BB" w:rsidRDefault="000355BB" w:rsidP="000355BB">
      <w:pPr>
        <w:pStyle w:val="Doc-text2"/>
        <w:pBdr>
          <w:top w:val="single" w:sz="4" w:space="1" w:color="auto"/>
          <w:left w:val="single" w:sz="4" w:space="4" w:color="auto"/>
          <w:bottom w:val="single" w:sz="4" w:space="1" w:color="auto"/>
          <w:right w:val="single" w:sz="4" w:space="4" w:color="auto"/>
        </w:pBdr>
        <w:ind w:left="1083"/>
      </w:pPr>
      <w:r>
        <w:t>Agreements</w:t>
      </w:r>
    </w:p>
    <w:p w14:paraId="7F217529" w14:textId="77777777" w:rsidR="000355BB" w:rsidRDefault="000355BB" w:rsidP="000355BB">
      <w:pPr>
        <w:pStyle w:val="Doc-text2"/>
        <w:numPr>
          <w:ilvl w:val="0"/>
          <w:numId w:val="13"/>
        </w:numPr>
        <w:pBdr>
          <w:top w:val="single" w:sz="4" w:space="1" w:color="auto"/>
          <w:left w:val="single" w:sz="4" w:space="4" w:color="auto"/>
          <w:bottom w:val="single" w:sz="4" w:space="1" w:color="auto"/>
          <w:right w:val="single" w:sz="4" w:space="4" w:color="auto"/>
        </w:pBdr>
        <w:ind w:left="1080"/>
      </w:pPr>
      <w:r>
        <w:t xml:space="preserve">The </w:t>
      </w:r>
      <w:r w:rsidRPr="00996BC8">
        <w:t xml:space="preserve">beam failure detection is performed </w:t>
      </w:r>
      <w:r>
        <w:t xml:space="preserve">by </w:t>
      </w:r>
      <w:r w:rsidRPr="00996BC8">
        <w:t>MAC</w:t>
      </w:r>
      <w:r>
        <w:t xml:space="preserve">. </w:t>
      </w:r>
    </w:p>
    <w:p w14:paraId="16215CB9"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3702485" w14:textId="77777777" w:rsidR="000355BB" w:rsidRDefault="000355BB" w:rsidP="000355BB">
      <w:pPr>
        <w:pStyle w:val="Doc-text2"/>
        <w:pBdr>
          <w:top w:val="single" w:sz="4" w:space="1" w:color="auto"/>
          <w:left w:val="single" w:sz="4" w:space="4" w:color="auto"/>
          <w:bottom w:val="single" w:sz="4" w:space="1" w:color="auto"/>
          <w:right w:val="single" w:sz="4" w:space="4" w:color="auto"/>
        </w:pBdr>
        <w:ind w:left="1083"/>
      </w:pPr>
      <w:r>
        <w:t>=&gt;</w:t>
      </w:r>
      <w:r>
        <w:tab/>
        <w:t xml:space="preserve">RAN2 assumes that the same set of RA parameters are used but different values can be configured  </w:t>
      </w:r>
    </w:p>
    <w:p w14:paraId="4198A6C5"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53663141" w14:textId="77777777" w:rsidR="000355BB" w:rsidRDefault="000355BB" w:rsidP="000355BB">
      <w:pPr>
        <w:pStyle w:val="Doc-text2"/>
        <w:numPr>
          <w:ilvl w:val="0"/>
          <w:numId w:val="14"/>
        </w:numPr>
        <w:pBdr>
          <w:top w:val="single" w:sz="4" w:space="1" w:color="auto"/>
          <w:left w:val="single" w:sz="4" w:space="4" w:color="auto"/>
          <w:bottom w:val="single" w:sz="4" w:space="1" w:color="auto"/>
          <w:right w:val="single" w:sz="4" w:space="4" w:color="auto"/>
        </w:pBdr>
        <w:ind w:left="1080"/>
      </w:pPr>
      <w:r w:rsidRPr="000A1A3A">
        <w:t>ResponseWindowSize-BFR is applied only for contention free BFRR preamble (as already captured in MAC specification).</w:t>
      </w:r>
    </w:p>
    <w:p w14:paraId="127C6EB8" w14:textId="77777777" w:rsidR="000355BB" w:rsidRPr="000A1A3A" w:rsidRDefault="000355BB" w:rsidP="000355BB">
      <w:pPr>
        <w:pStyle w:val="Doc-text2"/>
        <w:numPr>
          <w:ilvl w:val="0"/>
          <w:numId w:val="13"/>
        </w:numPr>
        <w:pBdr>
          <w:top w:val="single" w:sz="4" w:space="1" w:color="auto"/>
          <w:left w:val="single" w:sz="4" w:space="4" w:color="auto"/>
          <w:bottom w:val="single" w:sz="4" w:space="1" w:color="auto"/>
          <w:right w:val="single" w:sz="4" w:space="4" w:color="auto"/>
        </w:pBdr>
        <w:ind w:left="1080"/>
      </w:pPr>
      <w:r w:rsidRPr="000A1A3A">
        <w:t>PreambleInitialReceivedTargetPower-BFR and powerRampingStep-BFR are applied only for contention free BFRR preamble.</w:t>
      </w:r>
    </w:p>
    <w:p w14:paraId="4AB05618" w14:textId="77777777" w:rsidR="000355BB" w:rsidRPr="000A1A3A" w:rsidRDefault="000355BB" w:rsidP="000355BB">
      <w:pPr>
        <w:pStyle w:val="Doc-text2"/>
        <w:pBdr>
          <w:top w:val="single" w:sz="4" w:space="1" w:color="auto"/>
          <w:left w:val="single" w:sz="4" w:space="4" w:color="auto"/>
          <w:bottom w:val="single" w:sz="4" w:space="1" w:color="auto"/>
          <w:right w:val="single" w:sz="4" w:space="4" w:color="auto"/>
        </w:pBdr>
        <w:ind w:left="1083"/>
      </w:pPr>
      <w:r>
        <w:t>3</w:t>
      </w:r>
      <w:r w:rsidRPr="000A1A3A">
        <w:t xml:space="preserve"> </w:t>
      </w:r>
      <w:r>
        <w:tab/>
      </w:r>
      <w:r w:rsidRPr="000A1A3A">
        <w:t>Maximum power applied to common RACH is dictated by the ra-PreambleTx-Max.</w:t>
      </w:r>
    </w:p>
    <w:p w14:paraId="69E3BAF8" w14:textId="77777777" w:rsidR="000355BB" w:rsidRDefault="000355BB" w:rsidP="000355BB">
      <w:pPr>
        <w:pStyle w:val="Doc-text2"/>
        <w:pBdr>
          <w:top w:val="single" w:sz="4" w:space="1" w:color="auto"/>
          <w:left w:val="single" w:sz="4" w:space="4" w:color="auto"/>
          <w:bottom w:val="single" w:sz="4" w:space="1" w:color="auto"/>
          <w:right w:val="single" w:sz="4" w:space="4" w:color="auto"/>
        </w:pBdr>
        <w:ind w:left="1083"/>
      </w:pPr>
      <w:r>
        <w:t>4</w:t>
      </w:r>
      <w:r w:rsidRPr="000A1A3A">
        <w:t xml:space="preserve">   </w:t>
      </w:r>
      <w:r>
        <w:t xml:space="preserve">  </w:t>
      </w:r>
      <w:r w:rsidRPr="000A1A3A">
        <w:t xml:space="preserve">PreambleTransMax-BFR is applied only for contention free BFRR preamble. </w:t>
      </w:r>
      <w:r>
        <w:t xml:space="preserve">FFS how to capture it.  </w:t>
      </w:r>
      <w:bookmarkStart w:id="0" w:name="_GoBack"/>
      <w:bookmarkEnd w:id="0"/>
    </w:p>
    <w:p w14:paraId="6088BDA5" w14:textId="77777777" w:rsidR="000355BB" w:rsidRDefault="000355BB" w:rsidP="000355BB">
      <w:pPr>
        <w:pStyle w:val="Doc-text2"/>
        <w:pBdr>
          <w:top w:val="single" w:sz="4" w:space="1" w:color="auto"/>
          <w:left w:val="single" w:sz="4" w:space="4" w:color="auto"/>
          <w:bottom w:val="single" w:sz="4" w:space="1" w:color="auto"/>
          <w:right w:val="single" w:sz="4" w:space="4" w:color="auto"/>
        </w:pBdr>
        <w:ind w:left="1083"/>
      </w:pPr>
      <w:r>
        <w:t>5</w:t>
      </w:r>
      <w:r>
        <w:tab/>
        <w:t xml:space="preserve">Agreements will be captured in the MAC CR and reviewed during email discussion </w:t>
      </w:r>
    </w:p>
    <w:p w14:paraId="0A6EB018"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09F5ECD0" w14:textId="77777777" w:rsidR="000355BB" w:rsidRDefault="000355BB" w:rsidP="000355BB">
      <w:pPr>
        <w:pStyle w:val="Doc-text2"/>
        <w:pBdr>
          <w:top w:val="single" w:sz="4" w:space="1" w:color="auto"/>
          <w:left w:val="single" w:sz="4" w:space="4" w:color="auto"/>
          <w:bottom w:val="single" w:sz="4" w:space="1" w:color="auto"/>
          <w:right w:val="single" w:sz="4" w:space="4" w:color="auto"/>
        </w:pBdr>
        <w:ind w:left="1083"/>
      </w:pPr>
      <w:r>
        <w:t>=&gt;</w:t>
      </w:r>
      <w:r>
        <w:tab/>
      </w:r>
      <w:r w:rsidRPr="00CD45A4">
        <w:t>For contention based random access for beam failure recovery, contention resolution is successful if UE receives a PDCCH transmission addressed to its C-RNTI</w:t>
      </w:r>
    </w:p>
    <w:p w14:paraId="4DDBF294"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43AD8638" w14:textId="699257EA" w:rsidR="00504FD0" w:rsidRPr="001C137C" w:rsidRDefault="000355BB"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There were still a few open issues and aspects for discussion to finalize the beam failure recovery (BFR) procedure to be finalized in RAN2, specifically on how the detection is performed with regard to indication from PHY</w:t>
      </w:r>
      <w:r w:rsidR="00B70D0A">
        <w:rPr>
          <w:rFonts w:ascii="Times New Roman" w:hAnsi="Times New Roman"/>
          <w:sz w:val="20"/>
          <w:szCs w:val="20"/>
          <w:lang w:eastAsia="zh-CN"/>
        </w:rPr>
        <w:t>. In this contribution</w:t>
      </w:r>
      <w:r>
        <w:rPr>
          <w:rFonts w:ascii="Times New Roman" w:hAnsi="Times New Roman"/>
          <w:sz w:val="20"/>
          <w:szCs w:val="20"/>
          <w:lang w:eastAsia="zh-CN"/>
        </w:rPr>
        <w:t>, we discuss these issues and present our views.</w:t>
      </w:r>
    </w:p>
    <w:p w14:paraId="60EF47C1" w14:textId="77777777" w:rsidR="001C137C" w:rsidRDefault="006242D5" w:rsidP="00DA3465">
      <w:pPr>
        <w:pStyle w:val="Tdoc"/>
        <w:ind w:left="0" w:firstLine="0"/>
      </w:pPr>
      <w:r>
        <w:t>Discussion</w:t>
      </w:r>
    </w:p>
    <w:p w14:paraId="01929529" w14:textId="1C72B808" w:rsidR="00284186" w:rsidRDefault="00284186" w:rsidP="00284186">
      <w:pPr>
        <w:spacing w:before="240"/>
        <w:rPr>
          <w:rFonts w:ascii="Times New Roman" w:hAnsi="Times New Roman"/>
          <w:sz w:val="20"/>
        </w:rPr>
      </w:pPr>
      <w:r>
        <w:rPr>
          <w:rFonts w:ascii="Times New Roman" w:hAnsi="Times New Roman"/>
          <w:sz w:val="20"/>
        </w:rPr>
        <w:t xml:space="preserve">It was already agreed in RAN2 that the beam failure detection procedure would be performed in MAC. Since beam management in general is more </w:t>
      </w:r>
      <w:r w:rsidR="00F23D2F">
        <w:rPr>
          <w:rFonts w:ascii="Times New Roman" w:hAnsi="Times New Roman"/>
          <w:sz w:val="20"/>
        </w:rPr>
        <w:t>related</w:t>
      </w:r>
      <w:r>
        <w:rPr>
          <w:rFonts w:ascii="Times New Roman" w:hAnsi="Times New Roman"/>
          <w:sz w:val="20"/>
        </w:rPr>
        <w:t xml:space="preserve"> to PHY layer operation, this decision has implications on the cross layer signaling/indication</w:t>
      </w:r>
      <w:r w:rsidR="00E31A42">
        <w:rPr>
          <w:rFonts w:ascii="Times New Roman" w:hAnsi="Times New Roman"/>
          <w:sz w:val="20"/>
        </w:rPr>
        <w:t xml:space="preserve"> mechanism</w:t>
      </w:r>
      <w:r>
        <w:rPr>
          <w:rFonts w:ascii="Times New Roman" w:hAnsi="Times New Roman"/>
          <w:sz w:val="20"/>
        </w:rPr>
        <w:t xml:space="preserve"> to enable MAC to perform beam failure detection. In the last RAN1 meeting, there was discussion on beam failure detection/recovery as well and the</w:t>
      </w:r>
      <w:r w:rsidR="00E31A42">
        <w:rPr>
          <w:rFonts w:ascii="Times New Roman" w:hAnsi="Times New Roman"/>
          <w:sz w:val="20"/>
        </w:rPr>
        <w:t xml:space="preserve"> following agreements were</w:t>
      </w:r>
      <w:r w:rsidR="00260F24">
        <w:rPr>
          <w:rFonts w:ascii="Times New Roman" w:hAnsi="Times New Roman"/>
          <w:sz w:val="20"/>
        </w:rPr>
        <w:t xml:space="preserve"> made </w:t>
      </w:r>
      <w:sdt>
        <w:sdtPr>
          <w:rPr>
            <w:rFonts w:ascii="Times New Roman" w:hAnsi="Times New Roman"/>
            <w:sz w:val="20"/>
          </w:rPr>
          <w:id w:val="167607958"/>
          <w:citation/>
        </w:sdtPr>
        <w:sdtEndPr/>
        <w:sdtContent>
          <w:r w:rsidR="00260F24">
            <w:rPr>
              <w:rFonts w:ascii="Times New Roman" w:hAnsi="Times New Roman"/>
              <w:sz w:val="20"/>
            </w:rPr>
            <w:fldChar w:fldCharType="begin"/>
          </w:r>
          <w:r w:rsidR="00260F24">
            <w:rPr>
              <w:rFonts w:ascii="Times New Roman" w:hAnsi="Times New Roman"/>
              <w:sz w:val="20"/>
            </w:rPr>
            <w:instrText xml:space="preserve"> CITATION RAN1Adhoc \l 1033 </w:instrText>
          </w:r>
          <w:r w:rsidR="00260F24">
            <w:rPr>
              <w:rFonts w:ascii="Times New Roman" w:hAnsi="Times New Roman"/>
              <w:sz w:val="20"/>
            </w:rPr>
            <w:fldChar w:fldCharType="separate"/>
          </w:r>
          <w:r w:rsidR="00260F24" w:rsidRPr="00260F24">
            <w:rPr>
              <w:rFonts w:ascii="Times New Roman" w:hAnsi="Times New Roman"/>
              <w:noProof/>
              <w:sz w:val="20"/>
            </w:rPr>
            <w:t>[2]</w:t>
          </w:r>
          <w:r w:rsidR="00260F24">
            <w:rPr>
              <w:rFonts w:ascii="Times New Roman" w:hAnsi="Times New Roman"/>
              <w:sz w:val="20"/>
            </w:rPr>
            <w:fldChar w:fldCharType="end"/>
          </w:r>
        </w:sdtContent>
      </w:sdt>
      <w:r>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284186" w14:paraId="0111E482" w14:textId="77777777" w:rsidTr="00C655BB">
        <w:tc>
          <w:tcPr>
            <w:tcW w:w="9629" w:type="dxa"/>
          </w:tcPr>
          <w:p w14:paraId="6F710774" w14:textId="77777777" w:rsidR="00284186" w:rsidRPr="00FB7BE7" w:rsidRDefault="00284186" w:rsidP="00C655BB">
            <w:pPr>
              <w:pStyle w:val="ListParagraph"/>
              <w:ind w:left="0"/>
              <w:rPr>
                <w:b/>
                <w:szCs w:val="20"/>
                <w:highlight w:val="green"/>
              </w:rPr>
            </w:pPr>
            <w:r w:rsidRPr="00FB7BE7">
              <w:rPr>
                <w:b/>
                <w:szCs w:val="20"/>
                <w:highlight w:val="green"/>
              </w:rPr>
              <w:t>Agreement:</w:t>
            </w:r>
          </w:p>
          <w:p w14:paraId="5E37EADF" w14:textId="77777777" w:rsidR="00284186" w:rsidRPr="00FB7BE7" w:rsidRDefault="00284186" w:rsidP="00C655BB">
            <w:pPr>
              <w:pStyle w:val="ListParagraph"/>
              <w:ind w:left="0"/>
              <w:rPr>
                <w:szCs w:val="20"/>
              </w:rPr>
            </w:pPr>
            <w:r w:rsidRPr="00FB7BE7">
              <w:rPr>
                <w:szCs w:val="20"/>
              </w:rPr>
              <w:t>For beam failure detection model, PHY performs detection of beam failure instances, and indicates a flag to higher layer if a beam failure instance is detected</w:t>
            </w:r>
          </w:p>
          <w:p w14:paraId="223A4A73" w14:textId="77777777" w:rsidR="00284186" w:rsidRPr="00FB7BE7" w:rsidRDefault="00284186" w:rsidP="00C655BB">
            <w:pPr>
              <w:pStyle w:val="ListParagraph"/>
              <w:numPr>
                <w:ilvl w:val="0"/>
                <w:numId w:val="15"/>
              </w:numPr>
              <w:spacing w:after="0" w:line="240" w:lineRule="auto"/>
              <w:contextualSpacing w:val="0"/>
              <w:rPr>
                <w:szCs w:val="20"/>
              </w:rPr>
            </w:pPr>
            <w:r w:rsidRPr="00FB7BE7">
              <w:rPr>
                <w:szCs w:val="20"/>
              </w:rPr>
              <w:t>FFS: When/Whether PHY needs to report candidate beam list and beam failure instance to MAC</w:t>
            </w:r>
          </w:p>
          <w:p w14:paraId="3146E4A9" w14:textId="77777777" w:rsidR="00284186" w:rsidRPr="00FB7BE7" w:rsidRDefault="00284186" w:rsidP="00C655BB">
            <w:pPr>
              <w:pStyle w:val="ListParagraph"/>
              <w:numPr>
                <w:ilvl w:val="0"/>
                <w:numId w:val="15"/>
              </w:numPr>
              <w:spacing w:after="0" w:line="240" w:lineRule="auto"/>
              <w:contextualSpacing w:val="0"/>
              <w:rPr>
                <w:szCs w:val="20"/>
              </w:rPr>
            </w:pPr>
            <w:r w:rsidRPr="00FB7BE7">
              <w:rPr>
                <w:szCs w:val="20"/>
              </w:rPr>
              <w:t>FFS: Whether non-beam failure instance is defined or is needed</w:t>
            </w:r>
          </w:p>
          <w:p w14:paraId="07BEFACB" w14:textId="77777777" w:rsidR="00284186" w:rsidRPr="00FB7BE7" w:rsidRDefault="00284186" w:rsidP="00C655BB">
            <w:pPr>
              <w:rPr>
                <w:szCs w:val="20"/>
              </w:rPr>
            </w:pPr>
            <w:r w:rsidRPr="00FB7BE7">
              <w:rPr>
                <w:szCs w:val="20"/>
              </w:rPr>
              <w:t>Include as part of LS to RAN2</w:t>
            </w:r>
          </w:p>
          <w:p w14:paraId="44A7F797" w14:textId="77777777" w:rsidR="00284186" w:rsidRPr="00FB7BE7" w:rsidRDefault="00284186" w:rsidP="00C655BB">
            <w:pPr>
              <w:rPr>
                <w:szCs w:val="20"/>
                <w:lang w:eastAsia="x-none"/>
              </w:rPr>
            </w:pPr>
          </w:p>
          <w:p w14:paraId="7AD23E62" w14:textId="77777777" w:rsidR="00284186" w:rsidRPr="00FB7BE7" w:rsidRDefault="00284186" w:rsidP="00C655BB">
            <w:pPr>
              <w:rPr>
                <w:b/>
                <w:szCs w:val="20"/>
                <w:lang w:eastAsia="x-none"/>
              </w:rPr>
            </w:pPr>
            <w:r w:rsidRPr="00FB7BE7">
              <w:rPr>
                <w:b/>
                <w:szCs w:val="20"/>
                <w:highlight w:val="green"/>
                <w:lang w:eastAsia="x-none"/>
              </w:rPr>
              <w:t>Agreement:</w:t>
            </w:r>
          </w:p>
          <w:p w14:paraId="6EB03055" w14:textId="77777777" w:rsidR="00284186" w:rsidRPr="00FB7BE7" w:rsidRDefault="00284186" w:rsidP="00C655BB">
            <w:pPr>
              <w:rPr>
                <w:szCs w:val="20"/>
              </w:rPr>
            </w:pPr>
            <w:r w:rsidRPr="00FB7BE7">
              <w:rPr>
                <w:szCs w:val="20"/>
              </w:rPr>
              <w:t>Change candidate beam selection model to the following alternatives:</w:t>
            </w:r>
          </w:p>
          <w:p w14:paraId="783B1B18" w14:textId="77777777" w:rsidR="00284186" w:rsidRPr="00FB7BE7" w:rsidRDefault="00284186" w:rsidP="00C655BB">
            <w:pPr>
              <w:numPr>
                <w:ilvl w:val="0"/>
                <w:numId w:val="16"/>
              </w:numPr>
              <w:spacing w:after="0" w:line="240" w:lineRule="auto"/>
              <w:rPr>
                <w:szCs w:val="20"/>
              </w:rPr>
            </w:pPr>
            <w:r w:rsidRPr="00FB7BE7">
              <w:rPr>
                <w:szCs w:val="20"/>
              </w:rPr>
              <w:t>PHY performs L1-RSRP evaluation of each candidate new beam, provides to higher layer the subset of {beam RS index, L1-RSRP measurements} that satisfies the L1-RSRP threshold</w:t>
            </w:r>
          </w:p>
          <w:p w14:paraId="0E8B6F6B" w14:textId="77777777" w:rsidR="00284186" w:rsidRPr="00FB7BE7" w:rsidRDefault="00284186" w:rsidP="00C655BB">
            <w:pPr>
              <w:numPr>
                <w:ilvl w:val="1"/>
                <w:numId w:val="16"/>
              </w:numPr>
              <w:spacing w:after="0" w:line="240" w:lineRule="auto"/>
              <w:rPr>
                <w:szCs w:val="20"/>
              </w:rPr>
            </w:pPr>
            <w:r w:rsidRPr="00FB7BE7">
              <w:rPr>
                <w:szCs w:val="20"/>
              </w:rPr>
              <w:t>RAN 1 expects higher layer to perform new candidate beam selection based on the subset of {beam RS index, RSRP measurements}</w:t>
            </w:r>
          </w:p>
          <w:p w14:paraId="163E0D8D" w14:textId="77777777" w:rsidR="00284186" w:rsidRPr="00FB7BE7" w:rsidRDefault="00284186" w:rsidP="00C655BB">
            <w:pPr>
              <w:numPr>
                <w:ilvl w:val="0"/>
                <w:numId w:val="16"/>
              </w:numPr>
              <w:spacing w:after="0" w:line="240" w:lineRule="auto"/>
              <w:rPr>
                <w:szCs w:val="20"/>
              </w:rPr>
            </w:pPr>
            <w:r w:rsidRPr="00FB7BE7">
              <w:rPr>
                <w:szCs w:val="20"/>
              </w:rPr>
              <w:t>Note: The mapping between beam RS index(es) to PRACH resource(s)/sequence(s) is done in MAC</w:t>
            </w:r>
          </w:p>
          <w:p w14:paraId="659A9E1B" w14:textId="77777777" w:rsidR="00284186" w:rsidRPr="003C6DEC" w:rsidRDefault="00284186" w:rsidP="00C655BB">
            <w:pPr>
              <w:numPr>
                <w:ilvl w:val="0"/>
                <w:numId w:val="16"/>
              </w:numPr>
              <w:spacing w:after="0" w:line="240" w:lineRule="auto"/>
              <w:rPr>
                <w:lang w:eastAsia="x-none"/>
              </w:rPr>
            </w:pPr>
            <w:r w:rsidRPr="003C6DEC">
              <w:rPr>
                <w:lang w:eastAsia="x-none"/>
              </w:rPr>
              <w:t xml:space="preserve">Support for </w:t>
            </w:r>
            <w:r w:rsidRPr="003C6DEC">
              <w:t>candidate beam selection model is specified in the RAN2 specifications</w:t>
            </w:r>
          </w:p>
          <w:p w14:paraId="77B06160" w14:textId="77777777" w:rsidR="00284186" w:rsidRPr="008E3655" w:rsidRDefault="00284186" w:rsidP="00C655BB">
            <w:pPr>
              <w:rPr>
                <w:szCs w:val="20"/>
              </w:rPr>
            </w:pPr>
            <w:r>
              <w:rPr>
                <w:szCs w:val="20"/>
              </w:rPr>
              <w:t>Include as part of LS to RAN2</w:t>
            </w:r>
          </w:p>
          <w:p w14:paraId="44948B79" w14:textId="77777777" w:rsidR="00284186" w:rsidRPr="003C6DEC" w:rsidRDefault="00284186" w:rsidP="00C655BB">
            <w:pPr>
              <w:rPr>
                <w:sz w:val="24"/>
                <w:highlight w:val="yellow"/>
              </w:rPr>
            </w:pPr>
          </w:p>
          <w:p w14:paraId="11B77481" w14:textId="77777777" w:rsidR="00284186" w:rsidRPr="008E3655" w:rsidRDefault="00284186" w:rsidP="00C655BB">
            <w:pPr>
              <w:rPr>
                <w:b/>
                <w:szCs w:val="20"/>
                <w:highlight w:val="green"/>
              </w:rPr>
            </w:pPr>
            <w:r w:rsidRPr="008E3655">
              <w:rPr>
                <w:b/>
                <w:szCs w:val="20"/>
                <w:highlight w:val="green"/>
              </w:rPr>
              <w:t>Agreement:</w:t>
            </w:r>
          </w:p>
          <w:p w14:paraId="45FD40A5" w14:textId="77777777" w:rsidR="00284186" w:rsidRPr="008E3655" w:rsidRDefault="00284186" w:rsidP="00C655BB">
            <w:pPr>
              <w:rPr>
                <w:i/>
                <w:szCs w:val="20"/>
              </w:rPr>
            </w:pPr>
            <w:r w:rsidRPr="008E3655">
              <w:rPr>
                <w:szCs w:val="20"/>
              </w:rPr>
              <w:t xml:space="preserve">Behavior of </w:t>
            </w:r>
            <w:r w:rsidRPr="008E3655">
              <w:rPr>
                <w:i/>
                <w:szCs w:val="20"/>
              </w:rPr>
              <w:t>Beam-failure-recovery-Timer</w:t>
            </w:r>
          </w:p>
          <w:p w14:paraId="1FA5D43B" w14:textId="77777777" w:rsidR="00284186" w:rsidRPr="008E3655" w:rsidRDefault="00284186" w:rsidP="00C655BB">
            <w:pPr>
              <w:numPr>
                <w:ilvl w:val="0"/>
                <w:numId w:val="17"/>
              </w:numPr>
              <w:spacing w:after="0" w:line="240" w:lineRule="auto"/>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37CBB08E" w14:textId="77777777" w:rsidR="00284186" w:rsidRDefault="00284186" w:rsidP="00C655BB">
            <w:pPr>
              <w:numPr>
                <w:ilvl w:val="0"/>
                <w:numId w:val="17"/>
              </w:numPr>
              <w:spacing w:after="0" w:line="240" w:lineRule="auto"/>
              <w:rPr>
                <w:szCs w:val="20"/>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p w14:paraId="1C40F840" w14:textId="77777777" w:rsidR="00284186" w:rsidRPr="008E3655" w:rsidRDefault="00284186" w:rsidP="00C655BB">
            <w:pPr>
              <w:rPr>
                <w:szCs w:val="20"/>
              </w:rPr>
            </w:pPr>
            <w:r>
              <w:rPr>
                <w:szCs w:val="20"/>
              </w:rPr>
              <w:t>Include as part of LS to RAN2</w:t>
            </w:r>
          </w:p>
          <w:p w14:paraId="03807FBA" w14:textId="77777777" w:rsidR="00284186" w:rsidRPr="00C075A3" w:rsidRDefault="00284186" w:rsidP="00C655BB">
            <w:pPr>
              <w:rPr>
                <w:highlight w:val="green"/>
              </w:rPr>
            </w:pPr>
            <w:r w:rsidRPr="00C075A3">
              <w:rPr>
                <w:b/>
                <w:highlight w:val="green"/>
              </w:rPr>
              <w:t>Agreement:</w:t>
            </w:r>
            <w:r w:rsidRPr="00C075A3">
              <w:rPr>
                <w:highlight w:val="green"/>
              </w:rPr>
              <w:t xml:space="preserve"> </w:t>
            </w:r>
          </w:p>
          <w:p w14:paraId="73B0B931" w14:textId="77777777" w:rsidR="00284186" w:rsidRPr="00C075A3" w:rsidRDefault="00284186" w:rsidP="00C655BB">
            <w:pPr>
              <w:numPr>
                <w:ilvl w:val="0"/>
                <w:numId w:val="17"/>
              </w:numPr>
              <w:spacing w:after="0" w:line="240" w:lineRule="auto"/>
              <w:rPr>
                <w:szCs w:val="20"/>
              </w:rPr>
            </w:pPr>
            <w:r w:rsidRPr="00C075A3">
              <w:rPr>
                <w:szCs w:val="20"/>
              </w:rPr>
              <w:t>From RAN1 perspective, contention-free PRACH-based beam failure recovery is considered unsuccessful when one of the following conditions is met</w:t>
            </w:r>
          </w:p>
          <w:p w14:paraId="5DBD7699" w14:textId="77777777" w:rsidR="00284186" w:rsidRPr="00C075A3" w:rsidRDefault="00284186" w:rsidP="00C655BB">
            <w:pPr>
              <w:numPr>
                <w:ilvl w:val="1"/>
                <w:numId w:val="17"/>
              </w:numPr>
              <w:spacing w:after="0" w:line="240" w:lineRule="auto"/>
              <w:rPr>
                <w:szCs w:val="20"/>
              </w:rPr>
            </w:pPr>
            <w:r w:rsidRPr="00C075A3">
              <w:rPr>
                <w:szCs w:val="20"/>
              </w:rPr>
              <w:t xml:space="preserve">Upon expiry of </w:t>
            </w:r>
            <w:r w:rsidRPr="00C075A3">
              <w:rPr>
                <w:i/>
                <w:szCs w:val="20"/>
              </w:rPr>
              <w:t>Beam-failure-recovery-Timer</w:t>
            </w:r>
            <w:r w:rsidRPr="00C075A3">
              <w:rPr>
                <w:szCs w:val="20"/>
              </w:rPr>
              <w:t xml:space="preserve"> </w:t>
            </w:r>
          </w:p>
          <w:p w14:paraId="487BB7B4" w14:textId="77777777" w:rsidR="00284186" w:rsidRPr="00C075A3" w:rsidRDefault="00284186" w:rsidP="00C655BB">
            <w:pPr>
              <w:numPr>
                <w:ilvl w:val="1"/>
                <w:numId w:val="17"/>
              </w:numPr>
              <w:spacing w:after="0" w:line="240" w:lineRule="auto"/>
              <w:rPr>
                <w:szCs w:val="20"/>
              </w:rPr>
            </w:pPr>
            <w:r w:rsidRPr="00C075A3">
              <w:rPr>
                <w:szCs w:val="20"/>
              </w:rPr>
              <w:t>Upon reaching max. # of BFRQ transmissions</w:t>
            </w:r>
          </w:p>
          <w:p w14:paraId="4D43525A" w14:textId="77777777" w:rsidR="00284186" w:rsidRPr="00EB0F9E" w:rsidRDefault="00284186" w:rsidP="00C655BB">
            <w:r>
              <w:t>Include as part of LS to RAN2</w:t>
            </w:r>
          </w:p>
          <w:p w14:paraId="2ABB17FE" w14:textId="77777777" w:rsidR="00284186" w:rsidRPr="00D2696A" w:rsidRDefault="00284186" w:rsidP="00C655BB">
            <w:pPr>
              <w:rPr>
                <w:highlight w:val="green"/>
                <w:lang w:eastAsia="x-none"/>
              </w:rPr>
            </w:pPr>
            <w:r w:rsidRPr="00D2696A">
              <w:rPr>
                <w:b/>
                <w:highlight w:val="green"/>
                <w:lang w:eastAsia="x-none"/>
              </w:rPr>
              <w:t>Agreement</w:t>
            </w:r>
            <w:r w:rsidRPr="00D2696A">
              <w:rPr>
                <w:highlight w:val="green"/>
                <w:lang w:eastAsia="x-none"/>
              </w:rPr>
              <w:t xml:space="preserve">: </w:t>
            </w:r>
          </w:p>
          <w:p w14:paraId="6694482F" w14:textId="77777777" w:rsidR="00284186" w:rsidRPr="00034AF1" w:rsidRDefault="00284186" w:rsidP="00C655BB">
            <w:pPr>
              <w:pStyle w:val="ListParagraph"/>
              <w:numPr>
                <w:ilvl w:val="0"/>
                <w:numId w:val="18"/>
              </w:numPr>
              <w:spacing w:after="0" w:line="240" w:lineRule="auto"/>
              <w:contextualSpacing w:val="0"/>
              <w:rPr>
                <w:szCs w:val="20"/>
              </w:rPr>
            </w:pPr>
            <w:r w:rsidRPr="00034AF1">
              <w:rPr>
                <w:szCs w:val="20"/>
              </w:rPr>
              <w:t xml:space="preserve">Indication of beam failure instance to higher layer is periodic and indication interval is determined by the shortest periodicity of BFD RS </w:t>
            </w:r>
            <w:r w:rsidRPr="00034AF1">
              <w:rPr>
                <w:iCs/>
                <w:position w:val="-10"/>
                <w:szCs w:val="20"/>
              </w:rPr>
              <w:object w:dxaOrig="240" w:dyaOrig="300" w14:anchorId="7B36D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05pt" o:ole="">
                  <v:imagedata r:id="rId12" o:title=""/>
                </v:shape>
                <o:OLEObject Type="Embed" ProgID="Equation.3" ShapeID="_x0000_i1025" DrawAspect="Content" ObjectID="_1580223287" r:id="rId13"/>
              </w:object>
            </w:r>
            <w:r w:rsidRPr="00034AF1">
              <w:rPr>
                <w:iCs/>
                <w:szCs w:val="20"/>
              </w:rPr>
              <w:t xml:space="preserve">, </w:t>
            </w:r>
            <w:r w:rsidRPr="00034AF1">
              <w:rPr>
                <w:szCs w:val="20"/>
              </w:rPr>
              <w:t>which is also lower bounded by [10] ms.</w:t>
            </w:r>
          </w:p>
          <w:p w14:paraId="61A215E7" w14:textId="77777777" w:rsidR="00284186" w:rsidRPr="00034AF1" w:rsidRDefault="00284186" w:rsidP="00C655BB">
            <w:pPr>
              <w:pStyle w:val="ListParagraph"/>
              <w:numPr>
                <w:ilvl w:val="1"/>
                <w:numId w:val="18"/>
              </w:numPr>
              <w:spacing w:after="0" w:line="240" w:lineRule="auto"/>
              <w:contextualSpacing w:val="0"/>
              <w:rPr>
                <w:szCs w:val="20"/>
              </w:rPr>
            </w:pPr>
            <w:r w:rsidRPr="00034AF1">
              <w:rPr>
                <w:szCs w:val="20"/>
              </w:rPr>
              <w:t>Note: if the evaluation is below beam failure instance BLER threshold, there is no indication to higher layer.</w:t>
            </w:r>
          </w:p>
          <w:p w14:paraId="222F2F2A" w14:textId="77777777" w:rsidR="00284186" w:rsidRPr="00034AF1" w:rsidRDefault="00284186" w:rsidP="00C655BB">
            <w:pPr>
              <w:pStyle w:val="ListParagraph"/>
              <w:numPr>
                <w:ilvl w:val="0"/>
                <w:numId w:val="18"/>
              </w:numPr>
              <w:spacing w:after="0" w:line="240" w:lineRule="auto"/>
              <w:contextualSpacing w:val="0"/>
              <w:rPr>
                <w:szCs w:val="20"/>
              </w:rPr>
            </w:pPr>
            <w:r w:rsidRPr="00034AF1">
              <w:rPr>
                <w:szCs w:val="20"/>
              </w:rPr>
              <w:t xml:space="preserve"> PHY provides to higher layer one or more sets of {beam RS index, L1-RSRP measurement} that satisfies the L1-RSRP threshold upon higher layer request.</w:t>
            </w:r>
          </w:p>
          <w:p w14:paraId="0731157C" w14:textId="77777777" w:rsidR="00284186" w:rsidRDefault="00284186" w:rsidP="00C655BB">
            <w:pPr>
              <w:spacing w:before="240"/>
              <w:rPr>
                <w:rFonts w:ascii="Times New Roman" w:hAnsi="Times New Roman"/>
                <w:sz w:val="20"/>
              </w:rPr>
            </w:pPr>
          </w:p>
        </w:tc>
      </w:tr>
    </w:tbl>
    <w:p w14:paraId="285FB887" w14:textId="44604FA2" w:rsidR="00284186" w:rsidRPr="00284186" w:rsidRDefault="00284186" w:rsidP="00284186">
      <w:pPr>
        <w:spacing w:before="240"/>
        <w:rPr>
          <w:rFonts w:ascii="Times New Roman" w:hAnsi="Times New Roman"/>
          <w:sz w:val="20"/>
        </w:rPr>
      </w:pPr>
      <w:r>
        <w:rPr>
          <w:rFonts w:ascii="Times New Roman" w:hAnsi="Times New Roman"/>
          <w:sz w:val="20"/>
        </w:rPr>
        <w:lastRenderedPageBreak/>
        <w:t xml:space="preserve">We can analyze the </w:t>
      </w:r>
      <w:r w:rsidR="006476F9">
        <w:rPr>
          <w:rFonts w:ascii="Times New Roman" w:hAnsi="Times New Roman"/>
          <w:sz w:val="20"/>
        </w:rPr>
        <w:t>pertinent</w:t>
      </w:r>
      <w:r>
        <w:rPr>
          <w:rFonts w:ascii="Times New Roman" w:hAnsi="Times New Roman"/>
          <w:sz w:val="20"/>
        </w:rPr>
        <w:t xml:space="preserve"> issues and question raised by RAN2 response LS to RAN</w:t>
      </w:r>
      <w:r w:rsidR="006476F9">
        <w:rPr>
          <w:rFonts w:ascii="Times New Roman" w:hAnsi="Times New Roman"/>
          <w:sz w:val="20"/>
        </w:rPr>
        <w:t>1</w:t>
      </w:r>
      <w:r w:rsidR="00260F24">
        <w:rPr>
          <w:rFonts w:ascii="Times New Roman" w:hAnsi="Times New Roman"/>
          <w:sz w:val="20"/>
        </w:rPr>
        <w:t xml:space="preserve"> </w:t>
      </w:r>
      <w:sdt>
        <w:sdtPr>
          <w:rPr>
            <w:rFonts w:ascii="Times New Roman" w:hAnsi="Times New Roman"/>
            <w:sz w:val="20"/>
          </w:rPr>
          <w:id w:val="-144514454"/>
          <w:citation/>
        </w:sdtPr>
        <w:sdtEndPr/>
        <w:sdtContent>
          <w:r w:rsidR="00260F24">
            <w:rPr>
              <w:rFonts w:ascii="Times New Roman" w:hAnsi="Times New Roman"/>
              <w:sz w:val="20"/>
            </w:rPr>
            <w:fldChar w:fldCharType="begin"/>
          </w:r>
          <w:r w:rsidR="00260F24">
            <w:rPr>
              <w:rFonts w:ascii="Times New Roman" w:hAnsi="Times New Roman"/>
              <w:sz w:val="20"/>
            </w:rPr>
            <w:instrText xml:space="preserve"> CITATION RAN2LSBFR \l 1033 </w:instrText>
          </w:r>
          <w:r w:rsidR="00260F24">
            <w:rPr>
              <w:rFonts w:ascii="Times New Roman" w:hAnsi="Times New Roman"/>
              <w:sz w:val="20"/>
            </w:rPr>
            <w:fldChar w:fldCharType="separate"/>
          </w:r>
          <w:r w:rsidR="00260F24" w:rsidRPr="00260F24">
            <w:rPr>
              <w:rFonts w:ascii="Times New Roman" w:hAnsi="Times New Roman"/>
              <w:noProof/>
              <w:sz w:val="20"/>
            </w:rPr>
            <w:t>[3]</w:t>
          </w:r>
          <w:r w:rsidR="00260F24">
            <w:rPr>
              <w:rFonts w:ascii="Times New Roman" w:hAnsi="Times New Roman"/>
              <w:sz w:val="20"/>
            </w:rPr>
            <w:fldChar w:fldCharType="end"/>
          </w:r>
        </w:sdtContent>
      </w:sdt>
      <w:r>
        <w:rPr>
          <w:rFonts w:ascii="Times New Roman" w:hAnsi="Times New Roman"/>
          <w:sz w:val="20"/>
        </w:rPr>
        <w:t xml:space="preserve"> individually:</w:t>
      </w:r>
    </w:p>
    <w:p w14:paraId="2145BBE1" w14:textId="0A84C024" w:rsidR="005A7EC0" w:rsidRDefault="005A7EC0" w:rsidP="005A7EC0">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0355BB">
        <w:rPr>
          <w:rFonts w:ascii="Arial" w:eastAsia="MS Mincho" w:hAnsi="Arial" w:cs="Arial"/>
          <w:bCs/>
          <w:sz w:val="26"/>
          <w:szCs w:val="26"/>
          <w:lang w:val="en-GB" w:eastAsia="en-GB"/>
        </w:rPr>
        <w:t>Beam Failure Detection</w:t>
      </w:r>
    </w:p>
    <w:p w14:paraId="149FC3F7" w14:textId="108C5219" w:rsidR="000B4F03" w:rsidRDefault="00772A1C" w:rsidP="005A7EC0">
      <w:pPr>
        <w:spacing w:before="240"/>
        <w:rPr>
          <w:rFonts w:ascii="Times New Roman" w:hAnsi="Times New Roman"/>
          <w:sz w:val="20"/>
        </w:rPr>
      </w:pPr>
      <w:r>
        <w:rPr>
          <w:rFonts w:ascii="Times New Roman" w:hAnsi="Times New Roman"/>
          <w:sz w:val="20"/>
        </w:rPr>
        <w:t xml:space="preserve">While the decision on which of the two options in the RAN2 response LS is preferred is relegated to RAN1, it may nevertheless be useful to carefully analyze the two options in terms of their effectiveness </w:t>
      </w:r>
      <w:r w:rsidR="00095525">
        <w:rPr>
          <w:rFonts w:ascii="Times New Roman" w:hAnsi="Times New Roman"/>
          <w:sz w:val="20"/>
        </w:rPr>
        <w:t>as well as</w:t>
      </w:r>
      <w:r>
        <w:rPr>
          <w:rFonts w:ascii="Times New Roman" w:hAnsi="Times New Roman"/>
          <w:sz w:val="20"/>
        </w:rPr>
        <w:t xml:space="preserve"> </w:t>
      </w:r>
      <w:r w:rsidR="00095525">
        <w:rPr>
          <w:rFonts w:ascii="Times New Roman" w:hAnsi="Times New Roman"/>
          <w:sz w:val="20"/>
        </w:rPr>
        <w:t>any</w:t>
      </w:r>
      <w:r>
        <w:rPr>
          <w:rFonts w:ascii="Times New Roman" w:hAnsi="Times New Roman"/>
          <w:sz w:val="20"/>
        </w:rPr>
        <w:t xml:space="preserve"> underlying assumptions. </w:t>
      </w:r>
      <w:r w:rsidR="00284186">
        <w:rPr>
          <w:rFonts w:ascii="Times New Roman" w:hAnsi="Times New Roman"/>
          <w:sz w:val="20"/>
        </w:rPr>
        <w:t xml:space="preserve">From the current RAN1 agreement, the instances of beam failure would be reported to the higher (MAC) layer </w:t>
      </w:r>
      <w:r w:rsidR="00284186" w:rsidRPr="00284186">
        <w:rPr>
          <w:rFonts w:ascii="Times New Roman" w:hAnsi="Times New Roman"/>
          <w:b/>
          <w:sz w:val="20"/>
        </w:rPr>
        <w:t>periodically</w:t>
      </w:r>
      <w:r w:rsidR="00284186">
        <w:rPr>
          <w:rFonts w:ascii="Times New Roman" w:hAnsi="Times New Roman"/>
          <w:b/>
          <w:sz w:val="20"/>
        </w:rPr>
        <w:t xml:space="preserve">. </w:t>
      </w:r>
      <w:r w:rsidR="00284186">
        <w:rPr>
          <w:rFonts w:ascii="Times New Roman" w:hAnsi="Times New Roman"/>
          <w:sz w:val="20"/>
        </w:rPr>
        <w:t xml:space="preserve">While RAN1 may end up designing additional indication (i.e. no beam failure indications) subsequently, </w:t>
      </w:r>
      <w:r>
        <w:rPr>
          <w:rFonts w:ascii="Times New Roman" w:hAnsi="Times New Roman"/>
          <w:sz w:val="20"/>
        </w:rPr>
        <w:t xml:space="preserve">based on the </w:t>
      </w:r>
      <w:r w:rsidR="00260F24">
        <w:rPr>
          <w:rFonts w:ascii="Times New Roman" w:hAnsi="Times New Roman"/>
          <w:sz w:val="20"/>
        </w:rPr>
        <w:t xml:space="preserve">RAN1 </w:t>
      </w:r>
      <w:r>
        <w:rPr>
          <w:rFonts w:ascii="Times New Roman" w:hAnsi="Times New Roman"/>
          <w:sz w:val="20"/>
        </w:rPr>
        <w:t xml:space="preserve">agreements above, </w:t>
      </w:r>
      <w:r w:rsidR="00284186">
        <w:rPr>
          <w:rFonts w:ascii="Times New Roman" w:hAnsi="Times New Roman"/>
          <w:sz w:val="20"/>
        </w:rPr>
        <w:t xml:space="preserve">the assumption </w:t>
      </w:r>
      <w:r w:rsidR="007C4488">
        <w:rPr>
          <w:rFonts w:ascii="Times New Roman" w:hAnsi="Times New Roman"/>
          <w:sz w:val="20"/>
        </w:rPr>
        <w:t>made by some companies in the last meeting was</w:t>
      </w:r>
      <w:r w:rsidR="00284186">
        <w:rPr>
          <w:rFonts w:ascii="Times New Roman" w:hAnsi="Times New Roman"/>
          <w:sz w:val="20"/>
        </w:rPr>
        <w:t xml:space="preserve"> that the UE will </w:t>
      </w:r>
      <w:r w:rsidR="00260F24">
        <w:rPr>
          <w:rFonts w:ascii="Times New Roman" w:hAnsi="Times New Roman"/>
          <w:sz w:val="20"/>
        </w:rPr>
        <w:t xml:space="preserve">need to </w:t>
      </w:r>
      <w:r w:rsidR="00284186">
        <w:rPr>
          <w:rFonts w:ascii="Times New Roman" w:hAnsi="Times New Roman"/>
          <w:sz w:val="20"/>
        </w:rPr>
        <w:t xml:space="preserve">maintain a timer and </w:t>
      </w:r>
      <w:r w:rsidR="00C655BB">
        <w:rPr>
          <w:rFonts w:ascii="Times New Roman" w:hAnsi="Times New Roman"/>
          <w:sz w:val="20"/>
        </w:rPr>
        <w:t>a counter</w:t>
      </w:r>
      <w:r>
        <w:rPr>
          <w:rFonts w:ascii="Times New Roman" w:hAnsi="Times New Roman"/>
          <w:sz w:val="20"/>
        </w:rPr>
        <w:t xml:space="preserve"> (as in Option 2 in the LS)</w:t>
      </w:r>
      <w:r w:rsidR="00743857">
        <w:rPr>
          <w:rFonts w:ascii="Times New Roman" w:hAnsi="Times New Roman"/>
          <w:sz w:val="20"/>
        </w:rPr>
        <w:t>. In our view, for option 2 to work, the following assumptions are necessary</w:t>
      </w:r>
      <w:r w:rsidR="00C655BB">
        <w:rPr>
          <w:rFonts w:ascii="Times New Roman" w:hAnsi="Times New Roman"/>
          <w:sz w:val="20"/>
        </w:rPr>
        <w:t>:</w:t>
      </w:r>
    </w:p>
    <w:p w14:paraId="5BBC3A7A" w14:textId="1EDCD029" w:rsidR="00C655BB" w:rsidRDefault="00C655BB" w:rsidP="00C655BB">
      <w:pPr>
        <w:pStyle w:val="ListParagraph"/>
        <w:numPr>
          <w:ilvl w:val="0"/>
          <w:numId w:val="19"/>
        </w:numPr>
        <w:spacing w:before="240"/>
        <w:rPr>
          <w:rFonts w:ascii="Times New Roman" w:hAnsi="Times New Roman"/>
          <w:sz w:val="20"/>
        </w:rPr>
      </w:pPr>
      <w:r>
        <w:rPr>
          <w:rFonts w:ascii="Times New Roman" w:hAnsi="Times New Roman"/>
          <w:sz w:val="20"/>
        </w:rPr>
        <w:lastRenderedPageBreak/>
        <w:t xml:space="preserve">The lack of a ‘beam failure’ notification from PHY indicates that beam </w:t>
      </w:r>
      <w:r w:rsidR="006476F9">
        <w:rPr>
          <w:rFonts w:ascii="Times New Roman" w:hAnsi="Times New Roman"/>
          <w:sz w:val="20"/>
        </w:rPr>
        <w:t>L1-</w:t>
      </w:r>
      <w:r>
        <w:rPr>
          <w:rFonts w:ascii="Times New Roman" w:hAnsi="Times New Roman"/>
          <w:sz w:val="20"/>
        </w:rPr>
        <w:t>RSRP is good (i.e. above a certain threshold</w:t>
      </w:r>
      <w:r w:rsidR="006476F9">
        <w:rPr>
          <w:rFonts w:ascii="Times New Roman" w:hAnsi="Times New Roman"/>
          <w:sz w:val="20"/>
        </w:rPr>
        <w:t>)</w:t>
      </w:r>
      <w:r>
        <w:rPr>
          <w:rFonts w:ascii="Times New Roman" w:hAnsi="Times New Roman"/>
          <w:sz w:val="20"/>
        </w:rPr>
        <w:t>.</w:t>
      </w:r>
    </w:p>
    <w:p w14:paraId="43890E67" w14:textId="6D8F72D4" w:rsidR="00C655BB" w:rsidRDefault="00C655BB" w:rsidP="00C655BB">
      <w:pPr>
        <w:pStyle w:val="ListParagraph"/>
        <w:numPr>
          <w:ilvl w:val="0"/>
          <w:numId w:val="19"/>
        </w:numPr>
        <w:spacing w:before="240"/>
        <w:rPr>
          <w:rFonts w:ascii="Times New Roman" w:hAnsi="Times New Roman"/>
          <w:sz w:val="20"/>
        </w:rPr>
      </w:pPr>
      <w:r>
        <w:rPr>
          <w:rFonts w:ascii="Times New Roman" w:hAnsi="Times New Roman"/>
          <w:sz w:val="20"/>
        </w:rPr>
        <w:t>The periodicity of beam failure indications is robust enough to be able to respond to varying channel conditi</w:t>
      </w:r>
      <w:r w:rsidR="00C55C20">
        <w:rPr>
          <w:rFonts w:ascii="Times New Roman" w:hAnsi="Times New Roman"/>
          <w:sz w:val="20"/>
        </w:rPr>
        <w:t>ons</w:t>
      </w:r>
      <w:r>
        <w:rPr>
          <w:rFonts w:ascii="Times New Roman" w:hAnsi="Times New Roman"/>
          <w:sz w:val="20"/>
        </w:rPr>
        <w:t>.</w:t>
      </w:r>
    </w:p>
    <w:p w14:paraId="3DB2AB0C" w14:textId="534DF62F" w:rsidR="00C655BB" w:rsidRDefault="00C655BB" w:rsidP="00C655BB">
      <w:pPr>
        <w:spacing w:before="240"/>
        <w:rPr>
          <w:rFonts w:ascii="Times New Roman" w:hAnsi="Times New Roman"/>
          <w:sz w:val="20"/>
        </w:rPr>
      </w:pPr>
      <w:r>
        <w:rPr>
          <w:rFonts w:ascii="Times New Roman" w:hAnsi="Times New Roman"/>
          <w:sz w:val="20"/>
        </w:rPr>
        <w:t xml:space="preserve">While </w:t>
      </w:r>
      <w:r w:rsidR="006476F9">
        <w:rPr>
          <w:rFonts w:ascii="Times New Roman" w:hAnsi="Times New Roman"/>
          <w:sz w:val="20"/>
        </w:rPr>
        <w:t xml:space="preserve">the note in the last RAN1 agreement might seem to imply that </w:t>
      </w:r>
      <w:r>
        <w:rPr>
          <w:rFonts w:ascii="Times New Roman" w:hAnsi="Times New Roman"/>
          <w:sz w:val="20"/>
        </w:rPr>
        <w:t xml:space="preserve">1) </w:t>
      </w:r>
      <w:r w:rsidR="006476F9">
        <w:rPr>
          <w:rFonts w:ascii="Times New Roman" w:hAnsi="Times New Roman"/>
          <w:sz w:val="20"/>
        </w:rPr>
        <w:t>always holds</w:t>
      </w:r>
      <w:r>
        <w:rPr>
          <w:rFonts w:ascii="Times New Roman" w:hAnsi="Times New Roman"/>
          <w:sz w:val="20"/>
        </w:rPr>
        <w:t xml:space="preserve"> true, </w:t>
      </w:r>
      <w:r w:rsidR="00772A1C">
        <w:rPr>
          <w:rFonts w:ascii="Times New Roman" w:hAnsi="Times New Roman"/>
          <w:sz w:val="20"/>
        </w:rPr>
        <w:t>this still needs to be confirmed by RAN1. Regarding</w:t>
      </w:r>
      <w:r>
        <w:rPr>
          <w:rFonts w:ascii="Times New Roman" w:hAnsi="Times New Roman"/>
          <w:sz w:val="20"/>
        </w:rPr>
        <w:t xml:space="preserve"> 2)</w:t>
      </w:r>
      <w:r w:rsidR="00772A1C">
        <w:rPr>
          <w:rFonts w:ascii="Times New Roman" w:hAnsi="Times New Roman"/>
          <w:sz w:val="20"/>
        </w:rPr>
        <w:t>, it is not clear to us if it</w:t>
      </w:r>
      <w:r>
        <w:rPr>
          <w:rFonts w:ascii="Times New Roman" w:hAnsi="Times New Roman"/>
          <w:sz w:val="20"/>
        </w:rPr>
        <w:t xml:space="preserve"> is always applicable. Specifically, the lower bound of 10 ms </w:t>
      </w:r>
      <w:r w:rsidR="006476F9">
        <w:rPr>
          <w:rFonts w:ascii="Times New Roman" w:hAnsi="Times New Roman"/>
          <w:sz w:val="20"/>
        </w:rPr>
        <w:t xml:space="preserve">(as in the RAN1 agreement) </w:t>
      </w:r>
      <w:r w:rsidR="00772A1C">
        <w:rPr>
          <w:rFonts w:ascii="Times New Roman" w:hAnsi="Times New Roman"/>
          <w:sz w:val="20"/>
        </w:rPr>
        <w:t xml:space="preserve">might be too large, meaning that </w:t>
      </w:r>
      <w:r>
        <w:rPr>
          <w:rFonts w:ascii="Times New Roman" w:hAnsi="Times New Roman"/>
          <w:sz w:val="20"/>
        </w:rPr>
        <w:t xml:space="preserve">if the beam conditions change rapidly, the indication method might not be responsive enough. </w:t>
      </w:r>
      <w:r w:rsidR="007B25E9">
        <w:rPr>
          <w:rFonts w:ascii="Times New Roman" w:hAnsi="Times New Roman"/>
          <w:sz w:val="20"/>
        </w:rPr>
        <w:t xml:space="preserve">In that case, RAN2 may also need to consider how to configure the timer to ensure efficient detection. </w:t>
      </w:r>
      <w:r>
        <w:rPr>
          <w:rFonts w:ascii="Times New Roman" w:hAnsi="Times New Roman"/>
          <w:sz w:val="20"/>
        </w:rPr>
        <w:t xml:space="preserve">So, </w:t>
      </w:r>
      <w:r w:rsidR="007A4B83">
        <w:rPr>
          <w:rFonts w:ascii="Times New Roman" w:hAnsi="Times New Roman"/>
          <w:sz w:val="20"/>
        </w:rPr>
        <w:t xml:space="preserve">as latency is an important concern for BFR, </w:t>
      </w:r>
      <w:r>
        <w:rPr>
          <w:rFonts w:ascii="Times New Roman" w:hAnsi="Times New Roman"/>
          <w:sz w:val="20"/>
        </w:rPr>
        <w:t>this aspect needs to be taken in consideration in RAN2 when deciding on the exact mechanism of beam failure detection.</w:t>
      </w:r>
    </w:p>
    <w:p w14:paraId="59B17EDE" w14:textId="3C6F9DE7" w:rsidR="00D24E9C" w:rsidRPr="00D24E9C" w:rsidRDefault="00D24E9C" w:rsidP="00E4258F">
      <w:pPr>
        <w:ind w:left="1440" w:hanging="144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D24E9C">
        <w:rPr>
          <w:rFonts w:ascii="Times New Roman" w:eastAsia="Times New Roman" w:hAnsi="Times New Roman"/>
          <w:bCs/>
          <w:i/>
          <w:sz w:val="20"/>
          <w:szCs w:val="20"/>
          <w:lang w:val="en-GB" w:eastAsia="zh-CN"/>
        </w:rPr>
        <w:t>The lower bound of 10 ms on the periodicity of beam failure instance indication to higher layers might be too long, particularly if beam RSRPs are varying rapidly</w:t>
      </w:r>
      <w:r>
        <w:rPr>
          <w:rFonts w:ascii="Times New Roman" w:eastAsia="Times New Roman" w:hAnsi="Times New Roman"/>
          <w:bCs/>
          <w:i/>
          <w:sz w:val="20"/>
          <w:szCs w:val="20"/>
          <w:lang w:val="en-GB" w:eastAsia="zh-CN"/>
        </w:rPr>
        <w:t>.</w:t>
      </w:r>
    </w:p>
    <w:p w14:paraId="476B16F7" w14:textId="1604B165" w:rsidR="00C655BB" w:rsidRPr="00C655BB" w:rsidRDefault="00772A1C" w:rsidP="00C655BB">
      <w:pPr>
        <w:spacing w:before="240"/>
        <w:rPr>
          <w:rFonts w:ascii="Times New Roman" w:hAnsi="Times New Roman"/>
          <w:sz w:val="20"/>
        </w:rPr>
      </w:pPr>
      <w:r>
        <w:rPr>
          <w:rFonts w:ascii="Times New Roman" w:hAnsi="Times New Roman"/>
          <w:sz w:val="20"/>
        </w:rPr>
        <w:t>In contrast, if option 1 is preferred by RAN1 and a new ‘no-beam failure’ indication is additionally defined, the procedure becomes somewhat similar to the RLM/RLF procedure from LTE. Note that in this case, there is no constraint on the time interval/periodicities of the indications from RAN2 perspective (any time constraints are transparent to RAN2) and the procedure can be implemented without the requirement of such indications being periodic.</w:t>
      </w:r>
      <w:r w:rsidR="007B25E9">
        <w:rPr>
          <w:rFonts w:ascii="Times New Roman" w:hAnsi="Times New Roman"/>
          <w:sz w:val="20"/>
        </w:rPr>
        <w:t xml:space="preserve"> Moreover, the additional task of how to configure the timer as in option 2 is also avoided.</w:t>
      </w:r>
      <w:r>
        <w:rPr>
          <w:rFonts w:ascii="Times New Roman" w:hAnsi="Times New Roman"/>
          <w:sz w:val="20"/>
        </w:rPr>
        <w:t xml:space="preserve"> Thus, this eases the implementation of the detection procedure in RAN2 specification and is preferred.</w:t>
      </w:r>
    </w:p>
    <w:p w14:paraId="6DC1B140" w14:textId="7149575B" w:rsidR="005A7EC0" w:rsidRDefault="005A7EC0" w:rsidP="005A7EC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E4258F">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772A1C">
        <w:rPr>
          <w:rFonts w:ascii="Times New Roman" w:eastAsia="Times New Roman" w:hAnsi="Times New Roman"/>
          <w:bCs/>
          <w:i/>
          <w:sz w:val="20"/>
          <w:szCs w:val="20"/>
          <w:lang w:val="en-GB" w:eastAsia="zh-CN"/>
        </w:rPr>
        <w:t xml:space="preserve">Option 1 (i.e. PHY delivering both </w:t>
      </w:r>
      <w:r w:rsidR="00772A1C" w:rsidRPr="00772A1C">
        <w:rPr>
          <w:rFonts w:ascii="Times New Roman" w:eastAsia="Times New Roman" w:hAnsi="Times New Roman"/>
          <w:bCs/>
          <w:i/>
          <w:sz w:val="20"/>
          <w:szCs w:val="20"/>
          <w:lang w:val="en-GB" w:eastAsia="zh-CN"/>
        </w:rPr>
        <w:t>“beam failure instance” and “no beam failure instance”</w:t>
      </w:r>
      <w:r w:rsidR="00772A1C">
        <w:rPr>
          <w:rFonts w:ascii="Times New Roman" w:eastAsia="Times New Roman" w:hAnsi="Times New Roman"/>
          <w:bCs/>
          <w:i/>
          <w:sz w:val="20"/>
          <w:szCs w:val="20"/>
          <w:lang w:val="en-GB" w:eastAsia="zh-CN"/>
        </w:rPr>
        <w:t xml:space="preserve"> notification for the purpose of beam failure detection</w:t>
      </w:r>
      <w:r w:rsidR="005643D1">
        <w:rPr>
          <w:rFonts w:ascii="Times New Roman" w:eastAsia="Times New Roman" w:hAnsi="Times New Roman"/>
          <w:bCs/>
          <w:i/>
          <w:sz w:val="20"/>
          <w:szCs w:val="20"/>
          <w:lang w:val="en-GB" w:eastAsia="zh-CN"/>
        </w:rPr>
        <w:t>)</w:t>
      </w:r>
      <w:r w:rsidR="00772A1C">
        <w:rPr>
          <w:rFonts w:ascii="Times New Roman" w:eastAsia="Times New Roman" w:hAnsi="Times New Roman"/>
          <w:bCs/>
          <w:i/>
          <w:sz w:val="20"/>
          <w:szCs w:val="20"/>
          <w:lang w:val="en-GB" w:eastAsia="zh-CN"/>
        </w:rPr>
        <w:t xml:space="preserve"> </w:t>
      </w:r>
      <w:r w:rsidR="006476F9">
        <w:rPr>
          <w:rFonts w:ascii="Times New Roman" w:eastAsia="Times New Roman" w:hAnsi="Times New Roman"/>
          <w:bCs/>
          <w:i/>
          <w:sz w:val="20"/>
          <w:szCs w:val="20"/>
          <w:lang w:val="en-GB" w:eastAsia="zh-CN"/>
        </w:rPr>
        <w:t>should be adopted for beam failure detection in MAC</w:t>
      </w:r>
      <w:r>
        <w:rPr>
          <w:rFonts w:ascii="Times New Roman" w:eastAsia="Times New Roman" w:hAnsi="Times New Roman"/>
          <w:bCs/>
          <w:i/>
          <w:sz w:val="20"/>
          <w:szCs w:val="20"/>
          <w:lang w:val="en-GB" w:eastAsia="zh-CN"/>
        </w:rPr>
        <w:t>.</w:t>
      </w:r>
    </w:p>
    <w:p w14:paraId="54A96BD8" w14:textId="01B80B6A"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sidR="007E41A4">
        <w:rPr>
          <w:rFonts w:ascii="Arial" w:eastAsia="MS Mincho" w:hAnsi="Arial" w:cs="Arial"/>
          <w:bCs/>
          <w:sz w:val="26"/>
          <w:szCs w:val="26"/>
          <w:lang w:val="en-GB" w:eastAsia="en-GB"/>
        </w:rPr>
        <w:t xml:space="preserve">Usage of </w:t>
      </w:r>
      <w:r w:rsidR="007E41A4" w:rsidRPr="007E41A4">
        <w:rPr>
          <w:rFonts w:ascii="Arial" w:eastAsia="MS Mincho" w:hAnsi="Arial" w:cs="Arial"/>
          <w:bCs/>
          <w:i/>
          <w:sz w:val="26"/>
          <w:szCs w:val="26"/>
          <w:lang w:val="en-GB" w:eastAsia="en-GB"/>
        </w:rPr>
        <w:t>beamFailureRecoveryTimer</w:t>
      </w:r>
    </w:p>
    <w:p w14:paraId="49593BF2" w14:textId="33351C43" w:rsidR="007E41A4" w:rsidRDefault="007E41A4" w:rsidP="007E41A4">
      <w:pPr>
        <w:spacing w:before="240"/>
        <w:rPr>
          <w:rFonts w:ascii="Times New Roman" w:hAnsi="Times New Roman"/>
          <w:sz w:val="20"/>
        </w:rPr>
      </w:pPr>
      <w:r>
        <w:rPr>
          <w:rFonts w:ascii="Times New Roman" w:hAnsi="Times New Roman"/>
          <w:sz w:val="20"/>
        </w:rPr>
        <w:t xml:space="preserve">RAN1 defined </w:t>
      </w:r>
      <w:r w:rsidRPr="006476F9">
        <w:rPr>
          <w:rFonts w:ascii="Times New Roman" w:hAnsi="Times New Roman"/>
          <w:i/>
          <w:sz w:val="20"/>
        </w:rPr>
        <w:t>beamFailureRecoveryTimer</w:t>
      </w:r>
      <w:r>
        <w:rPr>
          <w:rFonts w:ascii="Times New Roman" w:hAnsi="Times New Roman"/>
          <w:sz w:val="20"/>
        </w:rPr>
        <w:t xml:space="preserve"> and the UE behavior </w:t>
      </w:r>
      <w:r w:rsidR="006476F9">
        <w:rPr>
          <w:rFonts w:ascii="Times New Roman" w:hAnsi="Times New Roman"/>
          <w:sz w:val="20"/>
        </w:rPr>
        <w:t xml:space="preserve">in the context of this timer expiry </w:t>
      </w:r>
      <w:r>
        <w:rPr>
          <w:rFonts w:ascii="Times New Roman" w:hAnsi="Times New Roman"/>
          <w:sz w:val="20"/>
        </w:rPr>
        <w:t>in the last meeting. Specifically, the timer should be started when the beam failure is first declared by the UE and stops if the UE receives a response from gNB corresponding to the beam failure recovery request. While it is still up for discussion and interpretation what the exact procedural equivalents to the above two conditions are</w:t>
      </w:r>
      <w:r w:rsidR="00260F24">
        <w:rPr>
          <w:rFonts w:ascii="Times New Roman" w:hAnsi="Times New Roman"/>
          <w:sz w:val="20"/>
        </w:rPr>
        <w:t xml:space="preserve"> in MAC</w:t>
      </w:r>
      <w:r>
        <w:rPr>
          <w:rFonts w:ascii="Times New Roman" w:hAnsi="Times New Roman"/>
          <w:sz w:val="20"/>
        </w:rPr>
        <w:t xml:space="preserve">, the UE behavior in case of this timer expiry is </w:t>
      </w:r>
      <w:r w:rsidR="00260F24">
        <w:rPr>
          <w:rFonts w:ascii="Times New Roman" w:hAnsi="Times New Roman"/>
          <w:sz w:val="20"/>
        </w:rPr>
        <w:t xml:space="preserve">nevertheless </w:t>
      </w:r>
      <w:r>
        <w:rPr>
          <w:rFonts w:ascii="Times New Roman" w:hAnsi="Times New Roman"/>
          <w:sz w:val="20"/>
        </w:rPr>
        <w:t xml:space="preserve">clarified from RAN1 agreements. The UE considers the </w:t>
      </w:r>
      <w:r>
        <w:rPr>
          <w:rFonts w:ascii="Times New Roman" w:hAnsi="Times New Roman"/>
          <w:b/>
          <w:sz w:val="20"/>
        </w:rPr>
        <w:t xml:space="preserve">contention free </w:t>
      </w:r>
      <w:r>
        <w:rPr>
          <w:rFonts w:ascii="Times New Roman" w:hAnsi="Times New Roman"/>
          <w:sz w:val="20"/>
        </w:rPr>
        <w:t>RA to be unsuccessful if one of the two conditions are met:</w:t>
      </w:r>
    </w:p>
    <w:p w14:paraId="3EFC3C90" w14:textId="77777777" w:rsidR="007E41A4" w:rsidRPr="007E41A4" w:rsidRDefault="007E41A4" w:rsidP="007E41A4">
      <w:pPr>
        <w:pStyle w:val="ListParagraph"/>
        <w:numPr>
          <w:ilvl w:val="0"/>
          <w:numId w:val="20"/>
        </w:numPr>
        <w:spacing w:before="240"/>
        <w:rPr>
          <w:rFonts w:ascii="Times New Roman" w:hAnsi="Times New Roman"/>
          <w:sz w:val="20"/>
        </w:rPr>
      </w:pPr>
      <w:r w:rsidRPr="007E41A4">
        <w:rPr>
          <w:rFonts w:ascii="Times New Roman" w:hAnsi="Times New Roman"/>
          <w:sz w:val="20"/>
        </w:rPr>
        <w:t xml:space="preserve">Upon expiry of </w:t>
      </w:r>
      <w:r w:rsidRPr="002F65A6">
        <w:rPr>
          <w:rFonts w:ascii="Times New Roman" w:hAnsi="Times New Roman"/>
          <w:i/>
          <w:sz w:val="20"/>
        </w:rPr>
        <w:t>Beam-failure-recovery-Timer</w:t>
      </w:r>
      <w:r w:rsidRPr="007E41A4">
        <w:rPr>
          <w:rFonts w:ascii="Times New Roman" w:hAnsi="Times New Roman"/>
          <w:sz w:val="20"/>
        </w:rPr>
        <w:t xml:space="preserve"> </w:t>
      </w:r>
    </w:p>
    <w:p w14:paraId="67C729ED" w14:textId="6DAC46A9" w:rsidR="007E41A4" w:rsidRPr="007E41A4" w:rsidRDefault="007E41A4" w:rsidP="007E41A4">
      <w:pPr>
        <w:pStyle w:val="ListParagraph"/>
        <w:numPr>
          <w:ilvl w:val="0"/>
          <w:numId w:val="20"/>
        </w:numPr>
        <w:spacing w:before="240"/>
        <w:rPr>
          <w:rFonts w:ascii="Times New Roman" w:hAnsi="Times New Roman"/>
          <w:sz w:val="20"/>
        </w:rPr>
      </w:pPr>
      <w:r w:rsidRPr="007E41A4">
        <w:rPr>
          <w:rFonts w:ascii="Times New Roman" w:hAnsi="Times New Roman"/>
          <w:sz w:val="20"/>
        </w:rPr>
        <w:t>Upon reaching max. # of BFRQ transmissions</w:t>
      </w:r>
    </w:p>
    <w:p w14:paraId="29FEF49D" w14:textId="41BAF9B7" w:rsidR="007E41A4" w:rsidRDefault="007E41A4" w:rsidP="00CA5AC6">
      <w:pPr>
        <w:spacing w:before="240"/>
        <w:rPr>
          <w:rFonts w:ascii="Times New Roman" w:hAnsi="Times New Roman"/>
          <w:sz w:val="20"/>
        </w:rPr>
      </w:pPr>
      <w:r>
        <w:rPr>
          <w:rFonts w:ascii="Times New Roman" w:hAnsi="Times New Roman"/>
          <w:sz w:val="20"/>
        </w:rPr>
        <w:t xml:space="preserve">There are two aspects to note here. Firstly, at least from RAN1 perspective, the usage of this timer is only pertinent to the case of contention free random access. This relates to a more general observation that the discussion in RAN1 on random access for BFR has been centered </w:t>
      </w:r>
      <w:r w:rsidR="00B61280">
        <w:rPr>
          <w:rFonts w:ascii="Times New Roman" w:hAnsi="Times New Roman"/>
          <w:sz w:val="20"/>
        </w:rPr>
        <w:t>on</w:t>
      </w:r>
      <w:r>
        <w:rPr>
          <w:rFonts w:ascii="Times New Roman" w:hAnsi="Times New Roman"/>
          <w:sz w:val="20"/>
        </w:rPr>
        <w:t xml:space="preserve"> using CFRA and CBRA has not been considered. On the other ha</w:t>
      </w:r>
      <w:r w:rsidR="00B61280">
        <w:rPr>
          <w:rFonts w:ascii="Times New Roman" w:hAnsi="Times New Roman"/>
          <w:sz w:val="20"/>
        </w:rPr>
        <w:t xml:space="preserve">nd, RAN2 has </w:t>
      </w:r>
      <w:r w:rsidR="00D24E9C">
        <w:rPr>
          <w:rFonts w:ascii="Times New Roman" w:hAnsi="Times New Roman"/>
          <w:sz w:val="20"/>
        </w:rPr>
        <w:t>agreed</w:t>
      </w:r>
      <w:r w:rsidR="00B61280">
        <w:rPr>
          <w:rFonts w:ascii="Times New Roman" w:hAnsi="Times New Roman"/>
          <w:sz w:val="20"/>
        </w:rPr>
        <w:t xml:space="preserve"> to support</w:t>
      </w:r>
      <w:r>
        <w:rPr>
          <w:rFonts w:ascii="Times New Roman" w:hAnsi="Times New Roman"/>
          <w:sz w:val="20"/>
        </w:rPr>
        <w:t xml:space="preserve"> both CF and CB (if no dedicated resources are allocated) for BFR as per the follo</w:t>
      </w:r>
      <w:r w:rsidR="00260F24">
        <w:rPr>
          <w:rFonts w:ascii="Times New Roman" w:hAnsi="Times New Roman"/>
          <w:sz w:val="20"/>
        </w:rPr>
        <w:t xml:space="preserve">wing agreement </w:t>
      </w:r>
      <w:sdt>
        <w:sdtPr>
          <w:rPr>
            <w:rFonts w:ascii="Times New Roman" w:hAnsi="Times New Roman"/>
            <w:sz w:val="20"/>
          </w:rPr>
          <w:id w:val="-305387131"/>
          <w:citation/>
        </w:sdtPr>
        <w:sdtEndPr/>
        <w:sdtContent>
          <w:r w:rsidR="00260F24">
            <w:rPr>
              <w:rFonts w:ascii="Times New Roman" w:hAnsi="Times New Roman"/>
              <w:sz w:val="20"/>
            </w:rPr>
            <w:fldChar w:fldCharType="begin"/>
          </w:r>
          <w:r w:rsidR="00260F24">
            <w:rPr>
              <w:rFonts w:ascii="Times New Roman" w:hAnsi="Times New Roman"/>
              <w:sz w:val="20"/>
            </w:rPr>
            <w:instrText xml:space="preserve"> CITATION RAN21003 \l 1033 </w:instrText>
          </w:r>
          <w:r w:rsidR="00260F24">
            <w:rPr>
              <w:rFonts w:ascii="Times New Roman" w:hAnsi="Times New Roman"/>
              <w:sz w:val="20"/>
            </w:rPr>
            <w:fldChar w:fldCharType="separate"/>
          </w:r>
          <w:r w:rsidR="00260F24" w:rsidRPr="00260F24">
            <w:rPr>
              <w:rFonts w:ascii="Times New Roman" w:hAnsi="Times New Roman"/>
              <w:noProof/>
              <w:sz w:val="20"/>
            </w:rPr>
            <w:t>[4]</w:t>
          </w:r>
          <w:r w:rsidR="00260F24">
            <w:rPr>
              <w:rFonts w:ascii="Times New Roman" w:hAnsi="Times New Roman"/>
              <w:sz w:val="20"/>
            </w:rPr>
            <w:fldChar w:fldCharType="end"/>
          </w:r>
        </w:sdtContent>
      </w:sdt>
      <w:r>
        <w:rPr>
          <w:rFonts w:ascii="Times New Roman" w:hAnsi="Times New Roman"/>
          <w:sz w:val="20"/>
        </w:rPr>
        <w:t>:</w:t>
      </w:r>
    </w:p>
    <w:p w14:paraId="24977859" w14:textId="77777777" w:rsidR="007E41A4" w:rsidRPr="00FA5120" w:rsidRDefault="007E41A4" w:rsidP="007E41A4">
      <w:pPr>
        <w:pStyle w:val="Doc-text2"/>
        <w:pBdr>
          <w:top w:val="single" w:sz="4" w:space="1" w:color="auto"/>
          <w:left w:val="single" w:sz="4" w:space="4" w:color="auto"/>
          <w:bottom w:val="single" w:sz="4" w:space="1" w:color="auto"/>
          <w:right w:val="single" w:sz="4" w:space="4" w:color="auto"/>
        </w:pBdr>
        <w:rPr>
          <w:b/>
        </w:rPr>
      </w:pPr>
      <w:r w:rsidRPr="00FA5120">
        <w:rPr>
          <w:b/>
        </w:rPr>
        <w:t>Agreements</w:t>
      </w:r>
    </w:p>
    <w:p w14:paraId="61F0C6BF" w14:textId="77777777" w:rsidR="007E41A4" w:rsidRDefault="007E41A4" w:rsidP="007E41A4">
      <w:pPr>
        <w:pStyle w:val="Doc-text2"/>
        <w:numPr>
          <w:ilvl w:val="0"/>
          <w:numId w:val="21"/>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14:paraId="6D05741C" w14:textId="77777777" w:rsidR="007E41A4" w:rsidRPr="00FA3DB7" w:rsidRDefault="007E41A4" w:rsidP="007E41A4">
      <w:pPr>
        <w:pStyle w:val="Doc-text2"/>
        <w:numPr>
          <w:ilvl w:val="0"/>
          <w:numId w:val="21"/>
        </w:numPr>
        <w:pBdr>
          <w:top w:val="single" w:sz="4" w:space="1" w:color="auto"/>
          <w:left w:val="single" w:sz="4" w:space="4" w:color="auto"/>
          <w:bottom w:val="single" w:sz="4" w:space="1" w:color="auto"/>
          <w:right w:val="single" w:sz="4" w:space="4" w:color="auto"/>
        </w:pBdr>
      </w:pPr>
      <w:r>
        <w:t>Beam selection is specified in the MAC similar to the HO case</w:t>
      </w:r>
    </w:p>
    <w:p w14:paraId="05445781" w14:textId="77777777" w:rsidR="007E41A4" w:rsidRPr="003B54FA" w:rsidRDefault="007E41A4" w:rsidP="007E41A4">
      <w:pPr>
        <w:pStyle w:val="Doc-text2"/>
        <w:numPr>
          <w:ilvl w:val="0"/>
          <w:numId w:val="21"/>
        </w:numPr>
        <w:pBdr>
          <w:top w:val="single" w:sz="4" w:space="1" w:color="auto"/>
          <w:left w:val="single" w:sz="4" w:space="4" w:color="auto"/>
          <w:bottom w:val="single" w:sz="4" w:space="1" w:color="auto"/>
          <w:right w:val="single" w:sz="4" w:space="4" w:color="auto"/>
        </w:pBdr>
        <w:rPr>
          <w:i/>
        </w:rPr>
      </w:pPr>
      <w:r>
        <w:t xml:space="preserve">The UE uses contention free when there is a beam associated to a dedicated “preamble/resource” and the beam is above a threshold.  Otherwise use contention based.  </w:t>
      </w:r>
    </w:p>
    <w:p w14:paraId="7F2F9139" w14:textId="7DB2DA95" w:rsidR="007E41A4" w:rsidRDefault="007E41A4" w:rsidP="00CA5AC6">
      <w:pPr>
        <w:spacing w:before="240"/>
        <w:rPr>
          <w:rFonts w:ascii="Times New Roman" w:hAnsi="Times New Roman"/>
          <w:sz w:val="20"/>
        </w:rPr>
      </w:pPr>
      <w:r>
        <w:rPr>
          <w:rFonts w:ascii="Times New Roman" w:hAnsi="Times New Roman"/>
          <w:sz w:val="20"/>
        </w:rPr>
        <w:t xml:space="preserve">This has led to some </w:t>
      </w:r>
      <w:r w:rsidR="00260F24">
        <w:rPr>
          <w:rFonts w:ascii="Times New Roman" w:hAnsi="Times New Roman"/>
          <w:sz w:val="20"/>
        </w:rPr>
        <w:t>obfuscation</w:t>
      </w:r>
      <w:r>
        <w:rPr>
          <w:rFonts w:ascii="Times New Roman" w:hAnsi="Times New Roman"/>
          <w:sz w:val="20"/>
        </w:rPr>
        <w:t xml:space="preserve"> on which PRACH parameters defined by RAN1 have to be introduced in MAC specification and which one can be reused</w:t>
      </w:r>
      <w:r w:rsidR="00260F24">
        <w:rPr>
          <w:rFonts w:ascii="Times New Roman" w:hAnsi="Times New Roman"/>
          <w:sz w:val="20"/>
        </w:rPr>
        <w:t xml:space="preserve"> (and is an open issue to be resolved)</w:t>
      </w:r>
      <w:r>
        <w:rPr>
          <w:rFonts w:ascii="Times New Roman" w:hAnsi="Times New Roman"/>
          <w:sz w:val="20"/>
        </w:rPr>
        <w:t xml:space="preserve">. </w:t>
      </w:r>
    </w:p>
    <w:p w14:paraId="210982DB" w14:textId="38B85C8A" w:rsidR="00D24E9C" w:rsidRDefault="00D24E9C" w:rsidP="00E4258F">
      <w:pPr>
        <w:spacing w:before="240"/>
        <w:ind w:left="1440" w:hanging="1440"/>
        <w:rPr>
          <w:rFonts w:ascii="Times New Roman" w:hAnsi="Times New Roman"/>
          <w:sz w:val="20"/>
        </w:rPr>
      </w:pPr>
      <w:r>
        <w:rPr>
          <w:rFonts w:ascii="Times New Roman" w:eastAsia="Times New Roman" w:hAnsi="Times New Roman"/>
          <w:b/>
          <w:bCs/>
          <w:sz w:val="20"/>
          <w:szCs w:val="20"/>
          <w:u w:val="single"/>
          <w:lang w:val="en-GB" w:eastAsia="zh-CN"/>
        </w:rPr>
        <w:t>Observation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beamFailureRecoveryTimer as defined by RAN1 is applicable to contention free random access for beam failure recovery.</w:t>
      </w:r>
    </w:p>
    <w:p w14:paraId="3FBEF17E" w14:textId="3F82DF4F" w:rsidR="007E41A4" w:rsidRDefault="00B61280" w:rsidP="00CA5AC6">
      <w:pPr>
        <w:spacing w:before="240"/>
        <w:rPr>
          <w:rFonts w:ascii="Times New Roman" w:hAnsi="Times New Roman"/>
          <w:sz w:val="20"/>
        </w:rPr>
      </w:pPr>
      <w:r>
        <w:rPr>
          <w:rFonts w:ascii="Times New Roman" w:hAnsi="Times New Roman"/>
          <w:sz w:val="20"/>
        </w:rPr>
        <w:lastRenderedPageBreak/>
        <w:t>T</w:t>
      </w:r>
      <w:r w:rsidR="007E41A4">
        <w:rPr>
          <w:rFonts w:ascii="Times New Roman" w:hAnsi="Times New Roman"/>
          <w:sz w:val="20"/>
        </w:rPr>
        <w:t>he second point is that the timer is considered together with the maximum number of preamble retransmission (</w:t>
      </w:r>
      <w:r w:rsidR="007E41A4" w:rsidRPr="00E4258F">
        <w:rPr>
          <w:rFonts w:ascii="Times New Roman" w:hAnsi="Times New Roman"/>
          <w:i/>
          <w:sz w:val="20"/>
        </w:rPr>
        <w:t>PreambleTransMax-BFR</w:t>
      </w:r>
      <w:r w:rsidR="007E41A4">
        <w:rPr>
          <w:rFonts w:ascii="Times New Roman" w:hAnsi="Times New Roman"/>
          <w:sz w:val="20"/>
        </w:rPr>
        <w:t>) when declaring the CFRA for BFR as unsuccessful. So, independent of the number of preamble retransmissions, the timer allows the UE to declare the process as unsuccessful</w:t>
      </w:r>
      <w:r w:rsidR="00D24E9C">
        <w:rPr>
          <w:rFonts w:ascii="Times New Roman" w:hAnsi="Times New Roman"/>
          <w:sz w:val="20"/>
        </w:rPr>
        <w:t xml:space="preserve"> </w:t>
      </w:r>
      <w:r w:rsidR="00260F24">
        <w:rPr>
          <w:rFonts w:ascii="Times New Roman" w:hAnsi="Times New Roman"/>
          <w:sz w:val="20"/>
        </w:rPr>
        <w:t>upon expiry</w:t>
      </w:r>
      <w:r w:rsidR="007E41A4">
        <w:rPr>
          <w:rFonts w:ascii="Times New Roman" w:hAnsi="Times New Roman"/>
          <w:sz w:val="20"/>
        </w:rPr>
        <w:t xml:space="preserve">. The main rationale behind this </w:t>
      </w:r>
      <w:r w:rsidR="00D24E9C">
        <w:rPr>
          <w:rFonts w:ascii="Times New Roman" w:hAnsi="Times New Roman"/>
          <w:sz w:val="20"/>
        </w:rPr>
        <w:t>seems to</w:t>
      </w:r>
      <w:r w:rsidR="007E41A4">
        <w:rPr>
          <w:rFonts w:ascii="Times New Roman" w:hAnsi="Times New Roman"/>
          <w:sz w:val="20"/>
        </w:rPr>
        <w:t xml:space="preserve"> be to put an overall limit on the duration of the RA procedure for BFR, particularly if the power ramping and/or the retransmission rate for the RA procedure is not aggressive enough. While we may not consider using such a timer for CBRA, for contention free case, the expectation is that the UE should be able to finish the procedure faster and if it is not the case, the timer expiry might allow the UE to initiate </w:t>
      </w:r>
      <w:r w:rsidR="00D24E9C">
        <w:rPr>
          <w:rFonts w:ascii="Times New Roman" w:hAnsi="Times New Roman"/>
          <w:sz w:val="20"/>
        </w:rPr>
        <w:t xml:space="preserve">any relevant </w:t>
      </w:r>
      <w:r w:rsidR="007E41A4">
        <w:rPr>
          <w:rFonts w:ascii="Times New Roman" w:hAnsi="Times New Roman"/>
          <w:sz w:val="20"/>
        </w:rPr>
        <w:t>procedures triggered by unsuccessful RACH quickly. It is thus questionable that we also need to consider and adopt this timer for the case of CBRA for BFR, considering that the time scale for completion of the RA procedure may be wildly different</w:t>
      </w:r>
      <w:r w:rsidR="003654BF">
        <w:rPr>
          <w:rFonts w:ascii="Times New Roman" w:hAnsi="Times New Roman"/>
          <w:sz w:val="20"/>
        </w:rPr>
        <w:t xml:space="preserve"> from CFRA</w:t>
      </w:r>
      <w:r w:rsidR="007E41A4">
        <w:rPr>
          <w:rFonts w:ascii="Times New Roman" w:hAnsi="Times New Roman"/>
          <w:sz w:val="20"/>
        </w:rPr>
        <w:t xml:space="preserve">. In any case, it should be discussed in RAN2 whether the </w:t>
      </w:r>
      <w:r w:rsidR="007E41A4" w:rsidRPr="00D24E9C">
        <w:rPr>
          <w:rFonts w:ascii="Times New Roman" w:hAnsi="Times New Roman"/>
          <w:i/>
          <w:sz w:val="20"/>
        </w:rPr>
        <w:t>beamFailureRe</w:t>
      </w:r>
      <w:r w:rsidRPr="00D24E9C">
        <w:rPr>
          <w:rFonts w:ascii="Times New Roman" w:hAnsi="Times New Roman"/>
          <w:i/>
          <w:sz w:val="20"/>
        </w:rPr>
        <w:t>c</w:t>
      </w:r>
      <w:r w:rsidR="007E41A4" w:rsidRPr="00D24E9C">
        <w:rPr>
          <w:rFonts w:ascii="Times New Roman" w:hAnsi="Times New Roman"/>
          <w:i/>
          <w:sz w:val="20"/>
        </w:rPr>
        <w:t>overyTimer</w:t>
      </w:r>
      <w:r w:rsidR="007E41A4">
        <w:rPr>
          <w:rFonts w:ascii="Times New Roman" w:hAnsi="Times New Roman"/>
          <w:sz w:val="20"/>
        </w:rPr>
        <w:t xml:space="preserve"> is applicable to CBRA for BFR, independently of its usage in CFRA for BFR.</w:t>
      </w:r>
    </w:p>
    <w:p w14:paraId="39A533C0" w14:textId="3D6DD285" w:rsidR="00D24E9C" w:rsidRPr="00D24E9C" w:rsidRDefault="00D24E9C" w:rsidP="00D24E9C">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D24E9C">
        <w:rPr>
          <w:rFonts w:ascii="Times New Roman" w:eastAsia="Times New Roman" w:hAnsi="Times New Roman"/>
          <w:bCs/>
          <w:i/>
          <w:sz w:val="20"/>
          <w:szCs w:val="20"/>
          <w:lang w:val="en-GB" w:eastAsia="zh-CN"/>
        </w:rPr>
        <w:t>RAN2 should further discuss if beamFailureRecoveryTimer should be applicable to contention based random access for BFR</w:t>
      </w:r>
      <w:r>
        <w:rPr>
          <w:rFonts w:ascii="Times New Roman" w:eastAsia="Times New Roman" w:hAnsi="Times New Roman"/>
          <w:bCs/>
          <w:i/>
          <w:sz w:val="20"/>
          <w:szCs w:val="20"/>
          <w:lang w:val="en-GB" w:eastAsia="zh-CN"/>
        </w:rPr>
        <w:t>.</w:t>
      </w:r>
    </w:p>
    <w:p w14:paraId="60EF47DF" w14:textId="0E3B805E" w:rsidR="008669B1" w:rsidRDefault="008669B1" w:rsidP="004A4A78">
      <w:pPr>
        <w:pStyle w:val="Tdoc"/>
        <w:ind w:left="-90" w:firstLine="0"/>
      </w:pPr>
      <w:r w:rsidRPr="00E0063E">
        <w:t>Conclusion</w:t>
      </w:r>
    </w:p>
    <w:p w14:paraId="250D672A" w14:textId="4617DF92" w:rsidR="006D136D" w:rsidRDefault="00043F8C" w:rsidP="006D136D">
      <w:pPr>
        <w:rPr>
          <w:rFonts w:ascii="Times New Roman" w:hAnsi="Times New Roman"/>
          <w:sz w:val="20"/>
        </w:rPr>
      </w:pPr>
      <w:r>
        <w:rPr>
          <w:rFonts w:ascii="Times New Roman" w:hAnsi="Times New Roman"/>
          <w:sz w:val="20"/>
        </w:rPr>
        <w:t xml:space="preserve">This contribution discusses </w:t>
      </w:r>
      <w:r w:rsidR="005C19D1">
        <w:rPr>
          <w:rFonts w:ascii="Times New Roman" w:hAnsi="Times New Roman"/>
          <w:sz w:val="20"/>
        </w:rPr>
        <w:t>some aspects of beam failure discovery and recovery using random access and makes the following observations and proposals</w:t>
      </w:r>
      <w:r>
        <w:rPr>
          <w:rFonts w:ascii="Times New Roman" w:hAnsi="Times New Roman"/>
          <w:sz w:val="20"/>
        </w:rPr>
        <w:t xml:space="preserve">: </w:t>
      </w:r>
    </w:p>
    <w:p w14:paraId="0F1EC8B9" w14:textId="77777777" w:rsidR="003654BF" w:rsidRPr="00D24E9C" w:rsidRDefault="003654BF" w:rsidP="003654BF">
      <w:pPr>
        <w:ind w:left="1440" w:hanging="144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D24E9C">
        <w:rPr>
          <w:rFonts w:ascii="Times New Roman" w:eastAsia="Times New Roman" w:hAnsi="Times New Roman"/>
          <w:bCs/>
          <w:i/>
          <w:sz w:val="20"/>
          <w:szCs w:val="20"/>
          <w:lang w:val="en-GB" w:eastAsia="zh-CN"/>
        </w:rPr>
        <w:t>The lower bound of 10 ms on the periodicity of beam failure instance indication to higher layers might be too long, particularly if beam RSRPs are varying rapidly</w:t>
      </w:r>
      <w:r>
        <w:rPr>
          <w:rFonts w:ascii="Times New Roman" w:eastAsia="Times New Roman" w:hAnsi="Times New Roman"/>
          <w:bCs/>
          <w:i/>
          <w:sz w:val="20"/>
          <w:szCs w:val="20"/>
          <w:lang w:val="en-GB" w:eastAsia="zh-CN"/>
        </w:rPr>
        <w:t>.</w:t>
      </w:r>
    </w:p>
    <w:p w14:paraId="2B072159" w14:textId="074B4E8A" w:rsidR="003654BF" w:rsidRDefault="003654BF" w:rsidP="003654B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Option 1 (i.e. PHY delivering both </w:t>
      </w:r>
      <w:r w:rsidRPr="00772A1C">
        <w:rPr>
          <w:rFonts w:ascii="Times New Roman" w:eastAsia="Times New Roman" w:hAnsi="Times New Roman"/>
          <w:bCs/>
          <w:i/>
          <w:sz w:val="20"/>
          <w:szCs w:val="20"/>
          <w:lang w:val="en-GB" w:eastAsia="zh-CN"/>
        </w:rPr>
        <w:t>“beam failure instance” and “no beam failure instance”</w:t>
      </w:r>
      <w:r>
        <w:rPr>
          <w:rFonts w:ascii="Times New Roman" w:eastAsia="Times New Roman" w:hAnsi="Times New Roman"/>
          <w:bCs/>
          <w:i/>
          <w:sz w:val="20"/>
          <w:szCs w:val="20"/>
          <w:lang w:val="en-GB" w:eastAsia="zh-CN"/>
        </w:rPr>
        <w:t xml:space="preserve"> notification for the purpose of beam failure detection</w:t>
      </w:r>
      <w:r w:rsidR="005643D1">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 xml:space="preserve"> should be adopted for beam failure detection in MAC.</w:t>
      </w:r>
    </w:p>
    <w:p w14:paraId="4B971964" w14:textId="77777777" w:rsidR="003654BF" w:rsidRDefault="003654BF" w:rsidP="003654BF">
      <w:pPr>
        <w:spacing w:before="240"/>
        <w:ind w:left="1440" w:hanging="1440"/>
        <w:rPr>
          <w:rFonts w:ascii="Times New Roman" w:hAnsi="Times New Roman"/>
          <w:sz w:val="20"/>
        </w:rPr>
      </w:pPr>
      <w:r>
        <w:rPr>
          <w:rFonts w:ascii="Times New Roman" w:eastAsia="Times New Roman" w:hAnsi="Times New Roman"/>
          <w:b/>
          <w:bCs/>
          <w:sz w:val="20"/>
          <w:szCs w:val="20"/>
          <w:u w:val="single"/>
          <w:lang w:val="en-GB" w:eastAsia="zh-CN"/>
        </w:rPr>
        <w:t>Observation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beamFailureRecoveryTimer as defined by RAN1 is applicable to contention free random access for beam failure recovery.</w:t>
      </w:r>
    </w:p>
    <w:p w14:paraId="527244D7" w14:textId="23174D4A" w:rsidR="00A517B1" w:rsidRPr="003654BF" w:rsidRDefault="003654BF" w:rsidP="003654B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D24E9C">
        <w:rPr>
          <w:rFonts w:ascii="Times New Roman" w:eastAsia="Times New Roman" w:hAnsi="Times New Roman"/>
          <w:bCs/>
          <w:i/>
          <w:sz w:val="20"/>
          <w:szCs w:val="20"/>
          <w:lang w:val="en-GB" w:eastAsia="zh-CN"/>
        </w:rPr>
        <w:t>RAN2 should further discuss if beamFailureRecoveryTimer should be applicable to contention based random access for BFR</w:t>
      </w:r>
      <w:r>
        <w:rPr>
          <w:rFonts w:ascii="Times New Roman" w:eastAsia="Times New Roman" w:hAnsi="Times New Roman"/>
          <w:bCs/>
          <w:i/>
          <w:sz w:val="20"/>
          <w:szCs w:val="20"/>
          <w:lang w:val="en-GB" w:eastAsia="zh-CN"/>
        </w:rPr>
        <w:t>.</w:t>
      </w:r>
    </w:p>
    <w:p w14:paraId="60EF47F2" w14:textId="5A59892A" w:rsidR="008669B1" w:rsidRDefault="006D136D" w:rsidP="00DA3465">
      <w:pPr>
        <w:pStyle w:val="Tdoc"/>
        <w:ind w:left="-90" w:firstLine="0"/>
      </w:pPr>
      <w:bookmarkStart w:id="1" w:name="_Ref458739888"/>
      <w:r>
        <w:t>References</w:t>
      </w:r>
    </w:p>
    <w:p w14:paraId="2C7699C9" w14:textId="77777777" w:rsidR="003654BF" w:rsidRDefault="006D136D" w:rsidP="00D46932">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3654BF" w14:paraId="1B8CAED3" w14:textId="77777777">
        <w:trPr>
          <w:divId w:val="1441804611"/>
          <w:tblCellSpacing w:w="15" w:type="dxa"/>
        </w:trPr>
        <w:tc>
          <w:tcPr>
            <w:tcW w:w="50" w:type="pct"/>
            <w:hideMark/>
          </w:tcPr>
          <w:p w14:paraId="66D73E68" w14:textId="77777777" w:rsidR="003654BF" w:rsidRDefault="003654BF">
            <w:pPr>
              <w:pStyle w:val="Bibliography"/>
              <w:rPr>
                <w:noProof/>
                <w:sz w:val="24"/>
                <w:szCs w:val="24"/>
              </w:rPr>
            </w:pPr>
            <w:r>
              <w:rPr>
                <w:noProof/>
              </w:rPr>
              <w:t xml:space="preserve">[1] </w:t>
            </w:r>
          </w:p>
        </w:tc>
        <w:tc>
          <w:tcPr>
            <w:tcW w:w="0" w:type="auto"/>
            <w:hideMark/>
          </w:tcPr>
          <w:p w14:paraId="6A8215D6" w14:textId="77777777" w:rsidR="003654BF" w:rsidRDefault="003654BF">
            <w:pPr>
              <w:pStyle w:val="Bibliography"/>
              <w:rPr>
                <w:noProof/>
              </w:rPr>
            </w:pPr>
            <w:r>
              <w:rPr>
                <w:noProof/>
              </w:rPr>
              <w:t xml:space="preserve">"RAN2 AdHoc#3 1801, "Chairman Notes"". </w:t>
            </w:r>
          </w:p>
        </w:tc>
      </w:tr>
      <w:tr w:rsidR="003654BF" w14:paraId="6BCA8F52" w14:textId="77777777">
        <w:trPr>
          <w:divId w:val="1441804611"/>
          <w:tblCellSpacing w:w="15" w:type="dxa"/>
        </w:trPr>
        <w:tc>
          <w:tcPr>
            <w:tcW w:w="50" w:type="pct"/>
            <w:hideMark/>
          </w:tcPr>
          <w:p w14:paraId="7F1BA6B2" w14:textId="77777777" w:rsidR="003654BF" w:rsidRDefault="003654BF">
            <w:pPr>
              <w:pStyle w:val="Bibliography"/>
              <w:rPr>
                <w:noProof/>
              </w:rPr>
            </w:pPr>
            <w:r>
              <w:rPr>
                <w:noProof/>
              </w:rPr>
              <w:t xml:space="preserve">[2] </w:t>
            </w:r>
          </w:p>
        </w:tc>
        <w:tc>
          <w:tcPr>
            <w:tcW w:w="0" w:type="auto"/>
            <w:hideMark/>
          </w:tcPr>
          <w:p w14:paraId="62D6F6E5" w14:textId="77777777" w:rsidR="003654BF" w:rsidRDefault="003654BF">
            <w:pPr>
              <w:pStyle w:val="Bibliography"/>
              <w:rPr>
                <w:noProof/>
              </w:rPr>
            </w:pPr>
            <w:r>
              <w:rPr>
                <w:noProof/>
              </w:rPr>
              <w:t xml:space="preserve">"RAN1 AdHoc#1801, Chairman Notes". </w:t>
            </w:r>
          </w:p>
        </w:tc>
      </w:tr>
      <w:tr w:rsidR="003654BF" w14:paraId="12D83988" w14:textId="77777777">
        <w:trPr>
          <w:divId w:val="1441804611"/>
          <w:tblCellSpacing w:w="15" w:type="dxa"/>
        </w:trPr>
        <w:tc>
          <w:tcPr>
            <w:tcW w:w="50" w:type="pct"/>
            <w:hideMark/>
          </w:tcPr>
          <w:p w14:paraId="54E93EB7" w14:textId="77777777" w:rsidR="003654BF" w:rsidRDefault="003654BF">
            <w:pPr>
              <w:pStyle w:val="Bibliography"/>
              <w:rPr>
                <w:noProof/>
              </w:rPr>
            </w:pPr>
            <w:r>
              <w:rPr>
                <w:noProof/>
              </w:rPr>
              <w:t xml:space="preserve">[3] </w:t>
            </w:r>
          </w:p>
        </w:tc>
        <w:tc>
          <w:tcPr>
            <w:tcW w:w="0" w:type="auto"/>
            <w:hideMark/>
          </w:tcPr>
          <w:p w14:paraId="1317CB20" w14:textId="77777777" w:rsidR="003654BF" w:rsidRDefault="003654BF">
            <w:pPr>
              <w:pStyle w:val="Bibliography"/>
              <w:rPr>
                <w:noProof/>
              </w:rPr>
            </w:pPr>
            <w:r>
              <w:rPr>
                <w:noProof/>
              </w:rPr>
              <w:t xml:space="preserve">"R2-1801570, "LS to RAN1 on beam failure recovery"". </w:t>
            </w:r>
          </w:p>
        </w:tc>
      </w:tr>
      <w:tr w:rsidR="003654BF" w14:paraId="4329A5BD" w14:textId="77777777">
        <w:trPr>
          <w:divId w:val="1441804611"/>
          <w:tblCellSpacing w:w="15" w:type="dxa"/>
        </w:trPr>
        <w:tc>
          <w:tcPr>
            <w:tcW w:w="50" w:type="pct"/>
            <w:hideMark/>
          </w:tcPr>
          <w:p w14:paraId="0C23E502" w14:textId="77777777" w:rsidR="003654BF" w:rsidRDefault="003654BF">
            <w:pPr>
              <w:pStyle w:val="Bibliography"/>
              <w:rPr>
                <w:noProof/>
              </w:rPr>
            </w:pPr>
            <w:r>
              <w:rPr>
                <w:noProof/>
              </w:rPr>
              <w:t xml:space="preserve">[4] </w:t>
            </w:r>
          </w:p>
        </w:tc>
        <w:tc>
          <w:tcPr>
            <w:tcW w:w="0" w:type="auto"/>
            <w:hideMark/>
          </w:tcPr>
          <w:p w14:paraId="581545F5" w14:textId="77777777" w:rsidR="003654BF" w:rsidRDefault="003654BF">
            <w:pPr>
              <w:pStyle w:val="Bibliography"/>
              <w:rPr>
                <w:noProof/>
              </w:rPr>
            </w:pPr>
            <w:r>
              <w:rPr>
                <w:noProof/>
              </w:rPr>
              <w:t xml:space="preserve">"RAN#100, "Chairman Notes"". </w:t>
            </w:r>
          </w:p>
        </w:tc>
      </w:tr>
    </w:tbl>
    <w:p w14:paraId="2FC8266B" w14:textId="77777777" w:rsidR="003654BF" w:rsidRDefault="003654BF">
      <w:pPr>
        <w:divId w:val="1441804611"/>
        <w:rPr>
          <w:rFonts w:eastAsia="Times New Roman"/>
          <w:noProof/>
        </w:rPr>
      </w:pPr>
    </w:p>
    <w:p w14:paraId="60EF47F5" w14:textId="6A82F043" w:rsidR="008669B1" w:rsidRPr="00D46932" w:rsidRDefault="006D136D"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End w:id="1"/>
    </w:p>
    <w:p w14:paraId="60EF47F6" w14:textId="77777777" w:rsidR="00E0063E" w:rsidRPr="008669B1" w:rsidRDefault="00E0063E" w:rsidP="008669B1"/>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7E41A4" w:rsidRDefault="007E41A4">
      <w:pPr>
        <w:spacing w:after="0" w:line="240" w:lineRule="auto"/>
      </w:pPr>
      <w:r>
        <w:separator/>
      </w:r>
    </w:p>
  </w:endnote>
  <w:endnote w:type="continuationSeparator" w:id="0">
    <w:p w14:paraId="60EF47FA" w14:textId="77777777" w:rsidR="007E41A4" w:rsidRDefault="007E4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E41A4" w:rsidRDefault="007E41A4"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22CE">
      <w:rPr>
        <w:rFonts w:ascii="Arial" w:hAnsi="Arial" w:cs="Arial"/>
        <w:b/>
        <w:noProof/>
        <w:sz w:val="18"/>
        <w:szCs w:val="18"/>
      </w:rPr>
      <w:t>1</w:t>
    </w:r>
    <w:r>
      <w:rPr>
        <w:rFonts w:ascii="Arial" w:hAnsi="Arial" w:cs="Arial"/>
        <w:b/>
        <w:sz w:val="18"/>
        <w:szCs w:val="18"/>
      </w:rPr>
      <w:fldChar w:fldCharType="end"/>
    </w:r>
  </w:p>
  <w:p w14:paraId="60EF47FC" w14:textId="77777777" w:rsidR="007E41A4" w:rsidRDefault="007E4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7E41A4" w:rsidRDefault="007E41A4">
      <w:pPr>
        <w:spacing w:after="0" w:line="240" w:lineRule="auto"/>
      </w:pPr>
      <w:r>
        <w:separator/>
      </w:r>
    </w:p>
  </w:footnote>
  <w:footnote w:type="continuationSeparator" w:id="0">
    <w:p w14:paraId="60EF47F8" w14:textId="77777777" w:rsidR="007E41A4" w:rsidRDefault="007E41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1064A2"/>
    <w:multiLevelType w:val="hybridMultilevel"/>
    <w:tmpl w:val="D1F2B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7"/>
  </w:num>
  <w:num w:numId="4">
    <w:abstractNumId w:val="6"/>
  </w:num>
  <w:num w:numId="5">
    <w:abstractNumId w:val="1"/>
    <w:lvlOverride w:ilvl="0">
      <w:startOverride w:val="1"/>
    </w:lvlOverride>
  </w:num>
  <w:num w:numId="6">
    <w:abstractNumId w:val="3"/>
    <w:lvlOverride w:ilvl="0">
      <w:startOverride w:val="2"/>
    </w:lvlOverride>
  </w:num>
  <w:num w:numId="7">
    <w:abstractNumId w:val="18"/>
  </w:num>
  <w:num w:numId="8">
    <w:abstractNumId w:val="14"/>
  </w:num>
  <w:num w:numId="9">
    <w:abstractNumId w:val="8"/>
  </w:num>
  <w:num w:numId="10">
    <w:abstractNumId w:val="11"/>
  </w:num>
  <w:num w:numId="11">
    <w:abstractNumId w:val="19"/>
  </w:num>
  <w:num w:numId="12">
    <w:abstractNumId w:val="10"/>
  </w:num>
  <w:num w:numId="13">
    <w:abstractNumId w:val="9"/>
  </w:num>
  <w:num w:numId="14">
    <w:abstractNumId w:val="4"/>
  </w:num>
  <w:num w:numId="15">
    <w:abstractNumId w:val="17"/>
  </w:num>
  <w:num w:numId="16">
    <w:abstractNumId w:val="2"/>
  </w:num>
  <w:num w:numId="17">
    <w:abstractNumId w:val="13"/>
  </w:num>
  <w:num w:numId="18">
    <w:abstractNumId w:val="12"/>
  </w:num>
  <w:num w:numId="19">
    <w:abstractNumId w:val="21"/>
  </w:num>
  <w:num w:numId="20">
    <w:abstractNumId w:val="0"/>
  </w:num>
  <w:num w:numId="21">
    <w:abstractNumId w:val="1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DEF"/>
    <w:rsid w:val="000270B0"/>
    <w:rsid w:val="00031A47"/>
    <w:rsid w:val="00031C0E"/>
    <w:rsid w:val="000355BB"/>
    <w:rsid w:val="00043799"/>
    <w:rsid w:val="00043F8C"/>
    <w:rsid w:val="00066057"/>
    <w:rsid w:val="0007355E"/>
    <w:rsid w:val="00095525"/>
    <w:rsid w:val="0009610B"/>
    <w:rsid w:val="0009624B"/>
    <w:rsid w:val="00096596"/>
    <w:rsid w:val="000A1656"/>
    <w:rsid w:val="000B4F03"/>
    <w:rsid w:val="000F5A71"/>
    <w:rsid w:val="00100001"/>
    <w:rsid w:val="00122887"/>
    <w:rsid w:val="001266F8"/>
    <w:rsid w:val="00133829"/>
    <w:rsid w:val="00136F78"/>
    <w:rsid w:val="00142882"/>
    <w:rsid w:val="00154E29"/>
    <w:rsid w:val="001672FC"/>
    <w:rsid w:val="00174865"/>
    <w:rsid w:val="00175FAB"/>
    <w:rsid w:val="00190D67"/>
    <w:rsid w:val="0019188A"/>
    <w:rsid w:val="00195430"/>
    <w:rsid w:val="001A6F5A"/>
    <w:rsid w:val="001B7E53"/>
    <w:rsid w:val="001C072B"/>
    <w:rsid w:val="001C137C"/>
    <w:rsid w:val="001C13E7"/>
    <w:rsid w:val="001E221E"/>
    <w:rsid w:val="001E5CA5"/>
    <w:rsid w:val="001E5E85"/>
    <w:rsid w:val="001F5F0A"/>
    <w:rsid w:val="002049D9"/>
    <w:rsid w:val="0020567B"/>
    <w:rsid w:val="0022299C"/>
    <w:rsid w:val="00225C81"/>
    <w:rsid w:val="00242773"/>
    <w:rsid w:val="00247EAA"/>
    <w:rsid w:val="00257333"/>
    <w:rsid w:val="00260222"/>
    <w:rsid w:val="00260F24"/>
    <w:rsid w:val="00261015"/>
    <w:rsid w:val="00275D7B"/>
    <w:rsid w:val="00276574"/>
    <w:rsid w:val="00283702"/>
    <w:rsid w:val="00284186"/>
    <w:rsid w:val="00285D82"/>
    <w:rsid w:val="00291433"/>
    <w:rsid w:val="00293EC9"/>
    <w:rsid w:val="00295334"/>
    <w:rsid w:val="002A34DB"/>
    <w:rsid w:val="002B51AD"/>
    <w:rsid w:val="002B60E2"/>
    <w:rsid w:val="002B6E19"/>
    <w:rsid w:val="002D108B"/>
    <w:rsid w:val="002E57D1"/>
    <w:rsid w:val="002F04F8"/>
    <w:rsid w:val="002F153B"/>
    <w:rsid w:val="002F1706"/>
    <w:rsid w:val="002F432E"/>
    <w:rsid w:val="002F575F"/>
    <w:rsid w:val="002F65A6"/>
    <w:rsid w:val="00307535"/>
    <w:rsid w:val="00323003"/>
    <w:rsid w:val="00331CB2"/>
    <w:rsid w:val="00336D1D"/>
    <w:rsid w:val="00344D3D"/>
    <w:rsid w:val="003649A8"/>
    <w:rsid w:val="003654BF"/>
    <w:rsid w:val="003830B8"/>
    <w:rsid w:val="00392D6E"/>
    <w:rsid w:val="003A766F"/>
    <w:rsid w:val="003B6208"/>
    <w:rsid w:val="003C6BF7"/>
    <w:rsid w:val="003D76A8"/>
    <w:rsid w:val="003F13B0"/>
    <w:rsid w:val="00401BF6"/>
    <w:rsid w:val="00415F96"/>
    <w:rsid w:val="00433DA4"/>
    <w:rsid w:val="00434955"/>
    <w:rsid w:val="00437AB1"/>
    <w:rsid w:val="00440283"/>
    <w:rsid w:val="00445B7E"/>
    <w:rsid w:val="004504B4"/>
    <w:rsid w:val="00453DB6"/>
    <w:rsid w:val="00456991"/>
    <w:rsid w:val="00456DE3"/>
    <w:rsid w:val="00460EBA"/>
    <w:rsid w:val="00466D39"/>
    <w:rsid w:val="00471314"/>
    <w:rsid w:val="004761A2"/>
    <w:rsid w:val="004761DB"/>
    <w:rsid w:val="00487FF0"/>
    <w:rsid w:val="0049247B"/>
    <w:rsid w:val="004A40AE"/>
    <w:rsid w:val="004A4A78"/>
    <w:rsid w:val="004A5914"/>
    <w:rsid w:val="004B2F1A"/>
    <w:rsid w:val="004B64C4"/>
    <w:rsid w:val="004E0FA3"/>
    <w:rsid w:val="004F316F"/>
    <w:rsid w:val="00504AB4"/>
    <w:rsid w:val="00504FD0"/>
    <w:rsid w:val="005067A7"/>
    <w:rsid w:val="005107D4"/>
    <w:rsid w:val="005117DA"/>
    <w:rsid w:val="00516777"/>
    <w:rsid w:val="00520330"/>
    <w:rsid w:val="00523205"/>
    <w:rsid w:val="0053209F"/>
    <w:rsid w:val="00533422"/>
    <w:rsid w:val="00542BF0"/>
    <w:rsid w:val="0055706A"/>
    <w:rsid w:val="00557EDD"/>
    <w:rsid w:val="005643D1"/>
    <w:rsid w:val="005679F0"/>
    <w:rsid w:val="00593190"/>
    <w:rsid w:val="005A4656"/>
    <w:rsid w:val="005A7EC0"/>
    <w:rsid w:val="005C19D1"/>
    <w:rsid w:val="005D362E"/>
    <w:rsid w:val="005D58A9"/>
    <w:rsid w:val="005E22CE"/>
    <w:rsid w:val="005E4641"/>
    <w:rsid w:val="005F262D"/>
    <w:rsid w:val="00621C29"/>
    <w:rsid w:val="006242D5"/>
    <w:rsid w:val="006319C2"/>
    <w:rsid w:val="006476F9"/>
    <w:rsid w:val="00667231"/>
    <w:rsid w:val="00683A4C"/>
    <w:rsid w:val="00687129"/>
    <w:rsid w:val="00692413"/>
    <w:rsid w:val="006A27E5"/>
    <w:rsid w:val="006A33DD"/>
    <w:rsid w:val="006B21C6"/>
    <w:rsid w:val="006C15FA"/>
    <w:rsid w:val="006C222D"/>
    <w:rsid w:val="006C551C"/>
    <w:rsid w:val="006D0058"/>
    <w:rsid w:val="006D136D"/>
    <w:rsid w:val="006F2CDA"/>
    <w:rsid w:val="006F53D1"/>
    <w:rsid w:val="0071408B"/>
    <w:rsid w:val="00732A41"/>
    <w:rsid w:val="00743857"/>
    <w:rsid w:val="0074520E"/>
    <w:rsid w:val="0074639E"/>
    <w:rsid w:val="0076605A"/>
    <w:rsid w:val="00770295"/>
    <w:rsid w:val="00772A1C"/>
    <w:rsid w:val="00783A80"/>
    <w:rsid w:val="00783F29"/>
    <w:rsid w:val="00790003"/>
    <w:rsid w:val="00792327"/>
    <w:rsid w:val="00797358"/>
    <w:rsid w:val="007A49CD"/>
    <w:rsid w:val="007A4B83"/>
    <w:rsid w:val="007B25E9"/>
    <w:rsid w:val="007C4488"/>
    <w:rsid w:val="007C6E5A"/>
    <w:rsid w:val="007E41A4"/>
    <w:rsid w:val="00826C94"/>
    <w:rsid w:val="00827742"/>
    <w:rsid w:val="0083198E"/>
    <w:rsid w:val="008669B1"/>
    <w:rsid w:val="00874674"/>
    <w:rsid w:val="008775ED"/>
    <w:rsid w:val="008A041E"/>
    <w:rsid w:val="008A3B9F"/>
    <w:rsid w:val="008B1CE1"/>
    <w:rsid w:val="008B2C70"/>
    <w:rsid w:val="008C0338"/>
    <w:rsid w:val="008C0C20"/>
    <w:rsid w:val="008C48A5"/>
    <w:rsid w:val="008C7B03"/>
    <w:rsid w:val="00901C24"/>
    <w:rsid w:val="00910B7A"/>
    <w:rsid w:val="00912C36"/>
    <w:rsid w:val="00914241"/>
    <w:rsid w:val="0092329B"/>
    <w:rsid w:val="00925869"/>
    <w:rsid w:val="00930C49"/>
    <w:rsid w:val="009340C0"/>
    <w:rsid w:val="00952743"/>
    <w:rsid w:val="00955F6D"/>
    <w:rsid w:val="009573C2"/>
    <w:rsid w:val="0097023E"/>
    <w:rsid w:val="0098432E"/>
    <w:rsid w:val="00990376"/>
    <w:rsid w:val="009950C6"/>
    <w:rsid w:val="009A1C03"/>
    <w:rsid w:val="009B1181"/>
    <w:rsid w:val="009C2C7B"/>
    <w:rsid w:val="009C4D8E"/>
    <w:rsid w:val="009D6F7D"/>
    <w:rsid w:val="009E3B6E"/>
    <w:rsid w:val="009E7171"/>
    <w:rsid w:val="009F758B"/>
    <w:rsid w:val="00A05BE7"/>
    <w:rsid w:val="00A06418"/>
    <w:rsid w:val="00A0649F"/>
    <w:rsid w:val="00A1125D"/>
    <w:rsid w:val="00A1246A"/>
    <w:rsid w:val="00A44954"/>
    <w:rsid w:val="00A5035B"/>
    <w:rsid w:val="00A517B1"/>
    <w:rsid w:val="00A56670"/>
    <w:rsid w:val="00A56C72"/>
    <w:rsid w:val="00A615EA"/>
    <w:rsid w:val="00A62968"/>
    <w:rsid w:val="00A63B12"/>
    <w:rsid w:val="00A67587"/>
    <w:rsid w:val="00A824AF"/>
    <w:rsid w:val="00A86A88"/>
    <w:rsid w:val="00A86D91"/>
    <w:rsid w:val="00A90EBD"/>
    <w:rsid w:val="00AC4F72"/>
    <w:rsid w:val="00AF256D"/>
    <w:rsid w:val="00AF66D8"/>
    <w:rsid w:val="00B2562D"/>
    <w:rsid w:val="00B263AC"/>
    <w:rsid w:val="00B45EDF"/>
    <w:rsid w:val="00B61280"/>
    <w:rsid w:val="00B65189"/>
    <w:rsid w:val="00B70D0A"/>
    <w:rsid w:val="00B74D9C"/>
    <w:rsid w:val="00B76EA2"/>
    <w:rsid w:val="00B8326D"/>
    <w:rsid w:val="00BB4A45"/>
    <w:rsid w:val="00BD47AD"/>
    <w:rsid w:val="00BF1A22"/>
    <w:rsid w:val="00C0320F"/>
    <w:rsid w:val="00C0460F"/>
    <w:rsid w:val="00C06CFA"/>
    <w:rsid w:val="00C12D8A"/>
    <w:rsid w:val="00C16FDF"/>
    <w:rsid w:val="00C471C2"/>
    <w:rsid w:val="00C52641"/>
    <w:rsid w:val="00C53590"/>
    <w:rsid w:val="00C55C20"/>
    <w:rsid w:val="00C655BB"/>
    <w:rsid w:val="00C67B49"/>
    <w:rsid w:val="00C7137F"/>
    <w:rsid w:val="00C839B7"/>
    <w:rsid w:val="00C85BF2"/>
    <w:rsid w:val="00C87617"/>
    <w:rsid w:val="00C90D45"/>
    <w:rsid w:val="00C96E5D"/>
    <w:rsid w:val="00CA5AC6"/>
    <w:rsid w:val="00CB6AB5"/>
    <w:rsid w:val="00CC41A2"/>
    <w:rsid w:val="00CC760A"/>
    <w:rsid w:val="00CD3B95"/>
    <w:rsid w:val="00CE30AE"/>
    <w:rsid w:val="00CE70AB"/>
    <w:rsid w:val="00D20B50"/>
    <w:rsid w:val="00D24C46"/>
    <w:rsid w:val="00D24E9C"/>
    <w:rsid w:val="00D30D35"/>
    <w:rsid w:val="00D46932"/>
    <w:rsid w:val="00D46F95"/>
    <w:rsid w:val="00D54884"/>
    <w:rsid w:val="00D65AAE"/>
    <w:rsid w:val="00D74365"/>
    <w:rsid w:val="00D75EC2"/>
    <w:rsid w:val="00D8472B"/>
    <w:rsid w:val="00DA3465"/>
    <w:rsid w:val="00DA50E7"/>
    <w:rsid w:val="00DC299B"/>
    <w:rsid w:val="00DE5114"/>
    <w:rsid w:val="00DF07FB"/>
    <w:rsid w:val="00E0063E"/>
    <w:rsid w:val="00E1252E"/>
    <w:rsid w:val="00E172AB"/>
    <w:rsid w:val="00E31A42"/>
    <w:rsid w:val="00E31E41"/>
    <w:rsid w:val="00E4258F"/>
    <w:rsid w:val="00E42BBE"/>
    <w:rsid w:val="00E53137"/>
    <w:rsid w:val="00E60548"/>
    <w:rsid w:val="00E60B81"/>
    <w:rsid w:val="00E627B1"/>
    <w:rsid w:val="00E66747"/>
    <w:rsid w:val="00E70758"/>
    <w:rsid w:val="00E936F6"/>
    <w:rsid w:val="00EA69D8"/>
    <w:rsid w:val="00EC1779"/>
    <w:rsid w:val="00ED00AF"/>
    <w:rsid w:val="00EE6198"/>
    <w:rsid w:val="00EF693B"/>
    <w:rsid w:val="00EF7688"/>
    <w:rsid w:val="00F117A5"/>
    <w:rsid w:val="00F14223"/>
    <w:rsid w:val="00F14233"/>
    <w:rsid w:val="00F16840"/>
    <w:rsid w:val="00F23D2F"/>
    <w:rsid w:val="00F421C5"/>
    <w:rsid w:val="00F52C55"/>
    <w:rsid w:val="00F63557"/>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3AC"/>
    <w:pPr>
      <w:spacing w:after="120" w:line="240" w:lineRule="auto"/>
      <w:jc w:val="both"/>
    </w:pPr>
    <w:rPr>
      <w:rFonts w:ascii="Times New Roman" w:eastAsia="MS Mincho" w:hAnsi="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3AC"/>
    <w:rPr>
      <w:rFonts w:ascii="Times New Roman" w:eastAsia="MS Mincho"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17027076">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RAN2adhoc3</b:Tag>
    <b:SourceType>ConferenceProceedings</b:SourceType>
    <b:Guid>{D3859F46-236E-4BE0-A3A5-1054CDE64375}</b:Guid>
    <b:Title>RAN2 AdHoc#3 1801, "Chairman Notes"</b:Title>
    <b:RefOrder>1</b:RefOrder>
  </b:Source>
  <b:Source>
    <b:Tag>RAN1Adhoc</b:Tag>
    <b:SourceType>ConferenceProceedings</b:SourceType>
    <b:Guid>{C4B99484-18C2-47AC-9EA2-039382AF99C1}</b:Guid>
    <b:Title>RAN1 AdHoc#1801, Chairman Notes</b:Title>
    <b:RefOrder>2</b:RefOrder>
  </b:Source>
  <b:Source>
    <b:Tag>RAN2LSBFR</b:Tag>
    <b:SourceType>ConferenceProceedings</b:SourceType>
    <b:Guid>{3CA604EE-AF50-4F80-BA54-0428D636CC3F}</b:Guid>
    <b:Title>R2-1801570, "LS to RAN1 on beam failure recovery"</b:Title>
    <b:RefOrder>3</b:RefOrder>
  </b:Source>
  <b:Source>
    <b:Tag>RAN21003</b:Tag>
    <b:SourceType>ConferenceProceedings</b:SourceType>
    <b:Guid>{D3388229-C170-4400-851A-7DBBC97B8072}</b:Guid>
    <b:Title>RAN#100, "Chairman Notes"</b:Title>
    <b:RefOrder>4</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10B9541-591A-4816-B029-7D4DAA903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4</Pages>
  <Words>1773</Words>
  <Characters>9303</Characters>
  <Application>Microsoft Office Word</Application>
  <DocSecurity>0</DocSecurity>
  <Lines>165</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146</cp:revision>
  <dcterms:created xsi:type="dcterms:W3CDTF">2017-08-10T20:32:00Z</dcterms:created>
  <dcterms:modified xsi:type="dcterms:W3CDTF">2018-02-16T02:07:00Z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26d53df8-0f83-4ebe-a13d-89908183de27</vt:lpwstr>
  </property>
  <property fmtid="{D5CDD505-2E9C-101B-9397-08002B2CF9AE}" pid="4" name="CTP_BU">
    <vt:lpwstr>NA</vt:lpwstr>
  </property>
  <property fmtid="{D5CDD505-2E9C-101B-9397-08002B2CF9AE}" pid="5" name="CTP_TimeStamp">
    <vt:lpwstr>2018-02-16 02:07:28Z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