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2F717D9F" w:rsidR="00F110CD" w:rsidRPr="00874FD3" w:rsidRDefault="00F110CD" w:rsidP="00F110CD">
      <w:pPr>
        <w:pStyle w:val="Header"/>
        <w:tabs>
          <w:tab w:val="right" w:pos="9639"/>
        </w:tabs>
        <w:rPr>
          <w:bCs/>
          <w:sz w:val="24"/>
          <w:szCs w:val="24"/>
          <w:lang w:val="en-GB"/>
        </w:rPr>
      </w:pPr>
      <w:r w:rsidRPr="00874FD3">
        <w:rPr>
          <w:bCs/>
          <w:sz w:val="24"/>
          <w:szCs w:val="24"/>
          <w:lang w:val="en-GB"/>
        </w:rPr>
        <w:t>3GPP TSG RA</w:t>
      </w:r>
      <w:r w:rsidR="00BA1872" w:rsidRPr="00874FD3">
        <w:rPr>
          <w:bCs/>
          <w:sz w:val="24"/>
          <w:szCs w:val="24"/>
          <w:lang w:val="en-GB"/>
        </w:rPr>
        <w:t xml:space="preserve">N WG1 </w:t>
      </w:r>
      <w:r w:rsidR="0065263C" w:rsidRPr="00874FD3">
        <w:rPr>
          <w:bCs/>
          <w:sz w:val="24"/>
          <w:szCs w:val="24"/>
          <w:lang w:val="en-GB"/>
        </w:rPr>
        <w:t xml:space="preserve">meeting </w:t>
      </w:r>
      <w:r w:rsidR="00ED6941" w:rsidRPr="00874FD3">
        <w:rPr>
          <w:bCs/>
          <w:sz w:val="24"/>
          <w:szCs w:val="24"/>
          <w:lang w:val="en-GB"/>
        </w:rPr>
        <w:t>#</w:t>
      </w:r>
      <w:r w:rsidR="00FA43D5" w:rsidRPr="00874FD3">
        <w:rPr>
          <w:bCs/>
          <w:sz w:val="24"/>
          <w:szCs w:val="24"/>
          <w:lang w:val="en-GB"/>
        </w:rPr>
        <w:t>9</w:t>
      </w:r>
      <w:r w:rsidR="00A651E2" w:rsidRPr="00874FD3">
        <w:rPr>
          <w:bCs/>
          <w:sz w:val="24"/>
          <w:szCs w:val="24"/>
          <w:lang w:val="en-GB"/>
        </w:rPr>
        <w:t>8</w:t>
      </w:r>
      <w:r w:rsidR="00F6559B" w:rsidRPr="00874FD3">
        <w:rPr>
          <w:bCs/>
          <w:sz w:val="24"/>
          <w:szCs w:val="24"/>
          <w:lang w:val="en-GB"/>
        </w:rPr>
        <w:t>bis</w:t>
      </w:r>
      <w:r w:rsidR="001348FE" w:rsidRPr="00874FD3">
        <w:rPr>
          <w:bCs/>
          <w:sz w:val="24"/>
          <w:szCs w:val="24"/>
          <w:lang w:val="en-GB"/>
        </w:rPr>
        <w:tab/>
      </w:r>
      <w:r w:rsidR="00BA1872" w:rsidRPr="00874FD3">
        <w:rPr>
          <w:bCs/>
          <w:sz w:val="24"/>
          <w:szCs w:val="24"/>
          <w:lang w:val="en-GB"/>
        </w:rPr>
        <w:t>R1-19</w:t>
      </w:r>
      <w:r w:rsidR="00B952F3">
        <w:rPr>
          <w:bCs/>
          <w:sz w:val="24"/>
          <w:szCs w:val="24"/>
          <w:lang w:val="en-GB"/>
        </w:rPr>
        <w:t>11249</w:t>
      </w:r>
    </w:p>
    <w:p w14:paraId="30E02940" w14:textId="2A1CB542" w:rsidR="00CA26CE" w:rsidRPr="00874FD3" w:rsidRDefault="00F6559B" w:rsidP="00CA26CE">
      <w:pPr>
        <w:pStyle w:val="Header"/>
        <w:rPr>
          <w:bCs/>
          <w:sz w:val="24"/>
          <w:szCs w:val="24"/>
          <w:lang w:val="en-GB"/>
        </w:rPr>
      </w:pPr>
      <w:r w:rsidRPr="00874FD3">
        <w:rPr>
          <w:sz w:val="24"/>
          <w:szCs w:val="24"/>
          <w:lang w:val="en-GB" w:eastAsia="zh-CN"/>
        </w:rPr>
        <w:t>Chongqing, China, October 14</w:t>
      </w:r>
      <w:r w:rsidRPr="00874FD3">
        <w:rPr>
          <w:b w:val="0"/>
          <w:sz w:val="24"/>
          <w:szCs w:val="24"/>
          <w:vertAlign w:val="superscript"/>
          <w:lang w:val="en-GB" w:eastAsia="zh-CN"/>
        </w:rPr>
        <w:t>th</w:t>
      </w:r>
      <w:r w:rsidRPr="00874FD3">
        <w:rPr>
          <w:sz w:val="24"/>
          <w:szCs w:val="24"/>
          <w:lang w:val="en-GB" w:eastAsia="zh-CN"/>
        </w:rPr>
        <w:t xml:space="preserve"> – 20</w:t>
      </w:r>
      <w:r w:rsidRPr="00874FD3">
        <w:rPr>
          <w:b w:val="0"/>
          <w:sz w:val="24"/>
          <w:szCs w:val="24"/>
          <w:vertAlign w:val="superscript"/>
          <w:lang w:val="en-GB" w:eastAsia="zh-CN"/>
        </w:rPr>
        <w:t>th</w:t>
      </w:r>
      <w:r w:rsidRPr="00874FD3">
        <w:rPr>
          <w:sz w:val="24"/>
          <w:szCs w:val="24"/>
          <w:lang w:val="en-GB" w:eastAsia="zh-CN"/>
        </w:rPr>
        <w:t>, 2019</w:t>
      </w:r>
    </w:p>
    <w:p w14:paraId="2CFE1919" w14:textId="77777777" w:rsidR="00850D96" w:rsidRPr="00874FD3" w:rsidRDefault="00850D96" w:rsidP="00CA26CE">
      <w:pPr>
        <w:pStyle w:val="Header"/>
        <w:rPr>
          <w:bCs/>
          <w:sz w:val="24"/>
          <w:lang w:val="en-GB" w:eastAsia="ja-JP"/>
        </w:rPr>
      </w:pPr>
    </w:p>
    <w:p w14:paraId="30E02941" w14:textId="334B4BB6" w:rsidR="0034111C" w:rsidRPr="00874FD3" w:rsidRDefault="0034111C" w:rsidP="16512788">
      <w:pPr>
        <w:pStyle w:val="CRCoverPage"/>
        <w:rPr>
          <w:rFonts w:cs="Arial"/>
          <w:b/>
          <w:bCs/>
          <w:noProof/>
          <w:sz w:val="24"/>
          <w:szCs w:val="24"/>
          <w:lang w:eastAsia="ja-JP"/>
        </w:rPr>
      </w:pPr>
      <w:r w:rsidRPr="00874FD3">
        <w:rPr>
          <w:rFonts w:cs="Arial"/>
          <w:b/>
          <w:bCs/>
          <w:noProof/>
          <w:sz w:val="24"/>
          <w:szCs w:val="24"/>
        </w:rPr>
        <w:t>Agenda item:</w:t>
      </w:r>
      <w:r w:rsidRPr="00874FD3">
        <w:rPr>
          <w:rFonts w:cs="Arial"/>
          <w:b/>
          <w:bCs/>
          <w:noProof/>
          <w:sz w:val="24"/>
        </w:rPr>
        <w:tab/>
      </w:r>
      <w:r w:rsidRPr="00874FD3">
        <w:rPr>
          <w:rFonts w:cs="Arial"/>
          <w:b/>
          <w:bCs/>
          <w:noProof/>
          <w:sz w:val="24"/>
        </w:rPr>
        <w:tab/>
      </w:r>
      <w:r w:rsidR="000B4207" w:rsidRPr="00874FD3">
        <w:rPr>
          <w:rFonts w:cs="Arial"/>
          <w:b/>
          <w:bCs/>
          <w:noProof/>
          <w:sz w:val="24"/>
          <w:szCs w:val="24"/>
        </w:rPr>
        <w:t>7</w:t>
      </w:r>
      <w:r w:rsidR="0052773A" w:rsidRPr="00874FD3">
        <w:rPr>
          <w:rFonts w:cs="Arial"/>
          <w:b/>
          <w:bCs/>
          <w:noProof/>
          <w:sz w:val="24"/>
          <w:szCs w:val="24"/>
        </w:rPr>
        <w:t>.</w:t>
      </w:r>
      <w:r w:rsidR="00BA1872" w:rsidRPr="00874FD3">
        <w:rPr>
          <w:rFonts w:cs="Arial"/>
          <w:b/>
          <w:bCs/>
          <w:noProof/>
          <w:sz w:val="24"/>
          <w:szCs w:val="24"/>
        </w:rPr>
        <w:t>2</w:t>
      </w:r>
      <w:r w:rsidR="00671655" w:rsidRPr="00874FD3">
        <w:rPr>
          <w:rFonts w:cs="Arial"/>
          <w:b/>
          <w:bCs/>
          <w:noProof/>
          <w:sz w:val="24"/>
          <w:szCs w:val="24"/>
        </w:rPr>
        <w:t>.12</w:t>
      </w:r>
      <w:r w:rsidR="00C80144" w:rsidRPr="00874FD3">
        <w:rPr>
          <w:rFonts w:cs="Arial"/>
          <w:b/>
          <w:bCs/>
          <w:noProof/>
          <w:sz w:val="24"/>
          <w:szCs w:val="24"/>
        </w:rPr>
        <w:t>.</w:t>
      </w:r>
      <w:r w:rsidR="00FA43D5" w:rsidRPr="00874FD3">
        <w:rPr>
          <w:rFonts w:cs="Arial"/>
          <w:b/>
          <w:bCs/>
          <w:noProof/>
          <w:sz w:val="24"/>
          <w:szCs w:val="24"/>
        </w:rPr>
        <w:t>1</w:t>
      </w:r>
    </w:p>
    <w:p w14:paraId="30E02942" w14:textId="11CBDC88" w:rsidR="00E128F2" w:rsidRPr="00874FD3" w:rsidRDefault="0034111C" w:rsidP="16512788">
      <w:pPr>
        <w:tabs>
          <w:tab w:val="left" w:pos="1985"/>
        </w:tabs>
        <w:spacing w:after="120"/>
        <w:ind w:left="1985" w:hanging="1985"/>
        <w:rPr>
          <w:rFonts w:ascii="Arial" w:hAnsi="Arial" w:cs="Arial"/>
          <w:b/>
          <w:bCs/>
          <w:noProof/>
          <w:sz w:val="24"/>
          <w:szCs w:val="24"/>
          <w:lang w:val="en-GB"/>
        </w:rPr>
      </w:pPr>
      <w:r w:rsidRPr="00874FD3">
        <w:rPr>
          <w:rFonts w:ascii="Arial" w:hAnsi="Arial" w:cs="Arial"/>
          <w:b/>
          <w:bCs/>
          <w:noProof/>
          <w:sz w:val="24"/>
          <w:szCs w:val="24"/>
          <w:lang w:val="en-GB"/>
        </w:rPr>
        <w:t>Source:</w:t>
      </w:r>
      <w:r w:rsidRPr="00874FD3">
        <w:rPr>
          <w:rFonts w:ascii="Arial" w:hAnsi="Arial" w:cs="Arial"/>
          <w:b/>
          <w:bCs/>
          <w:noProof/>
          <w:sz w:val="24"/>
          <w:lang w:val="en-GB"/>
        </w:rPr>
        <w:tab/>
      </w:r>
      <w:r w:rsidR="00013455" w:rsidRPr="00874FD3">
        <w:rPr>
          <w:rFonts w:ascii="Arial" w:hAnsi="Arial" w:cs="Arial"/>
          <w:b/>
          <w:bCs/>
          <w:noProof/>
          <w:sz w:val="24"/>
          <w:szCs w:val="24"/>
          <w:lang w:val="en-GB"/>
        </w:rPr>
        <w:t xml:space="preserve">Nokia, </w:t>
      </w:r>
      <w:r w:rsidR="00E67802" w:rsidRPr="00874FD3">
        <w:rPr>
          <w:rFonts w:ascii="Arial" w:hAnsi="Arial" w:cs="Arial"/>
          <w:b/>
          <w:bCs/>
          <w:noProof/>
          <w:sz w:val="24"/>
          <w:szCs w:val="24"/>
          <w:lang w:val="en-GB"/>
        </w:rPr>
        <w:t>Nokia</w:t>
      </w:r>
      <w:r w:rsidR="00013455" w:rsidRPr="00874FD3">
        <w:rPr>
          <w:rFonts w:ascii="Arial" w:hAnsi="Arial" w:cs="Arial"/>
          <w:b/>
          <w:bCs/>
          <w:noProof/>
          <w:sz w:val="24"/>
          <w:szCs w:val="24"/>
          <w:lang w:val="en-GB"/>
        </w:rPr>
        <w:t xml:space="preserve"> Shanghai Bell</w:t>
      </w:r>
    </w:p>
    <w:p w14:paraId="30E02943" w14:textId="1AFBC706" w:rsidR="0034111C" w:rsidRPr="00874FD3" w:rsidRDefault="0034111C" w:rsidP="16512788">
      <w:pPr>
        <w:ind w:left="1985" w:hanging="1985"/>
        <w:rPr>
          <w:rFonts w:ascii="Arial" w:hAnsi="Arial" w:cs="Arial"/>
          <w:b/>
          <w:bCs/>
          <w:noProof/>
          <w:sz w:val="24"/>
          <w:szCs w:val="24"/>
          <w:lang w:val="en-GB"/>
        </w:rPr>
      </w:pPr>
      <w:r w:rsidRPr="00874FD3">
        <w:rPr>
          <w:rFonts w:ascii="Arial" w:hAnsi="Arial" w:cs="Arial"/>
          <w:b/>
          <w:bCs/>
          <w:noProof/>
          <w:sz w:val="24"/>
          <w:szCs w:val="24"/>
          <w:lang w:val="en-GB"/>
        </w:rPr>
        <w:t>Title:</w:t>
      </w:r>
      <w:r w:rsidRPr="00874FD3">
        <w:rPr>
          <w:rFonts w:ascii="Arial" w:hAnsi="Arial" w:cs="Arial"/>
          <w:b/>
          <w:bCs/>
          <w:noProof/>
          <w:sz w:val="24"/>
          <w:lang w:val="en-GB"/>
        </w:rPr>
        <w:tab/>
      </w:r>
      <w:r w:rsidR="000D7282" w:rsidRPr="00874FD3">
        <w:rPr>
          <w:rFonts w:ascii="Arial" w:hAnsi="Arial" w:cs="Arial"/>
          <w:b/>
          <w:bCs/>
          <w:noProof/>
          <w:sz w:val="24"/>
          <w:lang w:val="en-GB"/>
        </w:rPr>
        <w:t>P</w:t>
      </w:r>
      <w:r w:rsidR="002D3A54" w:rsidRPr="00874FD3">
        <w:rPr>
          <w:rFonts w:ascii="Arial" w:hAnsi="Arial" w:cs="Arial"/>
          <w:b/>
          <w:bCs/>
          <w:noProof/>
          <w:sz w:val="24"/>
          <w:lang w:val="en-GB"/>
        </w:rPr>
        <w:t>hysical layer aspects</w:t>
      </w:r>
      <w:r w:rsidR="00816803" w:rsidRPr="00874FD3">
        <w:rPr>
          <w:rFonts w:ascii="Arial" w:hAnsi="Arial" w:cs="Arial"/>
          <w:b/>
          <w:bCs/>
          <w:noProof/>
          <w:sz w:val="24"/>
          <w:lang w:val="en-GB"/>
        </w:rPr>
        <w:t xml:space="preserve"> of dual active protocol stack based HO</w:t>
      </w:r>
    </w:p>
    <w:p w14:paraId="30E02944" w14:textId="60B6B0C7" w:rsidR="0034111C" w:rsidRPr="00874FD3" w:rsidRDefault="0034111C" w:rsidP="16512788">
      <w:pPr>
        <w:rPr>
          <w:rFonts w:ascii="Arial" w:hAnsi="Arial" w:cs="Arial"/>
          <w:b/>
          <w:bCs/>
          <w:noProof/>
          <w:sz w:val="24"/>
          <w:szCs w:val="24"/>
          <w:lang w:val="en-GB"/>
        </w:rPr>
      </w:pPr>
      <w:r w:rsidRPr="00874FD3">
        <w:rPr>
          <w:rFonts w:ascii="Arial" w:hAnsi="Arial" w:cs="Arial"/>
          <w:b/>
          <w:bCs/>
          <w:noProof/>
          <w:sz w:val="24"/>
          <w:szCs w:val="24"/>
          <w:lang w:val="en-GB"/>
        </w:rPr>
        <w:t xml:space="preserve">Document </w:t>
      </w:r>
      <w:r w:rsidR="3E61DC49" w:rsidRPr="00874FD3">
        <w:rPr>
          <w:rFonts w:ascii="Arial" w:hAnsi="Arial" w:cs="Arial"/>
          <w:b/>
          <w:bCs/>
          <w:noProof/>
          <w:sz w:val="24"/>
          <w:szCs w:val="24"/>
          <w:lang w:val="en-GB"/>
        </w:rPr>
        <w:t>for:</w:t>
      </w:r>
      <w:r w:rsidRPr="00874FD3">
        <w:rPr>
          <w:rFonts w:ascii="Arial" w:hAnsi="Arial" w:cs="Arial"/>
          <w:b/>
          <w:bCs/>
          <w:noProof/>
          <w:sz w:val="24"/>
          <w:lang w:val="en-GB"/>
        </w:rPr>
        <w:tab/>
      </w:r>
      <w:r w:rsidR="00220615" w:rsidRPr="00874FD3">
        <w:rPr>
          <w:rFonts w:ascii="Arial" w:hAnsi="Arial" w:cs="Arial"/>
          <w:b/>
          <w:bCs/>
          <w:noProof/>
          <w:sz w:val="24"/>
          <w:lang w:val="en-GB"/>
        </w:rPr>
        <w:tab/>
      </w:r>
      <w:r w:rsidRPr="00874FD3">
        <w:rPr>
          <w:rFonts w:ascii="Arial" w:hAnsi="Arial" w:cs="Arial"/>
          <w:b/>
          <w:bCs/>
          <w:noProof/>
          <w:sz w:val="24"/>
          <w:szCs w:val="24"/>
          <w:lang w:val="en-GB"/>
        </w:rPr>
        <w:t>Discussion and Decision</w:t>
      </w:r>
    </w:p>
    <w:p w14:paraId="7CF7938E" w14:textId="7E19F756" w:rsidR="00ED1327" w:rsidRPr="00874FD3" w:rsidRDefault="00EE7FA7" w:rsidP="00ED1327">
      <w:pPr>
        <w:pStyle w:val="Heading1"/>
        <w:rPr>
          <w:noProof/>
        </w:rPr>
      </w:pPr>
      <w:r w:rsidRPr="00874FD3">
        <w:rPr>
          <w:noProof/>
        </w:rPr>
        <w:t>Introduction</w:t>
      </w:r>
    </w:p>
    <w:p w14:paraId="3F9F87EF" w14:textId="2C448674" w:rsidR="00671655" w:rsidRPr="00874FD3" w:rsidRDefault="00671655" w:rsidP="00A64A6E">
      <w:pPr>
        <w:rPr>
          <w:noProof/>
          <w:lang w:val="en-GB"/>
        </w:rPr>
      </w:pPr>
      <w:bookmarkStart w:id="0" w:name="_Hlk510705081"/>
      <w:r w:rsidRPr="00874FD3">
        <w:rPr>
          <w:noProof/>
          <w:lang w:val="en-GB"/>
        </w:rPr>
        <w:t xml:space="preserve">A new WID on NR mobility enhancements was </w:t>
      </w:r>
      <w:r w:rsidR="00B42C99" w:rsidRPr="00874FD3">
        <w:rPr>
          <w:noProof/>
          <w:lang w:val="en-GB"/>
        </w:rPr>
        <w:t>updated</w:t>
      </w:r>
      <w:r w:rsidRPr="00874FD3">
        <w:rPr>
          <w:noProof/>
          <w:lang w:val="en-GB"/>
        </w:rPr>
        <w:t xml:space="preserve"> in RAN Plenary meeting #8</w:t>
      </w:r>
      <w:r w:rsidR="00B42C99" w:rsidRPr="00874FD3">
        <w:rPr>
          <w:noProof/>
          <w:lang w:val="en-GB"/>
        </w:rPr>
        <w:t>5</w:t>
      </w:r>
      <w:r w:rsidRPr="00874FD3">
        <w:rPr>
          <w:noProof/>
          <w:lang w:val="en-GB"/>
        </w:rPr>
        <w:t xml:space="preserve"> </w:t>
      </w:r>
      <w:r w:rsidRPr="00874FD3">
        <w:rPr>
          <w:noProof/>
          <w:lang w:val="en-GB"/>
        </w:rPr>
        <w:fldChar w:fldCharType="begin"/>
      </w:r>
      <w:r w:rsidRPr="00874FD3">
        <w:rPr>
          <w:noProof/>
          <w:lang w:val="en-GB"/>
        </w:rPr>
        <w:instrText xml:space="preserve"> REF _Ref769929 \r \h </w:instrText>
      </w:r>
      <w:r w:rsidRPr="00874FD3">
        <w:rPr>
          <w:noProof/>
          <w:lang w:val="en-GB"/>
        </w:rPr>
      </w:r>
      <w:r w:rsidRPr="00874FD3">
        <w:rPr>
          <w:noProof/>
          <w:lang w:val="en-GB"/>
        </w:rPr>
        <w:fldChar w:fldCharType="separate"/>
      </w:r>
      <w:r w:rsidR="00281ECA">
        <w:rPr>
          <w:noProof/>
          <w:lang w:val="en-GB"/>
        </w:rPr>
        <w:t>[1]</w:t>
      </w:r>
      <w:r w:rsidRPr="00874FD3">
        <w:rPr>
          <w:noProof/>
          <w:lang w:val="en-GB"/>
        </w:rPr>
        <w:fldChar w:fldCharType="end"/>
      </w:r>
      <w:r w:rsidRPr="00874FD3">
        <w:rPr>
          <w:noProof/>
          <w:lang w:val="en-GB"/>
        </w:rPr>
        <w:t>. The objectives</w:t>
      </w:r>
      <w:r w:rsidR="00703C15" w:rsidRPr="00874FD3">
        <w:rPr>
          <w:noProof/>
          <w:lang w:val="en-GB"/>
        </w:rPr>
        <w:t xml:space="preserve"> to be considered in the</w:t>
      </w:r>
      <w:r w:rsidRPr="00874FD3">
        <w:rPr>
          <w:noProof/>
          <w:lang w:val="en-GB"/>
        </w:rPr>
        <w:t xml:space="preserve"> work item are as follows:</w:t>
      </w:r>
    </w:p>
    <w:tbl>
      <w:tblPr>
        <w:tblStyle w:val="TableGrid"/>
        <w:tblW w:w="0" w:type="auto"/>
        <w:tblLook w:val="04A0" w:firstRow="1" w:lastRow="0" w:firstColumn="1" w:lastColumn="0" w:noHBand="0" w:noVBand="1"/>
      </w:tblPr>
      <w:tblGrid>
        <w:gridCol w:w="9629"/>
      </w:tblGrid>
      <w:tr w:rsidR="00671655" w:rsidRPr="00874FD3" w14:paraId="2578D495" w14:textId="77777777" w:rsidTr="00671655">
        <w:tc>
          <w:tcPr>
            <w:tcW w:w="9629" w:type="dxa"/>
          </w:tcPr>
          <w:p w14:paraId="0C80CA58" w14:textId="77777777" w:rsidR="00B42C99" w:rsidRPr="00874FD3" w:rsidRDefault="00B42C99" w:rsidP="00B42C99">
            <w:pPr>
              <w:pStyle w:val="B1"/>
              <w:numPr>
                <w:ilvl w:val="0"/>
                <w:numId w:val="22"/>
              </w:numPr>
              <w:overflowPunct w:val="0"/>
              <w:autoSpaceDE w:val="0"/>
              <w:autoSpaceDN w:val="0"/>
              <w:adjustRightInd w:val="0"/>
              <w:spacing w:after="180" w:line="240" w:lineRule="auto"/>
              <w:rPr>
                <w:rFonts w:ascii="Times New Roman" w:eastAsia="MS Mincho" w:hAnsi="Times New Roman" w:cs="Times New Roman"/>
                <w:noProof/>
                <w:sz w:val="20"/>
                <w:szCs w:val="20"/>
                <w:lang w:val="en-GB" w:eastAsia="ja-JP"/>
              </w:rPr>
            </w:pPr>
            <w:bookmarkStart w:id="1" w:name="_Hlk16150552"/>
            <w:r w:rsidRPr="00874FD3">
              <w:rPr>
                <w:rFonts w:ascii="Times New Roman" w:hAnsi="Times New Roman" w:cs="Times New Roman"/>
                <w:noProof/>
                <w:lang w:val="en-GB" w:eastAsia="ja-JP"/>
              </w:rPr>
              <w:t>To specify the</w:t>
            </w:r>
            <w:r w:rsidRPr="00874FD3">
              <w:rPr>
                <w:rFonts w:ascii="Times New Roman" w:hAnsi="Times New Roman" w:cs="Times New Roman"/>
                <w:noProof/>
                <w:lang w:val="en-GB"/>
              </w:rPr>
              <w:t xml:space="preserve"> </w:t>
            </w:r>
            <w:r w:rsidRPr="00874FD3">
              <w:rPr>
                <w:rFonts w:ascii="Times New Roman" w:hAnsi="Times New Roman" w:cs="Times New Roman"/>
                <w:noProof/>
                <w:lang w:val="en-GB" w:eastAsia="ja-JP"/>
              </w:rPr>
              <w:t>following solutions agreed during the study phase. [RAN2/RAN1/RAN3/RAN4]:</w:t>
            </w:r>
          </w:p>
          <w:p w14:paraId="43DF3FC0" w14:textId="77777777" w:rsidR="00B42C99" w:rsidRPr="00874FD3" w:rsidRDefault="00B42C99" w:rsidP="00B42C99">
            <w:pPr>
              <w:pStyle w:val="B1"/>
              <w:numPr>
                <w:ilvl w:val="1"/>
                <w:numId w:val="22"/>
              </w:numPr>
              <w:overflowPunct w:val="0"/>
              <w:autoSpaceDE w:val="0"/>
              <w:autoSpaceDN w:val="0"/>
              <w:adjustRightInd w:val="0"/>
              <w:spacing w:after="180" w:line="240" w:lineRule="auto"/>
              <w:rPr>
                <w:rFonts w:ascii="Times New Roman" w:hAnsi="Times New Roman" w:cs="Times New Roman"/>
                <w:noProof/>
                <w:lang w:val="en-GB" w:eastAsia="ja-JP"/>
              </w:rPr>
            </w:pPr>
            <w:r w:rsidRPr="00874FD3">
              <w:rPr>
                <w:rFonts w:ascii="Times New Roman" w:hAnsi="Times New Roman" w:cs="Times New Roman"/>
                <w:noProof/>
                <w:lang w:val="en-GB" w:eastAsia="ja-JP"/>
              </w:rPr>
              <w:t>To reduce interruption time during HO:</w:t>
            </w:r>
          </w:p>
          <w:p w14:paraId="669D81EA" w14:textId="77777777" w:rsidR="00B42C99" w:rsidRPr="00874FD3" w:rsidRDefault="00B42C99" w:rsidP="00B42C99">
            <w:pPr>
              <w:pStyle w:val="B1"/>
              <w:numPr>
                <w:ilvl w:val="2"/>
                <w:numId w:val="22"/>
              </w:numPr>
              <w:overflowPunct w:val="0"/>
              <w:autoSpaceDE w:val="0"/>
              <w:autoSpaceDN w:val="0"/>
              <w:adjustRightInd w:val="0"/>
              <w:spacing w:after="180" w:line="240" w:lineRule="auto"/>
              <w:rPr>
                <w:rFonts w:ascii="Times New Roman" w:hAnsi="Times New Roman" w:cs="Times New Roman"/>
                <w:noProof/>
                <w:lang w:val="en-GB" w:eastAsia="ja-JP"/>
              </w:rPr>
            </w:pPr>
            <w:r w:rsidRPr="00874FD3">
              <w:rPr>
                <w:rFonts w:ascii="Times New Roman" w:hAnsi="Times New Roman" w:cs="Times New Roman"/>
                <w:noProof/>
                <w:lang w:val="en-GB" w:eastAsia="ja-JP"/>
              </w:rPr>
              <w:t xml:space="preserve">Dual active protocol stack based HO interruption time reduction solution; </w:t>
            </w:r>
          </w:p>
          <w:p w14:paraId="438DCDB1" w14:textId="77777777" w:rsidR="00B42C99" w:rsidRPr="00874FD3" w:rsidRDefault="00B42C99" w:rsidP="00B42C99">
            <w:pPr>
              <w:pStyle w:val="B1"/>
              <w:numPr>
                <w:ilvl w:val="1"/>
                <w:numId w:val="22"/>
              </w:numPr>
              <w:overflowPunct w:val="0"/>
              <w:autoSpaceDE w:val="0"/>
              <w:autoSpaceDN w:val="0"/>
              <w:adjustRightInd w:val="0"/>
              <w:spacing w:after="180" w:line="240" w:lineRule="auto"/>
              <w:rPr>
                <w:rFonts w:ascii="Times New Roman" w:hAnsi="Times New Roman" w:cs="Times New Roman"/>
                <w:noProof/>
                <w:lang w:val="en-GB" w:eastAsia="ja-JP"/>
              </w:rPr>
            </w:pPr>
            <w:r w:rsidRPr="00874FD3">
              <w:rPr>
                <w:rFonts w:ascii="Times New Roman" w:hAnsi="Times New Roman" w:cs="Times New Roman"/>
                <w:noProof/>
                <w:lang w:val="en-GB" w:eastAsia="ja-JP"/>
              </w:rPr>
              <w:t>To improve HO/SCG change reliability and robustness:</w:t>
            </w:r>
          </w:p>
          <w:p w14:paraId="3218D76B" w14:textId="77777777" w:rsidR="00B42C99" w:rsidRPr="00874FD3" w:rsidRDefault="00B42C99" w:rsidP="00B42C99">
            <w:pPr>
              <w:pStyle w:val="B1"/>
              <w:numPr>
                <w:ilvl w:val="2"/>
                <w:numId w:val="22"/>
              </w:numPr>
              <w:overflowPunct w:val="0"/>
              <w:autoSpaceDE w:val="0"/>
              <w:autoSpaceDN w:val="0"/>
              <w:adjustRightInd w:val="0"/>
              <w:spacing w:after="180" w:line="240" w:lineRule="auto"/>
              <w:rPr>
                <w:rFonts w:ascii="Times New Roman" w:hAnsi="Times New Roman" w:cs="Times New Roman"/>
                <w:noProof/>
                <w:lang w:val="en-GB" w:eastAsia="ja-JP"/>
              </w:rPr>
            </w:pPr>
            <w:r w:rsidRPr="00874FD3">
              <w:rPr>
                <w:rFonts w:ascii="Times New Roman" w:hAnsi="Times New Roman" w:cs="Times New Roman"/>
                <w:noProof/>
                <w:lang w:val="en-GB" w:eastAsia="ja-JP"/>
              </w:rPr>
              <w:t>Conditional handover for NR PCell change;</w:t>
            </w:r>
          </w:p>
          <w:p w14:paraId="7E0CEEB9" w14:textId="77777777" w:rsidR="00B42C99" w:rsidRPr="00874FD3" w:rsidRDefault="00B42C99" w:rsidP="00B42C99">
            <w:pPr>
              <w:pStyle w:val="B1"/>
              <w:numPr>
                <w:ilvl w:val="2"/>
                <w:numId w:val="22"/>
              </w:numPr>
              <w:overflowPunct w:val="0"/>
              <w:autoSpaceDE w:val="0"/>
              <w:autoSpaceDN w:val="0"/>
              <w:adjustRightInd w:val="0"/>
              <w:spacing w:after="180" w:line="240" w:lineRule="auto"/>
              <w:rPr>
                <w:rFonts w:ascii="Times New Roman" w:hAnsi="Times New Roman" w:cs="Times New Roman"/>
                <w:noProof/>
                <w:lang w:val="en-GB" w:eastAsia="ja-JP"/>
              </w:rPr>
            </w:pPr>
            <w:r w:rsidRPr="00874FD3">
              <w:rPr>
                <w:rFonts w:ascii="Times New Roman" w:hAnsi="Times New Roman" w:cs="Times New Roman"/>
                <w:noProof/>
                <w:lang w:val="en-GB" w:eastAsia="ja-JP"/>
              </w:rPr>
              <w:t>Conditional handover based NR PSCell addition/change for any architecture option with NR PSCell;</w:t>
            </w:r>
          </w:p>
          <w:p w14:paraId="6700D1AD" w14:textId="057EB228" w:rsidR="00671655" w:rsidRPr="00874FD3" w:rsidRDefault="00B42C99" w:rsidP="00B42C99">
            <w:pPr>
              <w:pStyle w:val="B1"/>
              <w:numPr>
                <w:ilvl w:val="2"/>
                <w:numId w:val="22"/>
              </w:numPr>
              <w:overflowPunct w:val="0"/>
              <w:autoSpaceDE w:val="0"/>
              <w:autoSpaceDN w:val="0"/>
              <w:adjustRightInd w:val="0"/>
              <w:spacing w:after="180" w:line="240" w:lineRule="auto"/>
              <w:rPr>
                <w:noProof/>
                <w:lang w:val="en-GB" w:eastAsia="ja-JP"/>
              </w:rPr>
            </w:pPr>
            <w:r w:rsidRPr="00874FD3">
              <w:rPr>
                <w:rFonts w:ascii="Times New Roman" w:hAnsi="Times New Roman" w:cs="Times New Roman"/>
                <w:noProof/>
                <w:lang w:val="en-GB" w:eastAsia="ja-JP"/>
              </w:rPr>
              <w:t>T312 based fast failure recovery (similar to LTE)</w:t>
            </w:r>
          </w:p>
        </w:tc>
      </w:tr>
      <w:bookmarkEnd w:id="1"/>
    </w:tbl>
    <w:p w14:paraId="3BD98312" w14:textId="20F64329" w:rsidR="009211CA" w:rsidRPr="00874FD3" w:rsidRDefault="009211CA" w:rsidP="00A64A6E">
      <w:pPr>
        <w:rPr>
          <w:noProof/>
          <w:lang w:val="en-GB"/>
        </w:rPr>
      </w:pPr>
    </w:p>
    <w:p w14:paraId="3F621760" w14:textId="390D2D0E" w:rsidR="00703C15" w:rsidRPr="00874FD3" w:rsidRDefault="00703C15" w:rsidP="00A64A6E">
      <w:pPr>
        <w:rPr>
          <w:noProof/>
          <w:lang w:val="en-GB"/>
        </w:rPr>
      </w:pPr>
      <w:r w:rsidRPr="00874FD3">
        <w:rPr>
          <w:noProof/>
          <w:lang w:val="en-GB"/>
        </w:rPr>
        <w:t>In this contribution we discuss</w:t>
      </w:r>
      <w:r w:rsidR="00823A7D" w:rsidRPr="00874FD3">
        <w:rPr>
          <w:noProof/>
          <w:lang w:val="en-GB"/>
        </w:rPr>
        <w:t xml:space="preserve"> </w:t>
      </w:r>
      <w:r w:rsidR="009E419D" w:rsidRPr="00874FD3">
        <w:rPr>
          <w:noProof/>
          <w:lang w:val="en-GB"/>
        </w:rPr>
        <w:t xml:space="preserve">the </w:t>
      </w:r>
      <w:r w:rsidR="009211CA" w:rsidRPr="00874FD3">
        <w:rPr>
          <w:noProof/>
          <w:lang w:val="en-GB"/>
        </w:rPr>
        <w:t xml:space="preserve">physical layer aspects of </w:t>
      </w:r>
      <w:r w:rsidR="00B42C99" w:rsidRPr="00874FD3">
        <w:rPr>
          <w:noProof/>
          <w:lang w:val="en-GB"/>
        </w:rPr>
        <w:t>dual active propocol stack based HO interuption time reduction solution</w:t>
      </w:r>
      <w:r w:rsidR="009E419D" w:rsidRPr="00874FD3">
        <w:rPr>
          <w:noProof/>
          <w:lang w:val="en-GB"/>
        </w:rPr>
        <w:t>.</w:t>
      </w:r>
    </w:p>
    <w:p w14:paraId="71230483" w14:textId="3BA4D729" w:rsidR="00305297" w:rsidRPr="00874FD3" w:rsidRDefault="001C1735" w:rsidP="00A23DCA">
      <w:pPr>
        <w:pStyle w:val="Heading1"/>
        <w:rPr>
          <w:noProof/>
        </w:rPr>
      </w:pPr>
      <w:r w:rsidRPr="00874FD3">
        <w:rPr>
          <w:noProof/>
        </w:rPr>
        <w:t>Dual active protocol stack (DAPS) based HO solution</w:t>
      </w:r>
    </w:p>
    <w:bookmarkEnd w:id="0"/>
    <w:p w14:paraId="45F7A882" w14:textId="4F79E93D" w:rsidR="00486371" w:rsidRPr="00874FD3" w:rsidRDefault="00486371" w:rsidP="00486371">
      <w:pPr>
        <w:rPr>
          <w:noProof/>
          <w:lang w:val="en-GB"/>
        </w:rPr>
      </w:pPr>
      <w:r w:rsidRPr="00874FD3">
        <w:rPr>
          <w:noProof/>
          <w:lang w:val="en-GB"/>
        </w:rPr>
        <w:t>In RAN1 meeting #9</w:t>
      </w:r>
      <w:r w:rsidR="001C1735" w:rsidRPr="00874FD3">
        <w:rPr>
          <w:noProof/>
          <w:lang w:val="en-GB"/>
        </w:rPr>
        <w:t>8</w:t>
      </w:r>
      <w:r w:rsidRPr="00874FD3">
        <w:rPr>
          <w:noProof/>
          <w:lang w:val="en-GB"/>
        </w:rPr>
        <w:t xml:space="preserve"> following conclusion was made regarding the </w:t>
      </w:r>
      <w:r w:rsidR="001C1735" w:rsidRPr="00874FD3">
        <w:rPr>
          <w:noProof/>
          <w:lang w:val="en-GB"/>
        </w:rPr>
        <w:t>DAPS based</w:t>
      </w:r>
      <w:r w:rsidRPr="00874FD3">
        <w:rPr>
          <w:noProof/>
          <w:lang w:val="en-GB"/>
        </w:rPr>
        <w:t xml:space="preserve"> HO:</w:t>
      </w:r>
    </w:p>
    <w:tbl>
      <w:tblPr>
        <w:tblStyle w:val="TableGrid"/>
        <w:tblW w:w="0" w:type="auto"/>
        <w:tblLook w:val="04A0" w:firstRow="1" w:lastRow="0" w:firstColumn="1" w:lastColumn="0" w:noHBand="0" w:noVBand="1"/>
      </w:tblPr>
      <w:tblGrid>
        <w:gridCol w:w="9629"/>
      </w:tblGrid>
      <w:tr w:rsidR="00486371" w:rsidRPr="00874FD3" w14:paraId="7845607B" w14:textId="77777777" w:rsidTr="00351303">
        <w:tc>
          <w:tcPr>
            <w:tcW w:w="9629" w:type="dxa"/>
          </w:tcPr>
          <w:p w14:paraId="2DC2A820" w14:textId="77777777" w:rsidR="001C1735" w:rsidRPr="00874FD3" w:rsidRDefault="001C1735" w:rsidP="001C1735">
            <w:pPr>
              <w:spacing w:after="0" w:line="240" w:lineRule="auto"/>
              <w:rPr>
                <w:rFonts w:ascii="Times" w:eastAsia="Batang" w:hAnsi="Times" w:cs="Times New Roman"/>
                <w:b/>
                <w:bCs/>
                <w:noProof/>
                <w:sz w:val="20"/>
                <w:szCs w:val="24"/>
                <w:u w:val="single"/>
                <w:lang w:val="en-GB" w:eastAsia="x-none"/>
              </w:rPr>
            </w:pPr>
            <w:r w:rsidRPr="00874FD3">
              <w:rPr>
                <w:rFonts w:ascii="Times" w:eastAsia="Batang" w:hAnsi="Times" w:cs="Times New Roman"/>
                <w:b/>
                <w:bCs/>
                <w:noProof/>
                <w:sz w:val="20"/>
                <w:szCs w:val="24"/>
                <w:u w:val="single"/>
                <w:lang w:val="en-GB" w:eastAsia="x-none"/>
              </w:rPr>
              <w:t>Conclusion:</w:t>
            </w:r>
          </w:p>
          <w:p w14:paraId="1FB8927E" w14:textId="77777777" w:rsidR="001C1735" w:rsidRPr="00874FD3" w:rsidRDefault="001C1735" w:rsidP="001C1735">
            <w:pPr>
              <w:numPr>
                <w:ilvl w:val="0"/>
                <w:numId w:val="20"/>
              </w:numPr>
              <w:spacing w:after="0" w:line="240" w:lineRule="auto"/>
              <w:rPr>
                <w:rFonts w:ascii="Times New Roman" w:eastAsia="Batang" w:hAnsi="Times New Roman" w:cs="Times New Roman"/>
                <w:noProof/>
                <w:sz w:val="20"/>
                <w:szCs w:val="24"/>
                <w:lang w:val="en-GB" w:eastAsia="zh-CN"/>
              </w:rPr>
            </w:pPr>
            <w:r w:rsidRPr="00874FD3">
              <w:rPr>
                <w:rFonts w:ascii="Times New Roman" w:eastAsia="Batang" w:hAnsi="Times New Roman" w:cs="Times New Roman"/>
                <w:noProof/>
                <w:sz w:val="20"/>
                <w:szCs w:val="24"/>
                <w:lang w:val="en-GB" w:eastAsia="zh-CN"/>
              </w:rPr>
              <w:t>Companies are encouraged to provide views and proposals to complete the physical layer specification in the next meeting for dual active protocol stack (DAPS) based HO solution agreed in RAN2.</w:t>
            </w:r>
          </w:p>
          <w:p w14:paraId="06D8AE77" w14:textId="77777777" w:rsidR="001C1735" w:rsidRPr="00874FD3" w:rsidRDefault="001C1735" w:rsidP="001C1735">
            <w:pPr>
              <w:numPr>
                <w:ilvl w:val="1"/>
                <w:numId w:val="20"/>
              </w:numPr>
              <w:spacing w:after="0" w:line="240" w:lineRule="auto"/>
              <w:rPr>
                <w:rFonts w:ascii="Times" w:eastAsia="Batang" w:hAnsi="Times" w:cs="Times New Roman"/>
                <w:noProof/>
                <w:sz w:val="20"/>
                <w:szCs w:val="24"/>
                <w:lang w:val="en-GB" w:eastAsia="x-none"/>
              </w:rPr>
            </w:pPr>
            <w:r w:rsidRPr="00874FD3">
              <w:rPr>
                <w:rFonts w:ascii="Times New Roman" w:eastAsia="Batang" w:hAnsi="Times New Roman" w:cs="Times New Roman"/>
                <w:noProof/>
                <w:sz w:val="20"/>
                <w:szCs w:val="24"/>
                <w:lang w:val="en-GB" w:eastAsia="zh-CN"/>
              </w:rPr>
              <w:t>The following are list of potential physical layer aspects that may be relevant for discussion:</w:t>
            </w:r>
          </w:p>
          <w:p w14:paraId="41A9B1AB" w14:textId="77777777" w:rsidR="001C1735" w:rsidRPr="00874FD3" w:rsidRDefault="001C1735" w:rsidP="001C1735">
            <w:pPr>
              <w:numPr>
                <w:ilvl w:val="2"/>
                <w:numId w:val="20"/>
              </w:numPr>
              <w:spacing w:after="0" w:line="240" w:lineRule="auto"/>
              <w:rPr>
                <w:rFonts w:ascii="Times New Roman" w:eastAsia="Batang" w:hAnsi="Times New Roman" w:cs="Times New Roman"/>
                <w:noProof/>
                <w:sz w:val="20"/>
                <w:szCs w:val="24"/>
                <w:lang w:val="en-GB" w:eastAsia="x-none"/>
              </w:rPr>
            </w:pPr>
            <w:r w:rsidRPr="00874FD3">
              <w:rPr>
                <w:rFonts w:ascii="Times New Roman" w:eastAsia="Batang" w:hAnsi="Times New Roman" w:cs="Times New Roman"/>
                <w:noProof/>
                <w:sz w:val="20"/>
                <w:szCs w:val="24"/>
                <w:lang w:val="en-GB" w:eastAsia="x-none"/>
              </w:rPr>
              <w:t>How to leverage features supported by Multi-TRP WI</w:t>
            </w:r>
          </w:p>
          <w:p w14:paraId="2611CDEE" w14:textId="77777777" w:rsidR="001C1735" w:rsidRPr="00874FD3" w:rsidRDefault="001C1735" w:rsidP="001C1735">
            <w:pPr>
              <w:numPr>
                <w:ilvl w:val="2"/>
                <w:numId w:val="20"/>
              </w:numPr>
              <w:spacing w:after="0" w:line="240" w:lineRule="auto"/>
              <w:rPr>
                <w:rFonts w:ascii="Times New Roman" w:eastAsia="Batang" w:hAnsi="Times New Roman" w:cs="Times New Roman"/>
                <w:noProof/>
                <w:sz w:val="20"/>
                <w:szCs w:val="24"/>
                <w:lang w:val="en-GB" w:eastAsia="x-none"/>
              </w:rPr>
            </w:pPr>
            <w:r w:rsidRPr="00874FD3">
              <w:rPr>
                <w:rFonts w:ascii="Times New Roman" w:eastAsia="Batang" w:hAnsi="Times New Roman" w:cs="Times New Roman"/>
                <w:noProof/>
                <w:sz w:val="20"/>
                <w:szCs w:val="24"/>
                <w:lang w:val="en-GB" w:eastAsia="x-none"/>
              </w:rPr>
              <w:t>Procedures related to DL/UL operation</w:t>
            </w:r>
          </w:p>
          <w:p w14:paraId="1415F104" w14:textId="77777777" w:rsidR="001C1735" w:rsidRPr="00874FD3" w:rsidRDefault="001C1735" w:rsidP="001C1735">
            <w:pPr>
              <w:numPr>
                <w:ilvl w:val="3"/>
                <w:numId w:val="20"/>
              </w:numPr>
              <w:spacing w:after="0" w:line="240" w:lineRule="auto"/>
              <w:rPr>
                <w:rFonts w:ascii="Times New Roman" w:eastAsia="Batang" w:hAnsi="Times New Roman" w:cs="Times New Roman"/>
                <w:noProof/>
                <w:sz w:val="20"/>
                <w:szCs w:val="24"/>
                <w:lang w:val="en-GB" w:eastAsia="x-none"/>
              </w:rPr>
            </w:pPr>
            <w:r w:rsidRPr="00874FD3">
              <w:rPr>
                <w:rFonts w:ascii="Times New Roman" w:eastAsia="Batang" w:hAnsi="Times New Roman" w:cs="Times New Roman"/>
                <w:noProof/>
                <w:sz w:val="20"/>
                <w:szCs w:val="24"/>
                <w:lang w:val="en-GB" w:eastAsia="x-none"/>
              </w:rPr>
              <w:t>PDCCH monitoring, CORESET, and Search Space configuration for source and target cells</w:t>
            </w:r>
          </w:p>
          <w:p w14:paraId="28CBD9DB" w14:textId="77777777" w:rsidR="001C1735" w:rsidRPr="00874FD3" w:rsidRDefault="001C1735" w:rsidP="001C1735">
            <w:pPr>
              <w:numPr>
                <w:ilvl w:val="3"/>
                <w:numId w:val="20"/>
              </w:numPr>
              <w:spacing w:after="0" w:line="240" w:lineRule="auto"/>
              <w:rPr>
                <w:rFonts w:ascii="Times New Roman" w:eastAsia="Batang" w:hAnsi="Times New Roman" w:cs="Times New Roman"/>
                <w:noProof/>
                <w:sz w:val="20"/>
                <w:szCs w:val="24"/>
                <w:lang w:val="en-GB" w:eastAsia="x-none"/>
              </w:rPr>
            </w:pPr>
            <w:r w:rsidRPr="00874FD3">
              <w:rPr>
                <w:rFonts w:ascii="Times New Roman" w:eastAsia="Batang" w:hAnsi="Times New Roman" w:cs="Times New Roman"/>
                <w:noProof/>
                <w:sz w:val="20"/>
                <w:szCs w:val="24"/>
                <w:lang w:val="en-GB" w:eastAsia="x-none"/>
              </w:rPr>
              <w:t>PDSCH resource allocation and transmission for source and target cells</w:t>
            </w:r>
          </w:p>
          <w:p w14:paraId="2F717143" w14:textId="77777777" w:rsidR="001C1735" w:rsidRPr="00874FD3" w:rsidRDefault="001C1735" w:rsidP="001C1735">
            <w:pPr>
              <w:numPr>
                <w:ilvl w:val="4"/>
                <w:numId w:val="20"/>
              </w:numPr>
              <w:spacing w:after="0" w:line="240" w:lineRule="auto"/>
              <w:rPr>
                <w:rFonts w:ascii="Times New Roman" w:eastAsia="Batang" w:hAnsi="Times New Roman" w:cs="Times New Roman"/>
                <w:noProof/>
                <w:sz w:val="20"/>
                <w:szCs w:val="24"/>
                <w:lang w:val="en-GB" w:eastAsia="x-none"/>
              </w:rPr>
            </w:pPr>
            <w:r w:rsidRPr="00874FD3">
              <w:rPr>
                <w:rFonts w:ascii="Times New Roman" w:eastAsia="Batang" w:hAnsi="Times New Roman" w:cs="Times New Roman"/>
                <w:noProof/>
                <w:sz w:val="20"/>
                <w:szCs w:val="24"/>
                <w:lang w:val="en-GB" w:eastAsia="x-none"/>
              </w:rPr>
              <w:t>How the simultaneous reception is performed, e.g. TDM</w:t>
            </w:r>
          </w:p>
          <w:p w14:paraId="2E12F4DA" w14:textId="77777777" w:rsidR="001C1735" w:rsidRPr="00874FD3" w:rsidRDefault="001C1735" w:rsidP="001C1735">
            <w:pPr>
              <w:numPr>
                <w:ilvl w:val="3"/>
                <w:numId w:val="20"/>
              </w:numPr>
              <w:spacing w:after="0" w:line="240" w:lineRule="auto"/>
              <w:rPr>
                <w:rFonts w:ascii="Times New Roman" w:eastAsia="Batang" w:hAnsi="Times New Roman" w:cs="Times New Roman"/>
                <w:noProof/>
                <w:sz w:val="20"/>
                <w:szCs w:val="24"/>
                <w:lang w:val="en-GB" w:eastAsia="x-none"/>
              </w:rPr>
            </w:pPr>
            <w:r w:rsidRPr="00874FD3">
              <w:rPr>
                <w:rFonts w:ascii="Times New Roman" w:eastAsia="Batang" w:hAnsi="Times New Roman" w:cs="Times New Roman"/>
                <w:noProof/>
                <w:sz w:val="20"/>
                <w:szCs w:val="24"/>
                <w:lang w:val="en-GB" w:eastAsia="x-none"/>
              </w:rPr>
              <w:t>PUSCH resource allocation and transmission</w:t>
            </w:r>
          </w:p>
          <w:p w14:paraId="28481D0C" w14:textId="77777777" w:rsidR="001C1735" w:rsidRPr="00874FD3" w:rsidRDefault="001C1735" w:rsidP="001C1735">
            <w:pPr>
              <w:numPr>
                <w:ilvl w:val="4"/>
                <w:numId w:val="20"/>
              </w:numPr>
              <w:spacing w:after="0" w:line="240" w:lineRule="auto"/>
              <w:rPr>
                <w:rFonts w:ascii="Times New Roman" w:eastAsia="Batang" w:hAnsi="Times New Roman" w:cs="Times New Roman"/>
                <w:noProof/>
                <w:sz w:val="20"/>
                <w:szCs w:val="24"/>
                <w:lang w:val="en-GB" w:eastAsia="x-none"/>
              </w:rPr>
            </w:pPr>
            <w:r w:rsidRPr="00874FD3">
              <w:rPr>
                <w:rFonts w:ascii="Times New Roman" w:eastAsia="Batang" w:hAnsi="Times New Roman" w:cs="Times New Roman"/>
                <w:noProof/>
                <w:sz w:val="20"/>
                <w:szCs w:val="24"/>
                <w:lang w:val="en-GB" w:eastAsia="x-none"/>
              </w:rPr>
              <w:t>How the simultaneous transmission is performed, e.g. TDM</w:t>
            </w:r>
          </w:p>
          <w:p w14:paraId="718F24A1" w14:textId="77777777" w:rsidR="001C1735" w:rsidRPr="00874FD3" w:rsidRDefault="001C1735" w:rsidP="001C1735">
            <w:pPr>
              <w:numPr>
                <w:ilvl w:val="4"/>
                <w:numId w:val="20"/>
              </w:numPr>
              <w:spacing w:after="0" w:line="240" w:lineRule="auto"/>
              <w:rPr>
                <w:rFonts w:ascii="Times New Roman" w:eastAsia="Batang" w:hAnsi="Times New Roman" w:cs="Times New Roman"/>
                <w:noProof/>
                <w:sz w:val="20"/>
                <w:szCs w:val="24"/>
                <w:lang w:val="en-GB" w:eastAsia="x-none"/>
              </w:rPr>
            </w:pPr>
            <w:r w:rsidRPr="00874FD3">
              <w:rPr>
                <w:rFonts w:ascii="Times New Roman" w:eastAsia="Batang" w:hAnsi="Times New Roman" w:cs="Times New Roman"/>
                <w:noProof/>
                <w:sz w:val="20"/>
                <w:szCs w:val="24"/>
                <w:lang w:val="en-GB" w:eastAsia="x-none"/>
              </w:rPr>
              <w:t>Multi-beam PUSCH transmission (e.g. repetition of PUSCH)</w:t>
            </w:r>
          </w:p>
          <w:p w14:paraId="1B7D3B70" w14:textId="77777777" w:rsidR="001C1735" w:rsidRPr="00874FD3" w:rsidRDefault="001C1735" w:rsidP="001C1735">
            <w:pPr>
              <w:numPr>
                <w:ilvl w:val="4"/>
                <w:numId w:val="20"/>
              </w:numPr>
              <w:spacing w:after="0" w:line="240" w:lineRule="auto"/>
              <w:rPr>
                <w:rFonts w:ascii="Times New Roman" w:eastAsia="Batang" w:hAnsi="Times New Roman" w:cs="Times New Roman"/>
                <w:noProof/>
                <w:sz w:val="20"/>
                <w:szCs w:val="24"/>
                <w:lang w:val="en-GB" w:eastAsia="x-none"/>
              </w:rPr>
            </w:pPr>
            <w:r w:rsidRPr="00874FD3">
              <w:rPr>
                <w:rFonts w:ascii="Times New Roman" w:eastAsia="Batang" w:hAnsi="Times New Roman" w:cs="Times New Roman"/>
                <w:noProof/>
                <w:sz w:val="20"/>
                <w:szCs w:val="24"/>
                <w:lang w:val="en-GB" w:eastAsia="x-none"/>
              </w:rPr>
              <w:t>Physical layer functionality needed to support RAN2 agreement, “Simultaneous UL PUSCH transmission does not need to be supported for the HO interruption solution.”.</w:t>
            </w:r>
          </w:p>
          <w:p w14:paraId="2E5DF069" w14:textId="77777777" w:rsidR="001C1735" w:rsidRPr="00874FD3" w:rsidRDefault="001C1735" w:rsidP="001C1735">
            <w:pPr>
              <w:numPr>
                <w:ilvl w:val="3"/>
                <w:numId w:val="20"/>
              </w:numPr>
              <w:spacing w:after="0" w:line="240" w:lineRule="auto"/>
              <w:rPr>
                <w:rFonts w:ascii="Times New Roman" w:eastAsia="Batang" w:hAnsi="Times New Roman" w:cs="Times New Roman"/>
                <w:noProof/>
                <w:sz w:val="20"/>
                <w:szCs w:val="24"/>
                <w:lang w:val="en-GB" w:eastAsia="x-none"/>
              </w:rPr>
            </w:pPr>
            <w:r w:rsidRPr="00874FD3">
              <w:rPr>
                <w:rFonts w:ascii="Times New Roman" w:eastAsia="Batang" w:hAnsi="Times New Roman" w:cs="Times New Roman"/>
                <w:noProof/>
                <w:sz w:val="20"/>
                <w:szCs w:val="24"/>
                <w:lang w:val="en-GB" w:eastAsia="x-none"/>
              </w:rPr>
              <w:t>HARQ-ACK, CSI, SR feedback</w:t>
            </w:r>
          </w:p>
          <w:p w14:paraId="64DCB2E0" w14:textId="77777777" w:rsidR="001C1735" w:rsidRPr="00874FD3" w:rsidRDefault="001C1735" w:rsidP="001C1735">
            <w:pPr>
              <w:numPr>
                <w:ilvl w:val="3"/>
                <w:numId w:val="20"/>
              </w:numPr>
              <w:spacing w:after="0" w:line="240" w:lineRule="auto"/>
              <w:rPr>
                <w:rFonts w:ascii="Times New Roman" w:eastAsia="Batang" w:hAnsi="Times New Roman" w:cs="Times New Roman"/>
                <w:noProof/>
                <w:sz w:val="20"/>
                <w:szCs w:val="24"/>
                <w:lang w:val="en-GB" w:eastAsia="x-none"/>
              </w:rPr>
            </w:pPr>
            <w:r w:rsidRPr="00874FD3">
              <w:rPr>
                <w:rFonts w:ascii="Times New Roman" w:eastAsia="Batang" w:hAnsi="Times New Roman" w:cs="Times New Roman"/>
                <w:noProof/>
                <w:sz w:val="20"/>
                <w:szCs w:val="24"/>
                <w:lang w:val="en-GB" w:eastAsia="x-none"/>
              </w:rPr>
              <w:t>Uplink TA adjustments</w:t>
            </w:r>
          </w:p>
          <w:p w14:paraId="01C72733" w14:textId="77777777" w:rsidR="001C1735" w:rsidRPr="00874FD3" w:rsidRDefault="001C1735" w:rsidP="001C1735">
            <w:pPr>
              <w:numPr>
                <w:ilvl w:val="3"/>
                <w:numId w:val="20"/>
              </w:numPr>
              <w:spacing w:after="0" w:line="240" w:lineRule="auto"/>
              <w:rPr>
                <w:rFonts w:ascii="Times New Roman" w:eastAsia="Batang" w:hAnsi="Times New Roman" w:cs="Times New Roman"/>
                <w:noProof/>
                <w:sz w:val="20"/>
                <w:szCs w:val="24"/>
                <w:lang w:val="en-GB" w:eastAsia="x-none"/>
              </w:rPr>
            </w:pPr>
            <w:r w:rsidRPr="00874FD3">
              <w:rPr>
                <w:rFonts w:ascii="Times New Roman" w:eastAsia="Batang" w:hAnsi="Times New Roman" w:cs="Times New Roman"/>
                <w:noProof/>
                <w:sz w:val="20"/>
                <w:szCs w:val="24"/>
                <w:lang w:val="en-GB" w:eastAsia="x-none"/>
              </w:rPr>
              <w:t xml:space="preserve">Power control for PUSCH/PUCCH/SRS </w:t>
            </w:r>
          </w:p>
          <w:p w14:paraId="5037919D" w14:textId="77777777" w:rsidR="001C1735" w:rsidRPr="00874FD3" w:rsidRDefault="001C1735" w:rsidP="001C1735">
            <w:pPr>
              <w:numPr>
                <w:ilvl w:val="3"/>
                <w:numId w:val="20"/>
              </w:numPr>
              <w:spacing w:after="0" w:line="240" w:lineRule="auto"/>
              <w:rPr>
                <w:rFonts w:ascii="Times New Roman" w:eastAsia="Batang" w:hAnsi="Times New Roman" w:cs="Times New Roman"/>
                <w:noProof/>
                <w:sz w:val="20"/>
                <w:szCs w:val="24"/>
                <w:lang w:val="en-GB" w:eastAsia="x-none"/>
              </w:rPr>
            </w:pPr>
            <w:r w:rsidRPr="00874FD3">
              <w:rPr>
                <w:rFonts w:ascii="Times New Roman" w:eastAsia="Batang" w:hAnsi="Times New Roman" w:cs="Times New Roman"/>
                <w:noProof/>
                <w:sz w:val="20"/>
                <w:szCs w:val="24"/>
                <w:lang w:val="en-GB" w:eastAsia="x-none"/>
              </w:rPr>
              <w:lastRenderedPageBreak/>
              <w:t>Any other Tx/Rx beam related aspects</w:t>
            </w:r>
          </w:p>
          <w:p w14:paraId="7EDA15D1" w14:textId="77777777" w:rsidR="001C1735" w:rsidRPr="00874FD3" w:rsidRDefault="001C1735" w:rsidP="001C1735">
            <w:pPr>
              <w:numPr>
                <w:ilvl w:val="3"/>
                <w:numId w:val="20"/>
              </w:numPr>
              <w:spacing w:after="0" w:line="240" w:lineRule="auto"/>
              <w:rPr>
                <w:rFonts w:ascii="Times New Roman" w:eastAsia="Batang" w:hAnsi="Times New Roman" w:cs="Times New Roman"/>
                <w:noProof/>
                <w:sz w:val="20"/>
                <w:szCs w:val="24"/>
                <w:lang w:val="en-GB" w:eastAsia="x-none"/>
              </w:rPr>
            </w:pPr>
            <w:r w:rsidRPr="00874FD3">
              <w:rPr>
                <w:rFonts w:ascii="Times New Roman" w:eastAsia="Batang" w:hAnsi="Times New Roman" w:cs="Times New Roman"/>
                <w:noProof/>
                <w:sz w:val="20"/>
                <w:szCs w:val="24"/>
                <w:lang w:val="en-GB" w:eastAsia="x-none"/>
              </w:rPr>
              <w:t>Physical layer aspects required to support DAPS based HO solution in FR2 (including determining feasibility and whether or not support feature for FR2)</w:t>
            </w:r>
          </w:p>
          <w:p w14:paraId="0F83E558" w14:textId="77777777" w:rsidR="001C1735" w:rsidRPr="00874FD3" w:rsidRDefault="001C1735" w:rsidP="001C1735">
            <w:pPr>
              <w:numPr>
                <w:ilvl w:val="2"/>
                <w:numId w:val="20"/>
              </w:numPr>
              <w:spacing w:after="0" w:line="240" w:lineRule="auto"/>
              <w:rPr>
                <w:rFonts w:ascii="Times New Roman" w:eastAsia="Batang" w:hAnsi="Times New Roman" w:cs="Times New Roman"/>
                <w:noProof/>
                <w:sz w:val="20"/>
                <w:szCs w:val="24"/>
                <w:lang w:val="en-GB" w:eastAsia="x-none"/>
              </w:rPr>
            </w:pPr>
            <w:r w:rsidRPr="00874FD3">
              <w:rPr>
                <w:rFonts w:ascii="Times New Roman" w:eastAsia="Batang" w:hAnsi="Times New Roman" w:cs="Times New Roman"/>
                <w:noProof/>
                <w:sz w:val="20"/>
                <w:szCs w:val="24"/>
                <w:lang w:val="en-GB" w:eastAsia="x-none"/>
              </w:rPr>
              <w:t>UE capability aspects</w:t>
            </w:r>
          </w:p>
          <w:p w14:paraId="64785AEF" w14:textId="67C14A7D" w:rsidR="00486371" w:rsidRPr="00874FD3" w:rsidRDefault="00486371" w:rsidP="00351303">
            <w:pPr>
              <w:ind w:left="568" w:hanging="284"/>
              <w:rPr>
                <w:rFonts w:eastAsia="MS Mincho" w:cs="Calibri"/>
                <w:noProof/>
                <w:lang w:val="en-GB" w:eastAsia="zh-CN"/>
              </w:rPr>
            </w:pPr>
          </w:p>
        </w:tc>
      </w:tr>
    </w:tbl>
    <w:p w14:paraId="5108497A" w14:textId="77777777" w:rsidR="00486371" w:rsidRPr="00874FD3" w:rsidRDefault="00486371" w:rsidP="00FA43D5">
      <w:pPr>
        <w:rPr>
          <w:noProof/>
          <w:lang w:val="en-GB"/>
        </w:rPr>
      </w:pPr>
    </w:p>
    <w:p w14:paraId="5E2BD8D1" w14:textId="42A11D48" w:rsidR="00263676" w:rsidRPr="00874FD3" w:rsidRDefault="00263676" w:rsidP="00FA43D5">
      <w:pPr>
        <w:rPr>
          <w:noProof/>
          <w:lang w:val="en-GB"/>
        </w:rPr>
      </w:pPr>
    </w:p>
    <w:p w14:paraId="2B75880D" w14:textId="2FECF6C2" w:rsidR="00655628" w:rsidRPr="00874FD3" w:rsidRDefault="00263676" w:rsidP="00FA43D5">
      <w:pPr>
        <w:rPr>
          <w:noProof/>
          <w:lang w:val="en-GB"/>
        </w:rPr>
      </w:pPr>
      <w:r w:rsidRPr="00874FD3">
        <w:rPr>
          <w:noProof/>
          <w:lang w:val="en-GB"/>
        </w:rPr>
        <w:t>In below discussion we make an assumption that the DAPS based HO follows the general principles of HO (i.e. Reconfiguration with synch) apart the fact that UE maintans connection to both target and source cell simultaneously</w:t>
      </w:r>
      <w:r w:rsidR="00D00E44" w:rsidRPr="00874FD3">
        <w:rPr>
          <w:noProof/>
          <w:lang w:val="en-GB"/>
        </w:rPr>
        <w:t>.</w:t>
      </w:r>
      <w:r w:rsidR="006C3774">
        <w:rPr>
          <w:noProof/>
          <w:lang w:val="en-GB"/>
        </w:rPr>
        <w:t xml:space="preserve"> Note that the following discussion is mostly from FR1 perspective, as for FR2 it would seem that TDM based approach is required due to spatial domain restrictions.</w:t>
      </w:r>
    </w:p>
    <w:p w14:paraId="4FDAD320" w14:textId="646AFD20" w:rsidR="007E20F0" w:rsidRPr="00874FD3" w:rsidRDefault="007E20F0" w:rsidP="00751E82">
      <w:pPr>
        <w:rPr>
          <w:b/>
          <w:noProof/>
          <w:lang w:val="en-GB"/>
        </w:rPr>
      </w:pPr>
    </w:p>
    <w:p w14:paraId="6CB3C179" w14:textId="2705DA72" w:rsidR="00981E17" w:rsidRPr="00874FD3" w:rsidRDefault="00981E17" w:rsidP="00981E17">
      <w:pPr>
        <w:pStyle w:val="Heading2"/>
        <w:rPr>
          <w:noProof/>
        </w:rPr>
      </w:pPr>
      <w:r w:rsidRPr="00874FD3">
        <w:rPr>
          <w:noProof/>
        </w:rPr>
        <w:t>Bandwidt</w:t>
      </w:r>
      <w:r w:rsidR="00816803" w:rsidRPr="00874FD3">
        <w:rPr>
          <w:noProof/>
        </w:rPr>
        <w:t>h</w:t>
      </w:r>
      <w:r w:rsidRPr="00874FD3">
        <w:rPr>
          <w:noProof/>
        </w:rPr>
        <w:t xml:space="preserve"> related configurations</w:t>
      </w:r>
    </w:p>
    <w:p w14:paraId="4F9157EF" w14:textId="4CAB3241" w:rsidR="00C3387A" w:rsidRPr="00874FD3" w:rsidRDefault="00C3387A" w:rsidP="00C3387A">
      <w:pPr>
        <w:rPr>
          <w:noProof/>
          <w:lang w:val="en-GB"/>
        </w:rPr>
      </w:pPr>
      <w:r w:rsidRPr="00874FD3">
        <w:rPr>
          <w:noProof/>
          <w:lang w:val="en-GB"/>
        </w:rPr>
        <w:t xml:space="preserve">In RAN1#96bis RAN1 responded to RAN2 LS on the feasibility of different simultaneous connectivity scenarios </w:t>
      </w:r>
      <w:r w:rsidRPr="00874FD3">
        <w:rPr>
          <w:noProof/>
          <w:lang w:val="en-GB"/>
        </w:rPr>
        <w:fldChar w:fldCharType="begin"/>
      </w:r>
      <w:r w:rsidRPr="00874FD3">
        <w:rPr>
          <w:noProof/>
          <w:lang w:val="en-GB"/>
        </w:rPr>
        <w:instrText xml:space="preserve"> REF _Ref7542162 \r \h </w:instrText>
      </w:r>
      <w:r w:rsidRPr="00874FD3">
        <w:rPr>
          <w:noProof/>
          <w:lang w:val="en-GB"/>
        </w:rPr>
      </w:r>
      <w:r w:rsidRPr="00874FD3">
        <w:rPr>
          <w:noProof/>
          <w:lang w:val="en-GB"/>
        </w:rPr>
        <w:fldChar w:fldCharType="separate"/>
      </w:r>
      <w:r w:rsidR="00281ECA">
        <w:rPr>
          <w:noProof/>
          <w:lang w:val="en-GB"/>
        </w:rPr>
        <w:t>[2]</w:t>
      </w:r>
      <w:r w:rsidRPr="00874FD3">
        <w:rPr>
          <w:noProof/>
          <w:lang w:val="en-GB"/>
        </w:rPr>
        <w:fldChar w:fldCharType="end"/>
      </w:r>
      <w:r w:rsidRPr="00874FD3">
        <w:rPr>
          <w:noProof/>
          <w:lang w:val="en-GB"/>
        </w:rPr>
        <w:t xml:space="preserve">. In this section we discuss some of the open issues </w:t>
      </w:r>
      <w:r w:rsidR="004F72A4">
        <w:rPr>
          <w:noProof/>
          <w:lang w:val="en-GB"/>
        </w:rPr>
        <w:t>for</w:t>
      </w:r>
      <w:r w:rsidR="004F72A4" w:rsidRPr="00874FD3">
        <w:rPr>
          <w:noProof/>
          <w:lang w:val="en-GB"/>
        </w:rPr>
        <w:t xml:space="preserve"> </w:t>
      </w:r>
      <w:r w:rsidRPr="00874FD3">
        <w:rPr>
          <w:noProof/>
          <w:lang w:val="en-GB"/>
        </w:rPr>
        <w:t>FR1.</w:t>
      </w:r>
    </w:p>
    <w:p w14:paraId="15E753E7" w14:textId="34362C9A" w:rsidR="00C3387A" w:rsidRPr="00874FD3" w:rsidRDefault="00C3387A" w:rsidP="00C3387A">
      <w:pPr>
        <w:rPr>
          <w:noProof/>
          <w:lang w:val="en-GB"/>
        </w:rPr>
      </w:pPr>
      <w:r w:rsidRPr="00874FD3">
        <w:rPr>
          <w:noProof/>
          <w:lang w:val="en-GB"/>
        </w:rPr>
        <w:t>One of the open issue that was not concluded was the impact ot BWP configurations in case of FR1 intra-band intra- and inter-freque</w:t>
      </w:r>
      <w:r w:rsidR="002E208C">
        <w:rPr>
          <w:noProof/>
          <w:lang w:val="en-GB"/>
        </w:rPr>
        <w:t>nc</w:t>
      </w:r>
      <w:r w:rsidRPr="00874FD3">
        <w:rPr>
          <w:noProof/>
          <w:lang w:val="en-GB"/>
        </w:rPr>
        <w:t xml:space="preserve">cy. The feasibility </w:t>
      </w:r>
      <w:r w:rsidR="00766C4D">
        <w:rPr>
          <w:noProof/>
          <w:lang w:val="en-GB"/>
        </w:rPr>
        <w:t xml:space="preserve">of </w:t>
      </w:r>
      <w:r w:rsidRPr="00874FD3">
        <w:rPr>
          <w:noProof/>
          <w:lang w:val="en-GB"/>
        </w:rPr>
        <w:t>simultaneous transmission and reception in these cases was based on the assumption that the UE supports the considered band combination as part of CA and/or DC. For inter-frquency case, for a device that supports the said carrier combination e.g. based on CA, it would appear to be possible to configure the bandwidth of the BWP also independently</w:t>
      </w:r>
      <w:r w:rsidR="00522996" w:rsidRPr="00874FD3">
        <w:rPr>
          <w:noProof/>
          <w:lang w:val="en-GB"/>
        </w:rPr>
        <w:t xml:space="preserve"> (apart for the subcarrier spacing if the UE does not support ’</w:t>
      </w:r>
      <w:r w:rsidR="00522996" w:rsidRPr="00874FD3">
        <w:rPr>
          <w:i/>
          <w:noProof/>
          <w:lang w:val="en-GB"/>
        </w:rPr>
        <w:t>supportedSubCarrierUL/DL</w:t>
      </w:r>
      <w:r w:rsidR="00522996" w:rsidRPr="00874FD3">
        <w:rPr>
          <w:noProof/>
          <w:lang w:val="en-GB"/>
        </w:rPr>
        <w:t>’)</w:t>
      </w:r>
      <w:r w:rsidRPr="00874FD3">
        <w:rPr>
          <w:noProof/>
          <w:lang w:val="en-GB"/>
        </w:rPr>
        <w:t xml:space="preserve">. </w:t>
      </w:r>
    </w:p>
    <w:p w14:paraId="668A83DB" w14:textId="440CC483" w:rsidR="00C3387A" w:rsidRPr="000A6E32" w:rsidRDefault="00830B06" w:rsidP="00C3387A">
      <w:pPr>
        <w:rPr>
          <w:noProof/>
          <w:lang w:val="en-GB"/>
        </w:rPr>
      </w:pPr>
      <w:r w:rsidRPr="005C7EDB">
        <w:rPr>
          <w:b/>
          <w:noProof/>
          <w:lang w:val="en-GB"/>
        </w:rPr>
        <w:t>Proposal</w:t>
      </w:r>
      <w:r w:rsidR="00C3387A" w:rsidRPr="005C7EDB">
        <w:rPr>
          <w:b/>
          <w:noProof/>
          <w:lang w:val="en-GB"/>
        </w:rPr>
        <w:t>:</w:t>
      </w:r>
      <w:r w:rsidR="00C3387A" w:rsidRPr="000A6E32">
        <w:rPr>
          <w:noProof/>
          <w:lang w:val="en-GB"/>
        </w:rPr>
        <w:t xml:space="preserve"> For FR1 intra-band inter-frequency case it should be possible to configure the BWPs independently</w:t>
      </w:r>
      <w:r w:rsidR="00522996" w:rsidRPr="000A6E32">
        <w:rPr>
          <w:noProof/>
          <w:lang w:val="en-GB"/>
        </w:rPr>
        <w:t xml:space="preserve">, expect for subcarreir spacing which is pending on the </w:t>
      </w:r>
      <w:r w:rsidR="00A5675E" w:rsidRPr="000A6E32">
        <w:rPr>
          <w:noProof/>
          <w:lang w:val="en-GB"/>
        </w:rPr>
        <w:t>UE capability</w:t>
      </w:r>
      <w:r w:rsidR="00C3387A" w:rsidRPr="000A6E32">
        <w:rPr>
          <w:noProof/>
          <w:lang w:val="en-GB"/>
        </w:rPr>
        <w:t>.</w:t>
      </w:r>
    </w:p>
    <w:p w14:paraId="154AD423" w14:textId="1CE65BA5" w:rsidR="00522996" w:rsidRPr="00874FD3" w:rsidRDefault="00C3387A" w:rsidP="00522996">
      <w:pPr>
        <w:rPr>
          <w:noProof/>
          <w:lang w:val="en-GB"/>
        </w:rPr>
      </w:pPr>
      <w:r w:rsidRPr="00874FD3">
        <w:rPr>
          <w:noProof/>
          <w:lang w:val="en-GB"/>
        </w:rPr>
        <w:t>In case of intra-frequency, it would seem neccesary that the BWP configuratons would overlap, while it does not yet imply that the BWPs need to have the same bandwidt</w:t>
      </w:r>
      <w:r w:rsidR="00EF22CF">
        <w:rPr>
          <w:noProof/>
          <w:lang w:val="en-GB"/>
        </w:rPr>
        <w:t>h</w:t>
      </w:r>
      <w:r w:rsidRPr="00874FD3">
        <w:rPr>
          <w:noProof/>
          <w:lang w:val="en-GB"/>
        </w:rPr>
        <w:t>.</w:t>
      </w:r>
      <w:r w:rsidR="00522996" w:rsidRPr="00874FD3">
        <w:rPr>
          <w:noProof/>
          <w:lang w:val="en-GB"/>
        </w:rPr>
        <w:t xml:space="preserve"> In </w:t>
      </w:r>
      <w:r w:rsidR="00522996" w:rsidRPr="00874FD3">
        <w:rPr>
          <w:noProof/>
          <w:lang w:val="en-GB"/>
        </w:rPr>
        <w:fldChar w:fldCharType="begin"/>
      </w:r>
      <w:r w:rsidR="00522996" w:rsidRPr="00874FD3">
        <w:rPr>
          <w:noProof/>
          <w:lang w:val="en-GB"/>
        </w:rPr>
        <w:instrText xml:space="preserve"> REF _Ref20816396 \r \h </w:instrText>
      </w:r>
      <w:r w:rsidR="00522996" w:rsidRPr="00874FD3">
        <w:rPr>
          <w:noProof/>
          <w:lang w:val="en-GB"/>
        </w:rPr>
      </w:r>
      <w:r w:rsidR="00522996" w:rsidRPr="00874FD3">
        <w:rPr>
          <w:noProof/>
          <w:lang w:val="en-GB"/>
        </w:rPr>
        <w:fldChar w:fldCharType="separate"/>
      </w:r>
      <w:r w:rsidR="00281ECA">
        <w:rPr>
          <w:noProof/>
          <w:lang w:val="en-GB"/>
        </w:rPr>
        <w:t>[3]</w:t>
      </w:r>
      <w:r w:rsidR="00522996" w:rsidRPr="00874FD3">
        <w:rPr>
          <w:noProof/>
          <w:lang w:val="en-GB"/>
        </w:rPr>
        <w:fldChar w:fldCharType="end"/>
      </w:r>
      <w:r w:rsidR="00522996" w:rsidRPr="00874FD3">
        <w:rPr>
          <w:noProof/>
          <w:lang w:val="en-GB"/>
        </w:rPr>
        <w:t xml:space="preserve"> RAN4 also concluded that if the source bandwidht is wider than the target, then the simultaneous reception is feasible. </w:t>
      </w:r>
    </w:p>
    <w:p w14:paraId="47DFEE72" w14:textId="174DDFEB" w:rsidR="00C3387A" w:rsidRPr="000A6E32" w:rsidRDefault="00830B06" w:rsidP="00C3387A">
      <w:pPr>
        <w:rPr>
          <w:noProof/>
          <w:lang w:val="en-GB"/>
        </w:rPr>
      </w:pPr>
      <w:r w:rsidRPr="007E575F">
        <w:rPr>
          <w:b/>
          <w:noProof/>
          <w:lang w:val="en-GB"/>
        </w:rPr>
        <w:t>Proposal</w:t>
      </w:r>
      <w:r w:rsidR="00C3387A" w:rsidRPr="00181DB6">
        <w:rPr>
          <w:b/>
          <w:noProof/>
          <w:lang w:val="en-GB"/>
        </w:rPr>
        <w:t>:</w:t>
      </w:r>
      <w:r w:rsidR="00C3387A" w:rsidRPr="000A6E32">
        <w:rPr>
          <w:noProof/>
          <w:lang w:val="en-GB"/>
        </w:rPr>
        <w:t xml:space="preserve"> For FR1 intra-band intra-frequency case the BWPs should overlap, but not neccesarily have same bandwidth.</w:t>
      </w:r>
    </w:p>
    <w:p w14:paraId="74CB6CBE" w14:textId="35D84B46" w:rsidR="00C3387A" w:rsidRPr="00874FD3" w:rsidRDefault="00C3387A" w:rsidP="00C3387A">
      <w:pPr>
        <w:rPr>
          <w:noProof/>
          <w:lang w:val="en-GB"/>
        </w:rPr>
      </w:pPr>
      <w:r w:rsidRPr="00874FD3">
        <w:rPr>
          <w:noProof/>
          <w:lang w:val="en-GB"/>
        </w:rPr>
        <w:t>F</w:t>
      </w:r>
      <w:r w:rsidR="00816803" w:rsidRPr="00874FD3">
        <w:rPr>
          <w:noProof/>
          <w:lang w:val="en-GB"/>
        </w:rPr>
        <w:t>urther f</w:t>
      </w:r>
      <w:r w:rsidRPr="00874FD3">
        <w:rPr>
          <w:noProof/>
          <w:lang w:val="en-GB"/>
        </w:rPr>
        <w:t>or intra-frequency case, it was noted part of the feasibility analysis</w:t>
      </w:r>
      <w:r w:rsidR="00230115" w:rsidRPr="00874FD3">
        <w:rPr>
          <w:noProof/>
          <w:lang w:val="en-GB"/>
        </w:rPr>
        <w:t xml:space="preserve"> </w:t>
      </w:r>
      <w:r w:rsidR="00230115" w:rsidRPr="00874FD3">
        <w:rPr>
          <w:noProof/>
          <w:lang w:val="en-GB"/>
        </w:rPr>
        <w:fldChar w:fldCharType="begin"/>
      </w:r>
      <w:r w:rsidR="00230115" w:rsidRPr="00874FD3">
        <w:rPr>
          <w:noProof/>
          <w:lang w:val="en-GB"/>
        </w:rPr>
        <w:instrText xml:space="preserve"> REF _Ref7542162 \r \h </w:instrText>
      </w:r>
      <w:r w:rsidR="00230115" w:rsidRPr="00874FD3">
        <w:rPr>
          <w:noProof/>
          <w:lang w:val="en-GB"/>
        </w:rPr>
      </w:r>
      <w:r w:rsidR="00230115" w:rsidRPr="00874FD3">
        <w:rPr>
          <w:noProof/>
          <w:lang w:val="en-GB"/>
        </w:rPr>
        <w:fldChar w:fldCharType="separate"/>
      </w:r>
      <w:r w:rsidR="00281ECA">
        <w:rPr>
          <w:noProof/>
          <w:lang w:val="en-GB"/>
        </w:rPr>
        <w:t>[2]</w:t>
      </w:r>
      <w:r w:rsidR="00230115" w:rsidRPr="00874FD3">
        <w:rPr>
          <w:noProof/>
          <w:lang w:val="en-GB"/>
        </w:rPr>
        <w:fldChar w:fldCharType="end"/>
      </w:r>
      <w:r w:rsidRPr="00874FD3">
        <w:rPr>
          <w:noProof/>
          <w:lang w:val="en-GB"/>
        </w:rPr>
        <w:t xml:space="preserve"> that the PRB grid needs to be aligned. It was left open whether this assumption implies that also the PointA would need </w:t>
      </w:r>
      <w:r w:rsidR="00181DB6">
        <w:rPr>
          <w:noProof/>
          <w:lang w:val="en-GB"/>
        </w:rPr>
        <w:t xml:space="preserve">to be </w:t>
      </w:r>
      <w:r w:rsidRPr="00874FD3">
        <w:rPr>
          <w:noProof/>
          <w:lang w:val="en-GB"/>
        </w:rPr>
        <w:t>aligned or whether it is enough that these are separated by integer number of PRBs (to align</w:t>
      </w:r>
      <w:r w:rsidR="00816803" w:rsidRPr="00874FD3">
        <w:rPr>
          <w:noProof/>
          <w:lang w:val="en-GB"/>
        </w:rPr>
        <w:t xml:space="preserve"> the data PRB grids</w:t>
      </w:r>
      <w:r w:rsidRPr="00874FD3">
        <w:rPr>
          <w:noProof/>
          <w:lang w:val="en-GB"/>
        </w:rPr>
        <w:t xml:space="preserve">). Correspondingly it was not concluded whether </w:t>
      </w:r>
      <w:r w:rsidRPr="00874FD3">
        <w:rPr>
          <w:i/>
          <w:noProof/>
          <w:lang w:val="en-GB"/>
        </w:rPr>
        <w:t>SCS-SpecificCarrier</w:t>
      </w:r>
      <w:r w:rsidRPr="00874FD3">
        <w:rPr>
          <w:noProof/>
          <w:lang w:val="en-GB"/>
        </w:rPr>
        <w:t>(s) for the given numerology (or other numerologies</w:t>
      </w:r>
      <w:r w:rsidR="00816B18" w:rsidRPr="00874FD3">
        <w:rPr>
          <w:noProof/>
          <w:lang w:val="en-GB"/>
        </w:rPr>
        <w:t>)</w:t>
      </w:r>
      <w:r w:rsidRPr="00874FD3">
        <w:rPr>
          <w:noProof/>
          <w:lang w:val="en-GB"/>
        </w:rPr>
        <w:t xml:space="preserve"> would need to be </w:t>
      </w:r>
      <w:r w:rsidR="00816B18" w:rsidRPr="00874FD3">
        <w:rPr>
          <w:noProof/>
          <w:lang w:val="en-GB"/>
        </w:rPr>
        <w:t>identical</w:t>
      </w:r>
      <w:r w:rsidRPr="00874FD3">
        <w:rPr>
          <w:noProof/>
          <w:lang w:val="en-GB"/>
        </w:rPr>
        <w:t xml:space="preserve">. As this is not currently required for intra-frequency cells (SS/PBCH block frequency location and scs are of course to be aligned), and if the BWPs on the two cells are overlapping, it does not seem neccesary that the </w:t>
      </w:r>
      <w:r w:rsidRPr="00874FD3">
        <w:rPr>
          <w:i/>
          <w:noProof/>
          <w:lang w:val="en-GB"/>
        </w:rPr>
        <w:t>SCS-SpecificCarrier</w:t>
      </w:r>
      <w:r w:rsidRPr="00874FD3">
        <w:rPr>
          <w:noProof/>
          <w:lang w:val="en-GB"/>
        </w:rPr>
        <w:t xml:space="preserve"> nor PointA location to be aligned between the cells.</w:t>
      </w:r>
      <w:r w:rsidR="00492B69" w:rsidRPr="00874FD3">
        <w:rPr>
          <w:noProof/>
          <w:lang w:val="en-GB"/>
        </w:rPr>
        <w:t xml:space="preserve"> Of course it would need to be ensured that the active BWP of one cell would not fall outside the SCS-Spe</w:t>
      </w:r>
      <w:r w:rsidR="00A870F9">
        <w:rPr>
          <w:noProof/>
          <w:lang w:val="en-GB"/>
        </w:rPr>
        <w:t>c</w:t>
      </w:r>
      <w:r w:rsidR="00492B69" w:rsidRPr="00874FD3">
        <w:rPr>
          <w:noProof/>
          <w:lang w:val="en-GB"/>
        </w:rPr>
        <w:t>ificCarrier of the other cell i.e. resulting issues with assumed adjacent channel attentuation.</w:t>
      </w:r>
    </w:p>
    <w:p w14:paraId="3B17B35A" w14:textId="54320C4C" w:rsidR="00C3387A" w:rsidRPr="000A6E32" w:rsidRDefault="00C3387A" w:rsidP="00C3387A">
      <w:pPr>
        <w:rPr>
          <w:noProof/>
          <w:lang w:val="en-GB"/>
        </w:rPr>
      </w:pPr>
      <w:r w:rsidRPr="00300536">
        <w:rPr>
          <w:b/>
          <w:noProof/>
          <w:lang w:val="en-GB"/>
        </w:rPr>
        <w:t>Observation</w:t>
      </w:r>
      <w:r w:rsidRPr="001F4EC8">
        <w:rPr>
          <w:b/>
          <w:noProof/>
          <w:lang w:val="en-GB"/>
        </w:rPr>
        <w:t>:</w:t>
      </w:r>
      <w:r w:rsidRPr="000A6E32">
        <w:rPr>
          <w:noProof/>
          <w:lang w:val="en-GB"/>
        </w:rPr>
        <w:t xml:space="preserve"> In FR1 intra-band intra-frequency case, it would not seem neccesary to align </w:t>
      </w:r>
      <w:r w:rsidRPr="000A6E32">
        <w:rPr>
          <w:i/>
          <w:noProof/>
          <w:lang w:val="en-GB"/>
        </w:rPr>
        <w:t>SCS-SpecificCarrier</w:t>
      </w:r>
      <w:r w:rsidRPr="000A6E32">
        <w:rPr>
          <w:noProof/>
          <w:lang w:val="en-GB"/>
        </w:rPr>
        <w:t xml:space="preserve"> nor PointA location between the cells.</w:t>
      </w:r>
      <w:r w:rsidR="00230115" w:rsidRPr="000A6E32">
        <w:rPr>
          <w:noProof/>
          <w:lang w:val="en-GB"/>
        </w:rPr>
        <w:t xml:space="preserve"> The active BWPs need to fall within the SCS-Spe</w:t>
      </w:r>
      <w:r w:rsidR="001F4EC8">
        <w:rPr>
          <w:b/>
          <w:noProof/>
          <w:lang w:val="en-GB"/>
        </w:rPr>
        <w:t>c</w:t>
      </w:r>
      <w:r w:rsidR="00230115" w:rsidRPr="000A6E32">
        <w:rPr>
          <w:noProof/>
          <w:lang w:val="en-GB"/>
        </w:rPr>
        <w:t xml:space="preserve">ificCarrier of both </w:t>
      </w:r>
      <w:r w:rsidR="00217114" w:rsidRPr="000A6E32">
        <w:rPr>
          <w:noProof/>
          <w:lang w:val="en-GB"/>
        </w:rPr>
        <w:t>source and target</w:t>
      </w:r>
      <w:r w:rsidR="00217114">
        <w:rPr>
          <w:b/>
          <w:noProof/>
          <w:lang w:val="en-GB"/>
        </w:rPr>
        <w:t xml:space="preserve"> </w:t>
      </w:r>
      <w:r w:rsidR="00230115" w:rsidRPr="000A6E32">
        <w:rPr>
          <w:noProof/>
          <w:lang w:val="en-GB"/>
        </w:rPr>
        <w:t>cells</w:t>
      </w:r>
      <w:r w:rsidR="00217114">
        <w:rPr>
          <w:b/>
          <w:noProof/>
          <w:lang w:val="en-GB"/>
        </w:rPr>
        <w:t>.</w:t>
      </w:r>
      <w:r w:rsidR="00230115" w:rsidRPr="000A6E32">
        <w:rPr>
          <w:noProof/>
          <w:lang w:val="en-GB"/>
        </w:rPr>
        <w:t>.</w:t>
      </w:r>
    </w:p>
    <w:p w14:paraId="17486721" w14:textId="233E7217" w:rsidR="00C3387A" w:rsidRPr="00874FD3" w:rsidRDefault="00C3387A" w:rsidP="00C3387A">
      <w:pPr>
        <w:rPr>
          <w:noProof/>
          <w:lang w:val="en-GB"/>
        </w:rPr>
      </w:pPr>
      <w:r w:rsidRPr="00874FD3">
        <w:rPr>
          <w:noProof/>
          <w:lang w:val="en-GB"/>
        </w:rPr>
        <w:lastRenderedPageBreak/>
        <w:t xml:space="preserve">For the </w:t>
      </w:r>
      <w:r w:rsidR="00816803" w:rsidRPr="00874FD3">
        <w:rPr>
          <w:noProof/>
          <w:lang w:val="en-GB"/>
        </w:rPr>
        <w:t xml:space="preserve">intra-frequency </w:t>
      </w:r>
      <w:r w:rsidRPr="00874FD3">
        <w:rPr>
          <w:noProof/>
          <w:lang w:val="en-GB"/>
        </w:rPr>
        <w:t>simultaneus transmission</w:t>
      </w:r>
      <w:r w:rsidR="00816803" w:rsidRPr="00874FD3">
        <w:rPr>
          <w:noProof/>
          <w:lang w:val="en-GB"/>
        </w:rPr>
        <w:t>,</w:t>
      </w:r>
      <w:r w:rsidRPr="00874FD3">
        <w:rPr>
          <w:noProof/>
          <w:lang w:val="en-GB"/>
        </w:rPr>
        <w:t xml:space="preserve"> it would appear also that the DC sub-carrier location would need to be aligned for the two cells, i.e. </w:t>
      </w:r>
      <w:r w:rsidRPr="00874FD3">
        <w:rPr>
          <w:i/>
          <w:noProof/>
          <w:lang w:val="en-GB"/>
        </w:rPr>
        <w:t xml:space="preserve">txDirectCurrentLocation </w:t>
      </w:r>
      <w:r w:rsidRPr="00874FD3">
        <w:rPr>
          <w:noProof/>
          <w:lang w:val="en-GB"/>
        </w:rPr>
        <w:t xml:space="preserve">in the </w:t>
      </w:r>
      <w:r w:rsidRPr="00874FD3">
        <w:rPr>
          <w:i/>
          <w:noProof/>
          <w:lang w:val="en-GB"/>
        </w:rPr>
        <w:t>UplinkTxDirectCurrentBWP</w:t>
      </w:r>
      <w:r w:rsidRPr="00874FD3">
        <w:rPr>
          <w:noProof/>
          <w:lang w:val="en-GB"/>
        </w:rPr>
        <w:t xml:space="preserve"> configurations would need to be aligned.</w:t>
      </w:r>
    </w:p>
    <w:p w14:paraId="4FA911E3" w14:textId="6831E57F" w:rsidR="00C3387A" w:rsidRPr="000A6E32" w:rsidRDefault="00C3387A" w:rsidP="00C3387A">
      <w:pPr>
        <w:rPr>
          <w:noProof/>
          <w:lang w:val="en-GB"/>
        </w:rPr>
      </w:pPr>
      <w:r w:rsidRPr="00035F06">
        <w:rPr>
          <w:b/>
          <w:noProof/>
          <w:lang w:val="en-GB"/>
        </w:rPr>
        <w:t>Observation:</w:t>
      </w:r>
      <w:r w:rsidRPr="000A6E32">
        <w:rPr>
          <w:noProof/>
          <w:lang w:val="en-GB"/>
        </w:rPr>
        <w:t xml:space="preserve"> For simultaneoues transmission to two cells in case of intra-band intra-frequency, the DC locations need to be aligned.</w:t>
      </w:r>
    </w:p>
    <w:p w14:paraId="32484B54" w14:textId="3599F336" w:rsidR="00981E17" w:rsidRPr="00874FD3" w:rsidRDefault="00981E17" w:rsidP="00981E17">
      <w:pPr>
        <w:pStyle w:val="Heading2"/>
        <w:rPr>
          <w:noProof/>
        </w:rPr>
      </w:pPr>
      <w:r w:rsidRPr="00874FD3">
        <w:rPr>
          <w:noProof/>
        </w:rPr>
        <w:t>Resource configuration</w:t>
      </w:r>
    </w:p>
    <w:p w14:paraId="6F7700F9" w14:textId="1F0EB0C1" w:rsidR="00981E17" w:rsidRPr="00874FD3" w:rsidRDefault="00981E17" w:rsidP="00981E17">
      <w:pPr>
        <w:rPr>
          <w:noProof/>
          <w:lang w:val="en-GB"/>
        </w:rPr>
      </w:pPr>
      <w:r w:rsidRPr="00874FD3">
        <w:rPr>
          <w:noProof/>
          <w:lang w:val="en-GB"/>
        </w:rPr>
        <w:t xml:space="preserve">As a first logical step for target cell resouce configuration from physical layer perspective is the configuration of the RACH related parameters. In this context both CFRA and CBRA can be considered. In both cases UE is provided with the RACH resource allocation (preambles, RS association etc.) as well the DL configuration to determine the monitoring for RA-RNTI/TC-RNTI (e.g. DCI format 1_0 scrambled with RA-RNTI in Type1-PDCCH CSS) and/or C-RNTI (CSS/USS). </w:t>
      </w:r>
      <w:r w:rsidR="00300932">
        <w:rPr>
          <w:noProof/>
          <w:lang w:val="en-GB"/>
        </w:rPr>
        <w:t xml:space="preserve">In the following sections we focus mostly </w:t>
      </w:r>
      <w:r w:rsidR="00137677">
        <w:rPr>
          <w:noProof/>
          <w:lang w:val="en-GB"/>
        </w:rPr>
        <w:t xml:space="preserve">on </w:t>
      </w:r>
      <w:r w:rsidR="00300932">
        <w:rPr>
          <w:noProof/>
          <w:lang w:val="en-GB"/>
        </w:rPr>
        <w:t>the intra-frequency scenarios, as for inter-frequency cases the DL and UL configurations can be indep</w:t>
      </w:r>
      <w:r w:rsidR="00137677">
        <w:rPr>
          <w:noProof/>
          <w:lang w:val="en-GB"/>
        </w:rPr>
        <w:t>en</w:t>
      </w:r>
      <w:r w:rsidR="00300932">
        <w:rPr>
          <w:noProof/>
          <w:lang w:val="en-GB"/>
        </w:rPr>
        <w:t>dent, while there may</w:t>
      </w:r>
      <w:r w:rsidR="00137677">
        <w:rPr>
          <w:noProof/>
          <w:lang w:val="en-GB"/>
        </w:rPr>
        <w:t xml:space="preserve"> </w:t>
      </w:r>
      <w:r w:rsidR="00300932">
        <w:rPr>
          <w:noProof/>
          <w:lang w:val="en-GB"/>
        </w:rPr>
        <w:t>be</w:t>
      </w:r>
      <w:r w:rsidR="00E24BF6">
        <w:rPr>
          <w:noProof/>
          <w:lang w:val="en-GB"/>
        </w:rPr>
        <w:t xml:space="preserve"> a</w:t>
      </w:r>
      <w:r w:rsidR="00300932">
        <w:rPr>
          <w:noProof/>
          <w:lang w:val="en-GB"/>
        </w:rPr>
        <w:t xml:space="preserve"> need to consider e.g. the TDM pattern approach also for inter-frequency for UL PC perspective.</w:t>
      </w:r>
    </w:p>
    <w:p w14:paraId="1870760F" w14:textId="4CCD98EF" w:rsidR="00981E17" w:rsidRPr="00874FD3" w:rsidRDefault="00981E17" w:rsidP="00874FD3">
      <w:pPr>
        <w:pStyle w:val="Heading3"/>
        <w:rPr>
          <w:noProof/>
        </w:rPr>
      </w:pPr>
      <w:r w:rsidRPr="00874FD3">
        <w:rPr>
          <w:noProof/>
        </w:rPr>
        <w:t>Uplink aspects</w:t>
      </w:r>
    </w:p>
    <w:p w14:paraId="681D60E9" w14:textId="268878F3" w:rsidR="001C1735" w:rsidRPr="00874FD3" w:rsidRDefault="00574FA6" w:rsidP="00751E82">
      <w:pPr>
        <w:rPr>
          <w:noProof/>
          <w:lang w:val="en-GB"/>
        </w:rPr>
      </w:pPr>
      <w:r w:rsidRPr="00874FD3">
        <w:rPr>
          <w:noProof/>
          <w:lang w:val="en-GB"/>
        </w:rPr>
        <w:t xml:space="preserve">In context of UL allocation, UE will be provided </w:t>
      </w:r>
      <w:r w:rsidR="00FB5AE8">
        <w:rPr>
          <w:noProof/>
          <w:lang w:val="en-GB"/>
        </w:rPr>
        <w:t>as</w:t>
      </w:r>
      <w:r w:rsidR="00FB5AE8" w:rsidRPr="00874FD3">
        <w:rPr>
          <w:noProof/>
          <w:lang w:val="en-GB"/>
        </w:rPr>
        <w:t xml:space="preserve"> </w:t>
      </w:r>
      <w:r w:rsidRPr="00874FD3">
        <w:rPr>
          <w:noProof/>
          <w:lang w:val="en-GB"/>
        </w:rPr>
        <w:t xml:space="preserve">part of the handover (i.e. “reconfiguration with synch” in RAN2 terminology) information regarding the UL BWP - related parameters. When executing the handover, UE immediately accesses the cell using the indicated BWP, without requiring to read the SIBs first (i.e. similar as in LTE, the HO command contains all the information needed to establish the connection to the target cell). UE performs the Randon Access procedure according the </w:t>
      </w:r>
      <w:r w:rsidR="00816803" w:rsidRPr="00874FD3">
        <w:rPr>
          <w:noProof/>
          <w:lang w:val="en-GB"/>
        </w:rPr>
        <w:t xml:space="preserve">indicated </w:t>
      </w:r>
      <w:r w:rsidRPr="00874FD3">
        <w:rPr>
          <w:noProof/>
          <w:lang w:val="en-GB"/>
        </w:rPr>
        <w:t>parameters. Now it has been earlier concluded that the numerology in the</w:t>
      </w:r>
      <w:r w:rsidR="007F3E82" w:rsidRPr="00874FD3">
        <w:rPr>
          <w:noProof/>
          <w:lang w:val="en-GB"/>
        </w:rPr>
        <w:t xml:space="preserve"> simultaneous </w:t>
      </w:r>
      <w:r w:rsidR="00842EB3" w:rsidRPr="00874FD3">
        <w:rPr>
          <w:noProof/>
          <w:lang w:val="en-GB"/>
        </w:rPr>
        <w:t xml:space="preserve">data </w:t>
      </w:r>
      <w:r w:rsidR="007F3E82" w:rsidRPr="00874FD3">
        <w:rPr>
          <w:noProof/>
          <w:lang w:val="en-GB"/>
        </w:rPr>
        <w:t xml:space="preserve">transmission (for intra-frequency case) should be the same </w:t>
      </w:r>
      <w:r w:rsidR="007F3E82" w:rsidRPr="00874FD3">
        <w:rPr>
          <w:noProof/>
          <w:lang w:val="en-GB"/>
        </w:rPr>
        <w:fldChar w:fldCharType="begin"/>
      </w:r>
      <w:r w:rsidR="007F3E82" w:rsidRPr="00874FD3">
        <w:rPr>
          <w:noProof/>
          <w:lang w:val="en-GB"/>
        </w:rPr>
        <w:instrText xml:space="preserve"> REF _Ref7542162 \r \h </w:instrText>
      </w:r>
      <w:r w:rsidR="007F3E82" w:rsidRPr="00874FD3">
        <w:rPr>
          <w:noProof/>
          <w:lang w:val="en-GB"/>
        </w:rPr>
      </w:r>
      <w:r w:rsidR="007F3E82" w:rsidRPr="00874FD3">
        <w:rPr>
          <w:noProof/>
          <w:lang w:val="en-GB"/>
        </w:rPr>
        <w:fldChar w:fldCharType="separate"/>
      </w:r>
      <w:r w:rsidR="00281ECA">
        <w:rPr>
          <w:noProof/>
          <w:lang w:val="en-GB"/>
        </w:rPr>
        <w:t>[2]</w:t>
      </w:r>
      <w:r w:rsidR="007F3E82" w:rsidRPr="00874FD3">
        <w:rPr>
          <w:noProof/>
          <w:lang w:val="en-GB"/>
        </w:rPr>
        <w:fldChar w:fldCharType="end"/>
      </w:r>
      <w:r w:rsidR="007F3E82" w:rsidRPr="00874FD3">
        <w:rPr>
          <w:noProof/>
          <w:lang w:val="en-GB"/>
        </w:rPr>
        <w:t xml:space="preserve">. It was also stated </w:t>
      </w:r>
      <w:r w:rsidR="00E873D0">
        <w:rPr>
          <w:noProof/>
          <w:lang w:val="en-GB"/>
        </w:rPr>
        <w:t xml:space="preserve">that it </w:t>
      </w:r>
      <w:r w:rsidR="007F3E82" w:rsidRPr="00874FD3">
        <w:rPr>
          <w:noProof/>
          <w:lang w:val="en-GB"/>
        </w:rPr>
        <w:t>may be possible that some UEs support simultaneous transmission and reception even if two cells are co</w:t>
      </w:r>
      <w:bookmarkStart w:id="2" w:name="_GoBack"/>
      <w:bookmarkEnd w:id="2"/>
      <w:r w:rsidR="007F3E82" w:rsidRPr="00874FD3">
        <w:rPr>
          <w:noProof/>
          <w:lang w:val="en-GB"/>
        </w:rPr>
        <w:t xml:space="preserve">nfigured with different </w:t>
      </w:r>
      <w:r w:rsidR="00842EB3" w:rsidRPr="00874FD3">
        <w:rPr>
          <w:noProof/>
          <w:lang w:val="en-GB"/>
        </w:rPr>
        <w:t>subcarrier spacing</w:t>
      </w:r>
      <w:r w:rsidR="007F3E82" w:rsidRPr="00874FD3">
        <w:rPr>
          <w:noProof/>
          <w:lang w:val="en-GB"/>
        </w:rPr>
        <w:t>. Now for</w:t>
      </w:r>
      <w:r w:rsidR="006C0650" w:rsidRPr="00874FD3">
        <w:rPr>
          <w:noProof/>
          <w:lang w:val="en-GB"/>
        </w:rPr>
        <w:t xml:space="preserve"> UL perspective, </w:t>
      </w:r>
      <w:r w:rsidR="007E20F0" w:rsidRPr="00874FD3">
        <w:rPr>
          <w:noProof/>
          <w:lang w:val="en-GB"/>
        </w:rPr>
        <w:t>the subcarrier spacing</w:t>
      </w:r>
      <w:r w:rsidR="006C0650" w:rsidRPr="00874FD3">
        <w:rPr>
          <w:noProof/>
          <w:lang w:val="en-GB"/>
        </w:rPr>
        <w:t xml:space="preserve"> </w:t>
      </w:r>
      <w:r w:rsidR="007E20F0" w:rsidRPr="00874FD3">
        <w:rPr>
          <w:noProof/>
          <w:lang w:val="en-GB"/>
        </w:rPr>
        <w:t xml:space="preserve">for long </w:t>
      </w:r>
      <w:r w:rsidR="00E873D0">
        <w:rPr>
          <w:noProof/>
          <w:lang w:val="en-GB"/>
        </w:rPr>
        <w:t xml:space="preserve">RACH preamble </w:t>
      </w:r>
      <w:r w:rsidR="007E20F0" w:rsidRPr="00874FD3">
        <w:rPr>
          <w:noProof/>
          <w:lang w:val="en-GB"/>
        </w:rPr>
        <w:t xml:space="preserve">sequence </w:t>
      </w:r>
      <w:r w:rsidR="006C43E0">
        <w:rPr>
          <w:noProof/>
          <w:lang w:val="en-GB"/>
        </w:rPr>
        <w:t xml:space="preserve">with </w:t>
      </w:r>
      <w:r w:rsidR="007E20F0" w:rsidRPr="00874FD3">
        <w:rPr>
          <w:noProof/>
          <w:lang w:val="en-GB"/>
        </w:rPr>
        <w:t>lengt</w:t>
      </w:r>
      <w:r w:rsidR="00E873D0">
        <w:rPr>
          <w:noProof/>
          <w:lang w:val="en-GB"/>
        </w:rPr>
        <w:t>h of</w:t>
      </w:r>
      <w:r w:rsidR="007E20F0" w:rsidRPr="00874FD3">
        <w:rPr>
          <w:noProof/>
          <w:lang w:val="en-GB"/>
        </w:rPr>
        <w:t xml:space="preserve"> 839 can be 1.25kHz and 5kHz</w:t>
      </w:r>
      <w:r w:rsidR="00D4539C" w:rsidRPr="00874FD3">
        <w:rPr>
          <w:noProof/>
          <w:lang w:val="en-GB"/>
        </w:rPr>
        <w:t xml:space="preserve"> for FR1</w:t>
      </w:r>
      <w:r w:rsidR="007E20F0" w:rsidRPr="00874FD3">
        <w:rPr>
          <w:noProof/>
          <w:lang w:val="en-GB"/>
        </w:rPr>
        <w:t>, while for short sequence lengt</w:t>
      </w:r>
      <w:r w:rsidR="00C9203F">
        <w:rPr>
          <w:noProof/>
          <w:lang w:val="en-GB"/>
        </w:rPr>
        <w:t>h</w:t>
      </w:r>
      <w:r w:rsidR="007E20F0" w:rsidRPr="00874FD3">
        <w:rPr>
          <w:noProof/>
          <w:lang w:val="en-GB"/>
        </w:rPr>
        <w:t xml:space="preserve"> 139 subcarrier spacings of 15kHz</w:t>
      </w:r>
      <w:r w:rsidR="00D4539C" w:rsidRPr="00874FD3">
        <w:rPr>
          <w:noProof/>
          <w:lang w:val="en-GB"/>
        </w:rPr>
        <w:t xml:space="preserve"> (FR1)</w:t>
      </w:r>
      <w:r w:rsidR="007E20F0" w:rsidRPr="00874FD3">
        <w:rPr>
          <w:noProof/>
          <w:lang w:val="en-GB"/>
        </w:rPr>
        <w:t>, 30kHz</w:t>
      </w:r>
      <w:r w:rsidR="00D4539C" w:rsidRPr="00874FD3">
        <w:rPr>
          <w:noProof/>
          <w:lang w:val="en-GB"/>
        </w:rPr>
        <w:t xml:space="preserve"> (FR1)</w:t>
      </w:r>
      <w:r w:rsidR="007E20F0" w:rsidRPr="00874FD3">
        <w:rPr>
          <w:noProof/>
          <w:lang w:val="en-GB"/>
        </w:rPr>
        <w:t>, 60kHz</w:t>
      </w:r>
      <w:r w:rsidR="00D4539C" w:rsidRPr="00874FD3">
        <w:rPr>
          <w:noProof/>
          <w:lang w:val="en-GB"/>
        </w:rPr>
        <w:t>(FR2)</w:t>
      </w:r>
      <w:r w:rsidR="007E20F0" w:rsidRPr="00874FD3">
        <w:rPr>
          <w:noProof/>
          <w:lang w:val="en-GB"/>
        </w:rPr>
        <w:t xml:space="preserve"> and 120kHz</w:t>
      </w:r>
      <w:r w:rsidR="00D4539C" w:rsidRPr="00874FD3">
        <w:rPr>
          <w:noProof/>
          <w:lang w:val="en-GB"/>
        </w:rPr>
        <w:t>(FR2)</w:t>
      </w:r>
      <w:r w:rsidR="007E20F0" w:rsidRPr="00874FD3">
        <w:rPr>
          <w:noProof/>
          <w:lang w:val="en-GB"/>
        </w:rPr>
        <w:t xml:space="preserve"> are possible. </w:t>
      </w:r>
      <w:r w:rsidR="00842EB3" w:rsidRPr="00874FD3">
        <w:rPr>
          <w:noProof/>
          <w:lang w:val="en-GB"/>
        </w:rPr>
        <w:t>T</w:t>
      </w:r>
      <w:r w:rsidR="00D4539C" w:rsidRPr="00874FD3">
        <w:rPr>
          <w:noProof/>
          <w:lang w:val="en-GB"/>
        </w:rPr>
        <w:t>he subcarrier spacing selection for RACH prea</w:t>
      </w:r>
      <w:r w:rsidR="00524945">
        <w:rPr>
          <w:noProof/>
          <w:lang w:val="en-GB"/>
        </w:rPr>
        <w:t>m</w:t>
      </w:r>
      <w:r w:rsidR="00D4539C" w:rsidRPr="00874FD3">
        <w:rPr>
          <w:noProof/>
          <w:lang w:val="en-GB"/>
        </w:rPr>
        <w:t xml:space="preserve">bles is </w:t>
      </w:r>
      <w:r w:rsidR="00524945">
        <w:rPr>
          <w:noProof/>
          <w:lang w:val="en-GB"/>
        </w:rPr>
        <w:t>to</w:t>
      </w:r>
      <w:r w:rsidR="00524945" w:rsidRPr="00874FD3">
        <w:rPr>
          <w:noProof/>
          <w:lang w:val="en-GB"/>
        </w:rPr>
        <w:t xml:space="preserve"> </w:t>
      </w:r>
      <w:r w:rsidR="00D4539C" w:rsidRPr="00874FD3">
        <w:rPr>
          <w:noProof/>
          <w:lang w:val="en-GB"/>
        </w:rPr>
        <w:t>some extent independent of the subcarri</w:t>
      </w:r>
      <w:r w:rsidR="00524945">
        <w:rPr>
          <w:noProof/>
          <w:lang w:val="en-GB"/>
        </w:rPr>
        <w:t>e</w:t>
      </w:r>
      <w:r w:rsidR="00D4539C" w:rsidRPr="00874FD3">
        <w:rPr>
          <w:noProof/>
          <w:lang w:val="en-GB"/>
        </w:rPr>
        <w:t>r spacing selected for data/c</w:t>
      </w:r>
      <w:r w:rsidR="005A2002">
        <w:rPr>
          <w:noProof/>
          <w:lang w:val="en-GB"/>
        </w:rPr>
        <w:t>o</w:t>
      </w:r>
      <w:r w:rsidR="00D4539C" w:rsidRPr="00874FD3">
        <w:rPr>
          <w:noProof/>
          <w:lang w:val="en-GB"/>
        </w:rPr>
        <w:t>ntr</w:t>
      </w:r>
      <w:r w:rsidR="005A2002">
        <w:rPr>
          <w:noProof/>
          <w:lang w:val="en-GB"/>
        </w:rPr>
        <w:t>o</w:t>
      </w:r>
      <w:r w:rsidR="00D4539C" w:rsidRPr="00874FD3">
        <w:rPr>
          <w:noProof/>
          <w:lang w:val="en-GB"/>
        </w:rPr>
        <w:t>l</w:t>
      </w:r>
      <w:r w:rsidR="00842EB3" w:rsidRPr="00874FD3">
        <w:rPr>
          <w:noProof/>
          <w:lang w:val="en-GB"/>
        </w:rPr>
        <w:t xml:space="preserve">. Also the general RACH configuration is </w:t>
      </w:r>
      <w:r w:rsidR="00D4539C" w:rsidRPr="00874FD3">
        <w:rPr>
          <w:noProof/>
          <w:lang w:val="en-GB"/>
        </w:rPr>
        <w:t>depend</w:t>
      </w:r>
      <w:r w:rsidR="00842EB3" w:rsidRPr="00874FD3">
        <w:rPr>
          <w:noProof/>
          <w:lang w:val="en-GB"/>
        </w:rPr>
        <w:t>ent</w:t>
      </w:r>
      <w:r w:rsidR="00D4539C" w:rsidRPr="00874FD3">
        <w:rPr>
          <w:noProof/>
          <w:lang w:val="en-GB"/>
        </w:rPr>
        <w:t xml:space="preserve"> on the cell deployment</w:t>
      </w:r>
      <w:r w:rsidR="00842EB3" w:rsidRPr="00874FD3">
        <w:rPr>
          <w:noProof/>
          <w:lang w:val="en-GB"/>
        </w:rPr>
        <w:t xml:space="preserve"> (e.g. number of SSBs)</w:t>
      </w:r>
      <w:r w:rsidR="00816803" w:rsidRPr="00874FD3">
        <w:rPr>
          <w:noProof/>
          <w:lang w:val="en-GB"/>
        </w:rPr>
        <w:t xml:space="preserve"> i.e. can be different between source and target. Therefore</w:t>
      </w:r>
      <w:r w:rsidR="00D4539C" w:rsidRPr="00874FD3">
        <w:rPr>
          <w:noProof/>
          <w:lang w:val="en-GB"/>
        </w:rPr>
        <w:t xml:space="preserve"> it would not seem feasible to require </w:t>
      </w:r>
      <w:r w:rsidR="00816803" w:rsidRPr="00874FD3">
        <w:rPr>
          <w:noProof/>
          <w:lang w:val="en-GB"/>
        </w:rPr>
        <w:t xml:space="preserve">that </w:t>
      </w:r>
      <w:r w:rsidR="00D4539C" w:rsidRPr="00874FD3">
        <w:rPr>
          <w:noProof/>
          <w:lang w:val="en-GB"/>
        </w:rPr>
        <w:t xml:space="preserve">the </w:t>
      </w:r>
      <w:r w:rsidR="00230115" w:rsidRPr="00874FD3">
        <w:rPr>
          <w:noProof/>
          <w:lang w:val="en-GB"/>
        </w:rPr>
        <w:t>target cell</w:t>
      </w:r>
      <w:r w:rsidR="00842EB3" w:rsidRPr="00874FD3">
        <w:rPr>
          <w:noProof/>
          <w:lang w:val="en-GB"/>
        </w:rPr>
        <w:t xml:space="preserve"> </w:t>
      </w:r>
      <w:r w:rsidR="00D4539C" w:rsidRPr="00874FD3">
        <w:rPr>
          <w:noProof/>
          <w:lang w:val="en-GB"/>
        </w:rPr>
        <w:t xml:space="preserve">RACH </w:t>
      </w:r>
      <w:r w:rsidR="00842EB3" w:rsidRPr="00874FD3">
        <w:rPr>
          <w:noProof/>
          <w:lang w:val="en-GB"/>
        </w:rPr>
        <w:t xml:space="preserve">configuration, including </w:t>
      </w:r>
      <w:r w:rsidR="00D4539C" w:rsidRPr="00874FD3">
        <w:rPr>
          <w:noProof/>
          <w:lang w:val="en-GB"/>
        </w:rPr>
        <w:t>preamble subcarrier spacing</w:t>
      </w:r>
      <w:r w:rsidR="00842EB3" w:rsidRPr="00874FD3">
        <w:rPr>
          <w:noProof/>
          <w:lang w:val="en-GB"/>
        </w:rPr>
        <w:t>,</w:t>
      </w:r>
      <w:r w:rsidR="00D4539C" w:rsidRPr="00874FD3">
        <w:rPr>
          <w:noProof/>
          <w:lang w:val="en-GB"/>
        </w:rPr>
        <w:t xml:space="preserve"> to be same as source cell </w:t>
      </w:r>
      <w:r w:rsidR="00842EB3" w:rsidRPr="00874FD3">
        <w:rPr>
          <w:noProof/>
          <w:lang w:val="en-GB"/>
        </w:rPr>
        <w:t>RACH configuration</w:t>
      </w:r>
      <w:r w:rsidR="00D4539C" w:rsidRPr="00874FD3">
        <w:rPr>
          <w:noProof/>
          <w:lang w:val="en-GB"/>
        </w:rPr>
        <w:t xml:space="preserve">. </w:t>
      </w:r>
      <w:r w:rsidR="005D35B5" w:rsidRPr="00874FD3">
        <w:rPr>
          <w:noProof/>
          <w:lang w:val="en-GB"/>
        </w:rPr>
        <w:t>It is also good to note that currently (in Rel-15) RACH preamble numerolgy may differ from the data/c</w:t>
      </w:r>
      <w:r w:rsidR="003064CD">
        <w:rPr>
          <w:noProof/>
          <w:lang w:val="en-GB"/>
        </w:rPr>
        <w:t>o</w:t>
      </w:r>
      <w:r w:rsidR="005D35B5" w:rsidRPr="00874FD3">
        <w:rPr>
          <w:noProof/>
          <w:lang w:val="en-GB"/>
        </w:rPr>
        <w:t>ntr</w:t>
      </w:r>
      <w:r w:rsidR="003064CD">
        <w:rPr>
          <w:noProof/>
          <w:lang w:val="en-GB"/>
        </w:rPr>
        <w:t>o</w:t>
      </w:r>
      <w:r w:rsidR="005D35B5" w:rsidRPr="00874FD3">
        <w:rPr>
          <w:noProof/>
          <w:lang w:val="en-GB"/>
        </w:rPr>
        <w:t xml:space="preserve">l numerology in the active BWP. </w:t>
      </w:r>
      <w:r w:rsidR="007E20F0" w:rsidRPr="00874FD3">
        <w:rPr>
          <w:noProof/>
          <w:lang w:val="en-GB"/>
        </w:rPr>
        <w:t>Hence, f</w:t>
      </w:r>
      <w:r w:rsidR="00D4539C" w:rsidRPr="00874FD3">
        <w:rPr>
          <w:noProof/>
          <w:lang w:val="en-GB"/>
        </w:rPr>
        <w:t>rom</w:t>
      </w:r>
      <w:r w:rsidR="007E20F0" w:rsidRPr="00874FD3">
        <w:rPr>
          <w:noProof/>
          <w:lang w:val="en-GB"/>
        </w:rPr>
        <w:t xml:space="preserve"> RACH perspective the requirement to have same subcarrier spacing applied for target and source cell BWP </w:t>
      </w:r>
      <w:r w:rsidR="007F3E82" w:rsidRPr="00874FD3">
        <w:rPr>
          <w:noProof/>
          <w:lang w:val="en-GB"/>
        </w:rPr>
        <w:t>should not be required</w:t>
      </w:r>
      <w:r w:rsidR="00842EB3" w:rsidRPr="00874FD3">
        <w:rPr>
          <w:noProof/>
          <w:lang w:val="en-GB"/>
        </w:rPr>
        <w:t xml:space="preserve"> and RACH configurations should be allowed to be independent</w:t>
      </w:r>
      <w:r w:rsidR="007F3E82" w:rsidRPr="00874FD3">
        <w:rPr>
          <w:noProof/>
          <w:lang w:val="en-GB"/>
        </w:rPr>
        <w:t xml:space="preserve">. </w:t>
      </w:r>
    </w:p>
    <w:p w14:paraId="1A8D010D" w14:textId="2BE8A3E9" w:rsidR="007E20F0" w:rsidRPr="000A6E32" w:rsidRDefault="007E20F0" w:rsidP="00751E82">
      <w:pPr>
        <w:rPr>
          <w:noProof/>
          <w:lang w:val="en-GB"/>
        </w:rPr>
      </w:pPr>
      <w:r w:rsidRPr="003064CD">
        <w:rPr>
          <w:b/>
          <w:noProof/>
          <w:lang w:val="en-GB"/>
        </w:rPr>
        <w:t>Observation:</w:t>
      </w:r>
      <w:r w:rsidRPr="000A6E32">
        <w:rPr>
          <w:noProof/>
          <w:lang w:val="en-GB"/>
        </w:rPr>
        <w:t xml:space="preserve"> RACH </w:t>
      </w:r>
      <w:r w:rsidR="00816803" w:rsidRPr="000A6E32">
        <w:rPr>
          <w:noProof/>
          <w:lang w:val="en-GB"/>
        </w:rPr>
        <w:t xml:space="preserve">configurations, including the preamble numerologies and occassions, </w:t>
      </w:r>
      <w:r w:rsidRPr="000A6E32">
        <w:rPr>
          <w:noProof/>
          <w:lang w:val="en-GB"/>
        </w:rPr>
        <w:t>may be differ</w:t>
      </w:r>
      <w:r w:rsidR="00D4539C" w:rsidRPr="000A6E32">
        <w:rPr>
          <w:noProof/>
          <w:lang w:val="en-GB"/>
        </w:rPr>
        <w:t>e</w:t>
      </w:r>
      <w:r w:rsidRPr="000A6E32">
        <w:rPr>
          <w:noProof/>
          <w:lang w:val="en-GB"/>
        </w:rPr>
        <w:t>nt</w:t>
      </w:r>
      <w:r w:rsidR="00694D8B" w:rsidRPr="000A6E32">
        <w:rPr>
          <w:noProof/>
          <w:lang w:val="en-GB"/>
        </w:rPr>
        <w:t xml:space="preserve"> in source and target cells</w:t>
      </w:r>
      <w:r w:rsidR="00D4539C" w:rsidRPr="000A6E32">
        <w:rPr>
          <w:noProof/>
          <w:lang w:val="en-GB"/>
        </w:rPr>
        <w:t>.</w:t>
      </w:r>
    </w:p>
    <w:p w14:paraId="642F625E" w14:textId="16E4F258" w:rsidR="00B06434" w:rsidRPr="000A6E32" w:rsidRDefault="00B06434" w:rsidP="00751E82">
      <w:pPr>
        <w:rPr>
          <w:noProof/>
          <w:lang w:val="en-GB"/>
        </w:rPr>
      </w:pPr>
      <w:r w:rsidRPr="003064CD">
        <w:rPr>
          <w:b/>
          <w:noProof/>
          <w:lang w:val="en-GB"/>
        </w:rPr>
        <w:t>Proposal</w:t>
      </w:r>
      <w:r w:rsidRPr="00A07D26">
        <w:rPr>
          <w:b/>
          <w:noProof/>
          <w:lang w:val="en-GB"/>
        </w:rPr>
        <w:t>:</w:t>
      </w:r>
      <w:r w:rsidRPr="000A6E32">
        <w:rPr>
          <w:noProof/>
          <w:lang w:val="en-GB"/>
        </w:rPr>
        <w:t xml:space="preserve"> RACH configurations, including subcarrier spacing, can be independent in source and target cell.</w:t>
      </w:r>
    </w:p>
    <w:p w14:paraId="5BE97BF4" w14:textId="00D133D9" w:rsidR="005073A1" w:rsidRPr="00874FD3" w:rsidRDefault="00305A19" w:rsidP="00751E82">
      <w:pPr>
        <w:rPr>
          <w:noProof/>
          <w:lang w:val="en-GB"/>
        </w:rPr>
      </w:pPr>
      <w:r w:rsidRPr="00874FD3">
        <w:rPr>
          <w:noProof/>
          <w:lang w:val="en-GB"/>
        </w:rPr>
        <w:t>When considirering the UL transmission</w:t>
      </w:r>
      <w:r w:rsidR="00702C8B" w:rsidRPr="00874FD3">
        <w:rPr>
          <w:noProof/>
          <w:lang w:val="en-GB"/>
        </w:rPr>
        <w:t xml:space="preserve"> handling in case of intra-frequency and also partially for inter-frequency cases</w:t>
      </w:r>
      <w:r w:rsidRPr="00874FD3">
        <w:rPr>
          <w:noProof/>
          <w:lang w:val="en-GB"/>
        </w:rPr>
        <w:t xml:space="preserve">, target cell RACH related and PUSCH/PUCCH related transmissions </w:t>
      </w:r>
      <w:r w:rsidR="00E6056F">
        <w:rPr>
          <w:noProof/>
          <w:lang w:val="en-GB"/>
        </w:rPr>
        <w:t xml:space="preserve">can be initially considered </w:t>
      </w:r>
      <w:r w:rsidRPr="00874FD3">
        <w:rPr>
          <w:noProof/>
          <w:lang w:val="en-GB"/>
        </w:rPr>
        <w:t xml:space="preserve">separetly. </w:t>
      </w:r>
      <w:r w:rsidR="00337FC4" w:rsidRPr="00874FD3">
        <w:rPr>
          <w:noProof/>
          <w:lang w:val="en-GB"/>
        </w:rPr>
        <w:t>I.e. how to handle target cell RACH and source cell PUCCH/PUSCH and how to handle source cell PUC</w:t>
      </w:r>
      <w:r w:rsidR="005073A1" w:rsidRPr="00874FD3">
        <w:rPr>
          <w:noProof/>
          <w:lang w:val="en-GB"/>
        </w:rPr>
        <w:t>C</w:t>
      </w:r>
      <w:r w:rsidR="00337FC4" w:rsidRPr="00874FD3">
        <w:rPr>
          <w:noProof/>
          <w:lang w:val="en-GB"/>
        </w:rPr>
        <w:t xml:space="preserve">H and </w:t>
      </w:r>
      <w:r w:rsidR="005073A1" w:rsidRPr="00874FD3">
        <w:rPr>
          <w:noProof/>
          <w:lang w:val="en-GB"/>
        </w:rPr>
        <w:t xml:space="preserve">target cell PUCCH/PUSCH. Note that it is assumed that </w:t>
      </w:r>
      <w:r w:rsidR="000B1F3C">
        <w:rPr>
          <w:noProof/>
          <w:lang w:val="en-GB"/>
        </w:rPr>
        <w:t>user data</w:t>
      </w:r>
      <w:r w:rsidR="005073A1" w:rsidRPr="00874FD3">
        <w:rPr>
          <w:noProof/>
          <w:lang w:val="en-GB"/>
        </w:rPr>
        <w:t xml:space="preserve"> transmission to the source cell is ceased when first UL grant is receved for target cell (RAR/Msg4).</w:t>
      </w:r>
    </w:p>
    <w:p w14:paraId="388C35E0" w14:textId="74BECB98" w:rsidR="00305A19" w:rsidRPr="00874FD3" w:rsidRDefault="00305A19" w:rsidP="005073A1">
      <w:pPr>
        <w:rPr>
          <w:b/>
          <w:noProof/>
          <w:lang w:val="en-GB"/>
        </w:rPr>
      </w:pPr>
      <w:r w:rsidRPr="00874FD3">
        <w:rPr>
          <w:noProof/>
          <w:lang w:val="en-GB"/>
        </w:rPr>
        <w:lastRenderedPageBreak/>
        <w:t>When considering the RACH prea</w:t>
      </w:r>
      <w:r w:rsidR="009678D4">
        <w:rPr>
          <w:noProof/>
          <w:lang w:val="en-GB"/>
        </w:rPr>
        <w:t>m</w:t>
      </w:r>
      <w:r w:rsidRPr="00874FD3">
        <w:rPr>
          <w:noProof/>
          <w:lang w:val="en-GB"/>
        </w:rPr>
        <w:t>ble transmission,</w:t>
      </w:r>
      <w:r w:rsidR="00337FC4" w:rsidRPr="00874FD3">
        <w:rPr>
          <w:noProof/>
          <w:lang w:val="en-GB"/>
        </w:rPr>
        <w:t xml:space="preserve"> it could be simply considered that UE would ignore UL grants and PUCCH transmissions to source cell, when collisions with the target cell RACH occassions would occur. </w:t>
      </w:r>
      <w:r w:rsidR="004B67AF">
        <w:rPr>
          <w:noProof/>
          <w:lang w:val="en-GB"/>
        </w:rPr>
        <w:t>T</w:t>
      </w:r>
      <w:r w:rsidR="005073A1" w:rsidRPr="00874FD3">
        <w:rPr>
          <w:noProof/>
          <w:lang w:val="en-GB"/>
        </w:rPr>
        <w:t>his may cause DL PDSCH re-transmission (</w:t>
      </w:r>
      <w:r w:rsidR="00251A58">
        <w:rPr>
          <w:noProof/>
          <w:lang w:val="en-GB"/>
        </w:rPr>
        <w:t xml:space="preserve">due to </w:t>
      </w:r>
      <w:r w:rsidR="005073A1" w:rsidRPr="00874FD3">
        <w:rPr>
          <w:noProof/>
          <w:lang w:val="en-GB"/>
        </w:rPr>
        <w:t xml:space="preserve">missed HARQ) or missed UL grants, thus </w:t>
      </w:r>
      <w:r w:rsidR="00251A58">
        <w:rPr>
          <w:noProof/>
          <w:lang w:val="en-GB"/>
        </w:rPr>
        <w:t xml:space="preserve">it </w:t>
      </w:r>
      <w:r w:rsidR="005073A1" w:rsidRPr="00874FD3">
        <w:rPr>
          <w:noProof/>
          <w:lang w:val="en-GB"/>
        </w:rPr>
        <w:t xml:space="preserve">has some negative implications. Alternatively, it could be assumed that source cell avoids collisions by not scheduling UL </w:t>
      </w:r>
      <w:r w:rsidR="004B67AF">
        <w:rPr>
          <w:noProof/>
          <w:lang w:val="en-GB"/>
        </w:rPr>
        <w:t xml:space="preserve">allocation that collides </w:t>
      </w:r>
      <w:r w:rsidR="005073A1" w:rsidRPr="00874FD3">
        <w:rPr>
          <w:noProof/>
          <w:lang w:val="en-GB"/>
        </w:rPr>
        <w:t xml:space="preserve">for the target cell RACH occassions, nor scheduling DL data so that HARQ </w:t>
      </w:r>
      <w:r w:rsidR="00A04B84">
        <w:rPr>
          <w:noProof/>
          <w:lang w:val="en-GB"/>
        </w:rPr>
        <w:t>feedback</w:t>
      </w:r>
      <w:r w:rsidR="005073A1" w:rsidRPr="00874FD3">
        <w:rPr>
          <w:noProof/>
          <w:lang w:val="en-GB"/>
        </w:rPr>
        <w:t xml:space="preserve"> would </w:t>
      </w:r>
      <w:r w:rsidR="00A04B84">
        <w:rPr>
          <w:noProof/>
          <w:lang w:val="en-GB"/>
        </w:rPr>
        <w:t xml:space="preserve">not </w:t>
      </w:r>
      <w:r w:rsidR="005073A1" w:rsidRPr="00874FD3">
        <w:rPr>
          <w:noProof/>
          <w:lang w:val="en-GB"/>
        </w:rPr>
        <w:t xml:space="preserve">collide with the RACH occassions. Of course in this case </w:t>
      </w:r>
      <w:r w:rsidRPr="00874FD3">
        <w:rPr>
          <w:noProof/>
          <w:lang w:val="en-GB"/>
        </w:rPr>
        <w:t>source cell should be aware of the target cell RACH occassions</w:t>
      </w:r>
      <w:r w:rsidR="005073A1" w:rsidRPr="00874FD3">
        <w:rPr>
          <w:noProof/>
          <w:lang w:val="en-GB"/>
        </w:rPr>
        <w:t>, which could</w:t>
      </w:r>
      <w:r w:rsidRPr="00874FD3">
        <w:rPr>
          <w:noProof/>
          <w:lang w:val="en-GB"/>
        </w:rPr>
        <w:t xml:space="preserve"> be rather feasibly assumed (as th</w:t>
      </w:r>
      <w:r w:rsidR="005073A1" w:rsidRPr="00874FD3">
        <w:rPr>
          <w:noProof/>
          <w:lang w:val="en-GB"/>
        </w:rPr>
        <w:t>e</w:t>
      </w:r>
      <w:r w:rsidRPr="00874FD3">
        <w:rPr>
          <w:noProof/>
          <w:lang w:val="en-GB"/>
        </w:rPr>
        <w:t xml:space="preserve"> RACH configuration of target cell is provided in Reconfiguration with Synch). However depe</w:t>
      </w:r>
      <w:r w:rsidR="003F600C">
        <w:rPr>
          <w:noProof/>
          <w:lang w:val="en-GB"/>
        </w:rPr>
        <w:t>n</w:t>
      </w:r>
      <w:r w:rsidRPr="00874FD3">
        <w:rPr>
          <w:noProof/>
          <w:lang w:val="en-GB"/>
        </w:rPr>
        <w:t xml:space="preserve">ding on the target cell configuration there could be multiple RACH occassions </w:t>
      </w:r>
      <w:r w:rsidR="00337FC4" w:rsidRPr="00874FD3">
        <w:rPr>
          <w:noProof/>
          <w:lang w:val="en-GB"/>
        </w:rPr>
        <w:t>(and with dense periodicity)</w:t>
      </w:r>
      <w:r w:rsidRPr="00874FD3">
        <w:rPr>
          <w:noProof/>
          <w:lang w:val="en-GB"/>
        </w:rPr>
        <w:t xml:space="preserve">, blocking the UL transmision </w:t>
      </w:r>
      <w:r w:rsidR="005073A1" w:rsidRPr="00874FD3">
        <w:rPr>
          <w:noProof/>
          <w:lang w:val="en-GB"/>
        </w:rPr>
        <w:t xml:space="preserve">(and DL to avoid missed HARQ) </w:t>
      </w:r>
      <w:r w:rsidRPr="00874FD3">
        <w:rPr>
          <w:noProof/>
          <w:lang w:val="en-GB"/>
        </w:rPr>
        <w:t xml:space="preserve">from source for long periods. </w:t>
      </w:r>
      <w:r w:rsidR="004B67AF">
        <w:rPr>
          <w:noProof/>
          <w:lang w:val="en-GB"/>
        </w:rPr>
        <w:t xml:space="preserve">Similarly it would not be feasible to determine fixed TDM pattern as it could result long ‘outage’ in the source cell. </w:t>
      </w:r>
      <w:r w:rsidR="005073A1" w:rsidRPr="00874FD3">
        <w:rPr>
          <w:noProof/>
          <w:lang w:val="en-GB"/>
        </w:rPr>
        <w:t xml:space="preserve">Hence, </w:t>
      </w:r>
      <w:r w:rsidR="004B67AF">
        <w:rPr>
          <w:noProof/>
          <w:lang w:val="en-GB"/>
        </w:rPr>
        <w:t>these</w:t>
      </w:r>
      <w:r w:rsidR="005073A1" w:rsidRPr="00874FD3">
        <w:rPr>
          <w:noProof/>
          <w:lang w:val="en-GB"/>
        </w:rPr>
        <w:t xml:space="preserve"> approach</w:t>
      </w:r>
      <w:r w:rsidR="004B67AF">
        <w:rPr>
          <w:noProof/>
          <w:lang w:val="en-GB"/>
        </w:rPr>
        <w:t>es</w:t>
      </w:r>
      <w:r w:rsidR="005073A1" w:rsidRPr="00874FD3">
        <w:rPr>
          <w:noProof/>
          <w:lang w:val="en-GB"/>
        </w:rPr>
        <w:t>, UE ignoring</w:t>
      </w:r>
      <w:r w:rsidR="00F23670">
        <w:rPr>
          <w:noProof/>
          <w:lang w:val="en-GB"/>
        </w:rPr>
        <w:t>/dropping</w:t>
      </w:r>
      <w:r w:rsidR="005073A1" w:rsidRPr="00874FD3">
        <w:rPr>
          <w:noProof/>
          <w:lang w:val="en-GB"/>
        </w:rPr>
        <w:t xml:space="preserve"> </w:t>
      </w:r>
      <w:r w:rsidR="00F23670">
        <w:rPr>
          <w:noProof/>
          <w:lang w:val="en-GB"/>
        </w:rPr>
        <w:t xml:space="preserve">the </w:t>
      </w:r>
      <w:r w:rsidR="005073A1" w:rsidRPr="00874FD3">
        <w:rPr>
          <w:noProof/>
          <w:lang w:val="en-GB"/>
        </w:rPr>
        <w:t>source cell transmission</w:t>
      </w:r>
      <w:r w:rsidR="00F23670">
        <w:rPr>
          <w:noProof/>
          <w:lang w:val="en-GB"/>
        </w:rPr>
        <w:t>s(UL/DL)</w:t>
      </w:r>
      <w:r w:rsidR="005073A1" w:rsidRPr="00874FD3">
        <w:rPr>
          <w:noProof/>
          <w:lang w:val="en-GB"/>
        </w:rPr>
        <w:t>,</w:t>
      </w:r>
      <w:r w:rsidR="00F23670">
        <w:rPr>
          <w:noProof/>
          <w:lang w:val="en-GB"/>
        </w:rPr>
        <w:t xml:space="preserve"> avoiding by scheduling, or fixed TDM pattern </w:t>
      </w:r>
      <w:r w:rsidR="005073A1" w:rsidRPr="00874FD3">
        <w:rPr>
          <w:noProof/>
          <w:lang w:val="en-GB"/>
        </w:rPr>
        <w:t>may not be feasible. Hence</w:t>
      </w:r>
      <w:r w:rsidR="00F23670">
        <w:rPr>
          <w:noProof/>
          <w:lang w:val="en-GB"/>
        </w:rPr>
        <w:t>, to</w:t>
      </w:r>
      <w:r w:rsidR="00337FC4" w:rsidRPr="00874FD3">
        <w:rPr>
          <w:noProof/>
          <w:lang w:val="en-GB"/>
        </w:rPr>
        <w:t xml:space="preserve"> avoid extensive UL blocking to the source cell, some UE assitance on the </w:t>
      </w:r>
      <w:r w:rsidR="00F23670">
        <w:rPr>
          <w:noProof/>
          <w:lang w:val="en-GB"/>
        </w:rPr>
        <w:t xml:space="preserve">(target) </w:t>
      </w:r>
      <w:r w:rsidR="00337FC4" w:rsidRPr="00874FD3">
        <w:rPr>
          <w:noProof/>
          <w:lang w:val="en-GB"/>
        </w:rPr>
        <w:t>RACH occasions</w:t>
      </w:r>
      <w:r w:rsidR="005073A1" w:rsidRPr="00874FD3">
        <w:rPr>
          <w:noProof/>
          <w:lang w:val="en-GB"/>
        </w:rPr>
        <w:t xml:space="preserve"> </w:t>
      </w:r>
      <w:r w:rsidR="00337FC4" w:rsidRPr="00874FD3">
        <w:rPr>
          <w:noProof/>
          <w:lang w:val="en-GB"/>
        </w:rPr>
        <w:t>to be accounted could be considered</w:t>
      </w:r>
      <w:r w:rsidR="004F44DE" w:rsidRPr="00874FD3">
        <w:rPr>
          <w:noProof/>
          <w:lang w:val="en-GB"/>
        </w:rPr>
        <w:t xml:space="preserve"> at least for CBRA</w:t>
      </w:r>
      <w:r w:rsidR="00337FC4" w:rsidRPr="00874FD3">
        <w:rPr>
          <w:noProof/>
          <w:lang w:val="en-GB"/>
        </w:rPr>
        <w:t>.</w:t>
      </w:r>
      <w:r w:rsidRPr="00874FD3">
        <w:rPr>
          <w:noProof/>
          <w:lang w:val="en-GB"/>
        </w:rPr>
        <w:t xml:space="preserve"> </w:t>
      </w:r>
      <w:r w:rsidR="004F44DE" w:rsidRPr="00874FD3">
        <w:rPr>
          <w:noProof/>
          <w:lang w:val="en-GB"/>
        </w:rPr>
        <w:t>E.g. UEs could indicate the</w:t>
      </w:r>
      <w:r w:rsidR="00F23670">
        <w:rPr>
          <w:noProof/>
          <w:lang w:val="en-GB"/>
        </w:rPr>
        <w:t xml:space="preserve"> selected</w:t>
      </w:r>
      <w:r w:rsidR="004F44DE" w:rsidRPr="00874FD3">
        <w:rPr>
          <w:noProof/>
          <w:lang w:val="en-GB"/>
        </w:rPr>
        <w:t xml:space="preserve"> sub-set of the </w:t>
      </w:r>
      <w:r w:rsidR="00F23670">
        <w:rPr>
          <w:noProof/>
          <w:lang w:val="en-GB"/>
        </w:rPr>
        <w:t>target</w:t>
      </w:r>
      <w:r w:rsidR="004F44DE" w:rsidRPr="00874FD3">
        <w:rPr>
          <w:noProof/>
          <w:lang w:val="en-GB"/>
        </w:rPr>
        <w:t xml:space="preserve"> RACH resources. Note </w:t>
      </w:r>
      <w:r w:rsidR="00034F90">
        <w:rPr>
          <w:noProof/>
          <w:lang w:val="en-GB"/>
        </w:rPr>
        <w:t xml:space="preserve">that </w:t>
      </w:r>
      <w:r w:rsidR="004F44DE" w:rsidRPr="00874FD3">
        <w:rPr>
          <w:noProof/>
          <w:lang w:val="en-GB"/>
        </w:rPr>
        <w:t>it is assumed that in case of CFRA the number of occassions would be lower, thereby not resulting such a high blocking probability.</w:t>
      </w:r>
    </w:p>
    <w:p w14:paraId="337F6332" w14:textId="067AB118" w:rsidR="005073A1" w:rsidRPr="000A6E32" w:rsidRDefault="004F44DE" w:rsidP="005073A1">
      <w:pPr>
        <w:rPr>
          <w:noProof/>
          <w:lang w:val="en-GB"/>
        </w:rPr>
      </w:pPr>
      <w:r w:rsidRPr="00034F90">
        <w:rPr>
          <w:b/>
          <w:noProof/>
          <w:lang w:val="en-GB"/>
        </w:rPr>
        <w:t>Proposal</w:t>
      </w:r>
      <w:r w:rsidR="005073A1" w:rsidRPr="00034F90">
        <w:rPr>
          <w:b/>
          <w:noProof/>
          <w:lang w:val="en-GB"/>
        </w:rPr>
        <w:t xml:space="preserve">: </w:t>
      </w:r>
      <w:r w:rsidR="005073A1" w:rsidRPr="000A6E32">
        <w:rPr>
          <w:noProof/>
          <w:lang w:val="en-GB"/>
        </w:rPr>
        <w:t>To avoid source cell UL and DL blocking due to target cell RACH occassions, some UE assistance information</w:t>
      </w:r>
      <w:r w:rsidR="00F23670" w:rsidRPr="000A6E32">
        <w:rPr>
          <w:noProof/>
          <w:lang w:val="en-GB"/>
        </w:rPr>
        <w:t xml:space="preserve"> on selected RACH resources</w:t>
      </w:r>
      <w:r w:rsidR="005073A1" w:rsidRPr="000A6E32">
        <w:rPr>
          <w:noProof/>
          <w:lang w:val="en-GB"/>
        </w:rPr>
        <w:t xml:space="preserve"> could be considered</w:t>
      </w:r>
      <w:r w:rsidRPr="000A6E32">
        <w:rPr>
          <w:noProof/>
          <w:lang w:val="en-GB"/>
        </w:rPr>
        <w:t xml:space="preserve"> for CBRA</w:t>
      </w:r>
      <w:r w:rsidR="005073A1" w:rsidRPr="000A6E32">
        <w:rPr>
          <w:noProof/>
          <w:lang w:val="en-GB"/>
        </w:rPr>
        <w:t>.</w:t>
      </w:r>
    </w:p>
    <w:p w14:paraId="32251D5C" w14:textId="56957629" w:rsidR="00A5675E" w:rsidRDefault="00A5675E" w:rsidP="00751E82">
      <w:pPr>
        <w:rPr>
          <w:noProof/>
          <w:lang w:val="en-GB"/>
        </w:rPr>
      </w:pPr>
      <w:r w:rsidRPr="00874FD3">
        <w:rPr>
          <w:noProof/>
          <w:lang w:val="en-GB"/>
        </w:rPr>
        <w:t>For handling target cell PUCCH/PUSCH transmission and source cell PUCCH</w:t>
      </w:r>
      <w:r w:rsidR="000B1F3C">
        <w:rPr>
          <w:noProof/>
          <w:lang w:val="en-GB"/>
        </w:rPr>
        <w:t>/PUSCH</w:t>
      </w:r>
      <w:r w:rsidRPr="00874FD3">
        <w:rPr>
          <w:noProof/>
          <w:lang w:val="en-GB"/>
        </w:rPr>
        <w:t xml:space="preserve"> transmission it would be preferable to consider TDMA operation to avoid issues with HARQ. UE autonomously dropping off certain UL transmissions (including HARQ </w:t>
      </w:r>
      <w:r w:rsidR="00034F90">
        <w:rPr>
          <w:noProof/>
          <w:lang w:val="en-GB"/>
        </w:rPr>
        <w:t>feedback</w:t>
      </w:r>
      <w:r w:rsidRPr="00874FD3">
        <w:rPr>
          <w:noProof/>
          <w:lang w:val="en-GB"/>
        </w:rPr>
        <w:t xml:space="preserve">) </w:t>
      </w:r>
      <w:r w:rsidR="00702C8B" w:rsidRPr="00874FD3">
        <w:rPr>
          <w:noProof/>
          <w:lang w:val="en-GB"/>
        </w:rPr>
        <w:t xml:space="preserve">or taking large power back-off </w:t>
      </w:r>
      <w:r w:rsidR="000B1F3C">
        <w:rPr>
          <w:noProof/>
          <w:lang w:val="en-GB"/>
        </w:rPr>
        <w:t xml:space="preserve">due to power sharing </w:t>
      </w:r>
      <w:r w:rsidR="00702C8B" w:rsidRPr="00874FD3">
        <w:rPr>
          <w:noProof/>
          <w:lang w:val="en-GB"/>
        </w:rPr>
        <w:t xml:space="preserve">(and thereby missed in receiver) </w:t>
      </w:r>
      <w:r w:rsidRPr="00874FD3">
        <w:rPr>
          <w:noProof/>
          <w:lang w:val="en-GB"/>
        </w:rPr>
        <w:t xml:space="preserve">could cause </w:t>
      </w:r>
      <w:r w:rsidR="00702C8B" w:rsidRPr="00874FD3">
        <w:rPr>
          <w:noProof/>
          <w:lang w:val="en-GB"/>
        </w:rPr>
        <w:t xml:space="preserve">unnneccesary </w:t>
      </w:r>
      <w:r w:rsidRPr="00874FD3">
        <w:rPr>
          <w:noProof/>
          <w:lang w:val="en-GB"/>
        </w:rPr>
        <w:t>re-transmissions</w:t>
      </w:r>
      <w:r w:rsidR="00702C8B" w:rsidRPr="00874FD3">
        <w:rPr>
          <w:noProof/>
          <w:lang w:val="en-GB"/>
        </w:rPr>
        <w:t>.</w:t>
      </w:r>
      <w:r w:rsidR="00830B06" w:rsidRPr="00874FD3">
        <w:rPr>
          <w:noProof/>
          <w:lang w:val="en-GB"/>
        </w:rPr>
        <w:t xml:space="preserve"> </w:t>
      </w:r>
      <w:r w:rsidRPr="00874FD3">
        <w:rPr>
          <w:noProof/>
          <w:lang w:val="en-GB"/>
        </w:rPr>
        <w:t>Note that the TDMA pattern does not neccesarily need to be signalled if source and target cell apply scheduling restrictions. However it could simplify the UE operation if pattern is provided</w:t>
      </w:r>
      <w:r w:rsidR="00830B06" w:rsidRPr="00874FD3">
        <w:rPr>
          <w:noProof/>
          <w:lang w:val="en-GB"/>
        </w:rPr>
        <w:t>.</w:t>
      </w:r>
      <w:r w:rsidR="00D4575C" w:rsidRPr="00874FD3">
        <w:rPr>
          <w:noProof/>
          <w:lang w:val="en-GB"/>
        </w:rPr>
        <w:t xml:space="preserve"> </w:t>
      </w:r>
    </w:p>
    <w:p w14:paraId="53FD5D66" w14:textId="2F7A6B7F" w:rsidR="00F23670" w:rsidRPr="00874FD3" w:rsidRDefault="00F23670" w:rsidP="00751E82">
      <w:pPr>
        <w:rPr>
          <w:noProof/>
          <w:lang w:val="en-GB"/>
        </w:rPr>
      </w:pPr>
      <w:r w:rsidRPr="00B661A6">
        <w:rPr>
          <w:b/>
          <w:noProof/>
          <w:lang w:val="en-GB"/>
        </w:rPr>
        <w:t>Proposal:</w:t>
      </w:r>
      <w:r w:rsidRPr="000A6E32">
        <w:rPr>
          <w:noProof/>
          <w:lang w:val="en-GB"/>
        </w:rPr>
        <w:t xml:space="preserve"> TDM pattern is used for</w:t>
      </w:r>
      <w:r w:rsidR="00B160F3" w:rsidRPr="000A6E32">
        <w:rPr>
          <w:noProof/>
          <w:lang w:val="en-GB"/>
        </w:rPr>
        <w:t xml:space="preserve"> UL</w:t>
      </w:r>
      <w:r w:rsidRPr="000A6E32">
        <w:rPr>
          <w:noProof/>
          <w:lang w:val="en-GB"/>
        </w:rPr>
        <w:t xml:space="preserve"> data/cntrl collision avoidance between target and source</w:t>
      </w:r>
      <w:r w:rsidR="00B160F3">
        <w:rPr>
          <w:noProof/>
          <w:lang w:val="en-GB"/>
        </w:rPr>
        <w:t>.</w:t>
      </w:r>
    </w:p>
    <w:p w14:paraId="6441F7BC" w14:textId="75D9C3E5" w:rsidR="00981E17" w:rsidRPr="00874FD3" w:rsidRDefault="00981E17" w:rsidP="00981E17">
      <w:pPr>
        <w:pStyle w:val="Heading3"/>
        <w:rPr>
          <w:noProof/>
        </w:rPr>
      </w:pPr>
      <w:r w:rsidRPr="00874FD3">
        <w:rPr>
          <w:noProof/>
        </w:rPr>
        <w:t>Downlink aspects</w:t>
      </w:r>
    </w:p>
    <w:p w14:paraId="1081FA92" w14:textId="23E56486" w:rsidR="00945EDD" w:rsidRPr="00874FD3" w:rsidRDefault="00981E17" w:rsidP="00751E82">
      <w:pPr>
        <w:rPr>
          <w:noProof/>
          <w:lang w:val="en-GB"/>
        </w:rPr>
      </w:pPr>
      <w:r w:rsidRPr="00874FD3">
        <w:rPr>
          <w:noProof/>
          <w:lang w:val="en-GB"/>
        </w:rPr>
        <w:t xml:space="preserve">Correpondingly in DL, UE will be provided the DL BWP as a part of the reconfiguration (with synch) and UE will use the DL BWP as per on ‘firstActiveDownlinkBWP-Id’. </w:t>
      </w:r>
      <w:r w:rsidR="00945EDD" w:rsidRPr="00874FD3">
        <w:rPr>
          <w:noProof/>
          <w:lang w:val="en-GB"/>
        </w:rPr>
        <w:t xml:space="preserve">For DL PDCCH monitoring </w:t>
      </w:r>
      <w:r w:rsidR="005E110F" w:rsidRPr="00874FD3">
        <w:rPr>
          <w:noProof/>
          <w:lang w:val="en-GB"/>
        </w:rPr>
        <w:t>UE is configured with CORESETs in B</w:t>
      </w:r>
      <w:r w:rsidR="00B249E4" w:rsidRPr="00874FD3">
        <w:rPr>
          <w:noProof/>
          <w:lang w:val="en-GB"/>
        </w:rPr>
        <w:t xml:space="preserve">WP(s) </w:t>
      </w:r>
      <w:r w:rsidR="00452AF6" w:rsidRPr="00874FD3">
        <w:rPr>
          <w:noProof/>
          <w:lang w:val="en-GB"/>
        </w:rPr>
        <w:t>in source and target cell</w:t>
      </w:r>
      <w:r w:rsidR="00B249E4" w:rsidRPr="00874FD3">
        <w:rPr>
          <w:noProof/>
          <w:lang w:val="en-GB"/>
        </w:rPr>
        <w:t>.</w:t>
      </w:r>
      <w:r w:rsidR="00452AF6" w:rsidRPr="00874FD3">
        <w:rPr>
          <w:noProof/>
          <w:lang w:val="en-GB"/>
        </w:rPr>
        <w:t xml:space="preserve"> I</w:t>
      </w:r>
      <w:r w:rsidR="002B0507" w:rsidRPr="00874FD3">
        <w:rPr>
          <w:noProof/>
          <w:lang w:val="en-GB"/>
        </w:rPr>
        <w:t>n</w:t>
      </w:r>
      <w:r w:rsidR="00452AF6" w:rsidRPr="00874FD3">
        <w:rPr>
          <w:noProof/>
          <w:lang w:val="en-GB"/>
        </w:rPr>
        <w:t xml:space="preserve"> context of multi-TPR discussions it has been considered to increase the number of CORESETs per ’PDCCH-Config’. Now it could be assumed that UE supporting the DAPS </w:t>
      </w:r>
      <w:r w:rsidR="002B0507" w:rsidRPr="00874FD3">
        <w:rPr>
          <w:noProof/>
          <w:lang w:val="en-GB"/>
        </w:rPr>
        <w:t>based HO solution would also support increased number of CORESETs in total, and thereby allowing the PDCCH-Configs of the source and target to be independent to an extent.</w:t>
      </w:r>
      <w:r w:rsidR="006F2BB1" w:rsidRPr="00874FD3">
        <w:rPr>
          <w:noProof/>
          <w:lang w:val="en-GB"/>
        </w:rPr>
        <w:t xml:space="preserve"> For example when UE is using CBRA, the RAR will be delivered using the same configuration (CORESET/SS) as for other UEs</w:t>
      </w:r>
      <w:r w:rsidRPr="00874FD3">
        <w:rPr>
          <w:noProof/>
          <w:lang w:val="en-GB"/>
        </w:rPr>
        <w:t xml:space="preserve">. </w:t>
      </w:r>
      <w:r w:rsidR="002B0507" w:rsidRPr="00874FD3">
        <w:rPr>
          <w:noProof/>
          <w:lang w:val="en-GB"/>
        </w:rPr>
        <w:t xml:space="preserve">   </w:t>
      </w:r>
      <w:r w:rsidR="00B249E4" w:rsidRPr="00874FD3">
        <w:rPr>
          <w:noProof/>
          <w:lang w:val="en-GB"/>
        </w:rPr>
        <w:t xml:space="preserve"> </w:t>
      </w:r>
      <w:r w:rsidR="00945EDD" w:rsidRPr="00874FD3">
        <w:rPr>
          <w:noProof/>
          <w:lang w:val="en-GB"/>
        </w:rPr>
        <w:t xml:space="preserve"> </w:t>
      </w:r>
    </w:p>
    <w:p w14:paraId="6D7DE609" w14:textId="02E9F45E" w:rsidR="002B0507" w:rsidRPr="000A6E32" w:rsidRDefault="006C3774" w:rsidP="00751E82">
      <w:pPr>
        <w:rPr>
          <w:noProof/>
          <w:lang w:val="en-GB"/>
        </w:rPr>
      </w:pPr>
      <w:r w:rsidRPr="00DD39FB">
        <w:rPr>
          <w:b/>
          <w:noProof/>
          <w:lang w:val="en-GB"/>
        </w:rPr>
        <w:t>Observation:</w:t>
      </w:r>
      <w:r w:rsidRPr="000A6E32">
        <w:rPr>
          <w:noProof/>
          <w:lang w:val="en-GB"/>
        </w:rPr>
        <w:t xml:space="preserve"> PDCCH configurations of source and target cell could be independent.</w:t>
      </w:r>
    </w:p>
    <w:p w14:paraId="4B3386D0" w14:textId="3EE2F682" w:rsidR="006C3774" w:rsidRDefault="006C3774" w:rsidP="00751E82">
      <w:pPr>
        <w:rPr>
          <w:noProof/>
          <w:lang w:val="en-GB"/>
        </w:rPr>
      </w:pPr>
      <w:r>
        <w:rPr>
          <w:noProof/>
          <w:lang w:val="en-GB"/>
        </w:rPr>
        <w:t xml:space="preserve">For simultaneous reception of PDCCH (i.e. when SS/CORESETs overlap) it would need to be discussed whether simultaneous monitoring of two CORESETs is possible based on certain side conditions, or whether the TDM pattern approach should also be applied to PDCCH monitoring. Note that apart for the RAR monitoring in case of CBRA, it would seem possible to avoid collisions by </w:t>
      </w:r>
      <w:r w:rsidR="00300932">
        <w:rPr>
          <w:noProof/>
          <w:lang w:val="en-GB"/>
        </w:rPr>
        <w:t>determing the SS properly.</w:t>
      </w:r>
    </w:p>
    <w:p w14:paraId="7576BAE9" w14:textId="31D3B3FE" w:rsidR="00300932" w:rsidRPr="000A6E32" w:rsidRDefault="00300932" w:rsidP="00751E82">
      <w:pPr>
        <w:rPr>
          <w:noProof/>
          <w:lang w:val="en-GB"/>
        </w:rPr>
      </w:pPr>
      <w:r w:rsidRPr="00996507">
        <w:rPr>
          <w:b/>
          <w:noProof/>
          <w:lang w:val="en-GB"/>
        </w:rPr>
        <w:t>Observation:</w:t>
      </w:r>
      <w:r w:rsidRPr="000A6E32">
        <w:rPr>
          <w:noProof/>
          <w:lang w:val="en-GB"/>
        </w:rPr>
        <w:t xml:space="preserve"> For PDCCH reception consider whether TDM approach is needed or whether PDCCH</w:t>
      </w:r>
      <w:r w:rsidR="006A43A8" w:rsidRPr="000A6E32">
        <w:rPr>
          <w:noProof/>
          <w:lang w:val="en-GB"/>
        </w:rPr>
        <w:t xml:space="preserve"> can be monitored simultaneously from source and target.</w:t>
      </w:r>
      <w:r w:rsidRPr="000A6E32">
        <w:rPr>
          <w:noProof/>
          <w:lang w:val="en-GB"/>
        </w:rPr>
        <w:t xml:space="preserve"> </w:t>
      </w:r>
    </w:p>
    <w:p w14:paraId="27FD926A" w14:textId="7450BC70" w:rsidR="002B0507" w:rsidRPr="00874FD3" w:rsidRDefault="002B0507" w:rsidP="00751E82">
      <w:pPr>
        <w:rPr>
          <w:noProof/>
          <w:lang w:val="en-GB"/>
        </w:rPr>
      </w:pPr>
      <w:r w:rsidRPr="00874FD3">
        <w:rPr>
          <w:noProof/>
          <w:lang w:val="en-GB"/>
        </w:rPr>
        <w:t>In multi-TRP it is assumed that, with certain side conditions</w:t>
      </w:r>
      <w:r w:rsidR="00FB71EA" w:rsidRPr="00874FD3">
        <w:rPr>
          <w:noProof/>
          <w:lang w:val="en-GB"/>
        </w:rPr>
        <w:t xml:space="preserve"> that UE can receive two PDSCH simultaneously, (scheduled by two PDCCHs)</w:t>
      </w:r>
      <w:r w:rsidRPr="00874FD3">
        <w:rPr>
          <w:noProof/>
          <w:lang w:val="en-GB"/>
        </w:rPr>
        <w:t>. I.e. the PDSCH are assumed to hav</w:t>
      </w:r>
      <w:r w:rsidR="00FB71EA" w:rsidRPr="00874FD3">
        <w:rPr>
          <w:noProof/>
          <w:lang w:val="en-GB"/>
        </w:rPr>
        <w:t>e</w:t>
      </w:r>
      <w:r w:rsidRPr="00874FD3">
        <w:rPr>
          <w:noProof/>
          <w:lang w:val="en-GB"/>
        </w:rPr>
        <w:t xml:space="preserve"> same DMRS configuration in terms of front-loaded DMRS symbols, number of additional DMRS and their location and type</w:t>
      </w:r>
      <w:r w:rsidR="00FB71EA" w:rsidRPr="00874FD3">
        <w:rPr>
          <w:noProof/>
          <w:lang w:val="en-GB"/>
        </w:rPr>
        <w:t xml:space="preserve">. Furhtermore same active BWP is assumed. These side conditions </w:t>
      </w:r>
      <w:r w:rsidR="006F2BB1" w:rsidRPr="00874FD3">
        <w:rPr>
          <w:noProof/>
          <w:lang w:val="en-GB"/>
        </w:rPr>
        <w:t>are</w:t>
      </w:r>
      <w:r w:rsidR="00FB71EA" w:rsidRPr="00874FD3">
        <w:rPr>
          <w:noProof/>
          <w:lang w:val="en-GB"/>
        </w:rPr>
        <w:t xml:space="preserve"> not neccesarily feasibly carried over to DAPS based HO </w:t>
      </w:r>
      <w:r w:rsidR="00FB71EA" w:rsidRPr="00874FD3">
        <w:rPr>
          <w:noProof/>
          <w:lang w:val="en-GB"/>
        </w:rPr>
        <w:lastRenderedPageBreak/>
        <w:t xml:space="preserve">solution. Namely it would not be possible </w:t>
      </w:r>
      <w:r w:rsidR="00C53F3E">
        <w:rPr>
          <w:noProof/>
          <w:lang w:val="en-GB"/>
        </w:rPr>
        <w:t xml:space="preserve">to </w:t>
      </w:r>
      <w:r w:rsidR="00FB71EA" w:rsidRPr="00874FD3">
        <w:rPr>
          <w:noProof/>
          <w:lang w:val="en-GB"/>
        </w:rPr>
        <w:t>consider to have single active BWP</w:t>
      </w:r>
      <w:r w:rsidR="00D142B4" w:rsidRPr="00874FD3">
        <w:rPr>
          <w:noProof/>
          <w:lang w:val="en-GB"/>
        </w:rPr>
        <w:t>. Furhtermore DMRS configurations could differ e.g. when CBRA is used in target cell.</w:t>
      </w:r>
      <w:r w:rsidR="00981E17" w:rsidRPr="00874FD3">
        <w:rPr>
          <w:noProof/>
          <w:lang w:val="en-GB"/>
        </w:rPr>
        <w:t xml:space="preserve"> Therfore it should be discussed whether these side conditions can be alleviated for simultaneous reception from target and source cells and more independent PDSCH configurations allowed. If not feasible, then it would be neccesary to consider TDM pattern for PDSCH scheduling.</w:t>
      </w:r>
    </w:p>
    <w:p w14:paraId="5F620C1F" w14:textId="5B89F3ED" w:rsidR="001E0E8B" w:rsidRPr="000A6E32" w:rsidRDefault="006A43A8" w:rsidP="006A0DD3">
      <w:pPr>
        <w:rPr>
          <w:noProof/>
          <w:lang w:val="en-GB"/>
        </w:rPr>
      </w:pPr>
      <w:r w:rsidRPr="000A6E32">
        <w:rPr>
          <w:b/>
          <w:noProof/>
          <w:lang w:val="en-GB"/>
        </w:rPr>
        <w:t>Observation:</w:t>
      </w:r>
      <w:r w:rsidRPr="000A6E32">
        <w:rPr>
          <w:noProof/>
          <w:lang w:val="en-GB"/>
        </w:rPr>
        <w:t xml:space="preserve"> Depending on the feasiblity of independent PDSCH configurations in target and source, TDM pattern maybe needed for PDSCH</w:t>
      </w:r>
      <w:r w:rsidR="000A6E32" w:rsidRPr="000A6E32">
        <w:rPr>
          <w:noProof/>
          <w:lang w:val="en-GB"/>
        </w:rPr>
        <w:t>.</w:t>
      </w:r>
    </w:p>
    <w:p w14:paraId="387C5A06" w14:textId="77777777" w:rsidR="00AB1B43" w:rsidRPr="00874FD3" w:rsidRDefault="00AB1B43" w:rsidP="00AB1B43">
      <w:pPr>
        <w:rPr>
          <w:noProof/>
          <w:lang w:val="en-GB"/>
        </w:rPr>
      </w:pPr>
    </w:p>
    <w:p w14:paraId="10445A01" w14:textId="4B2163E6" w:rsidR="00885580" w:rsidRPr="00874FD3" w:rsidRDefault="007820D0" w:rsidP="00885580">
      <w:pPr>
        <w:pStyle w:val="Heading1"/>
        <w:rPr>
          <w:noProof/>
        </w:rPr>
      </w:pPr>
      <w:r w:rsidRPr="00874FD3">
        <w:rPr>
          <w:noProof/>
        </w:rPr>
        <w:t>Conclusion</w:t>
      </w:r>
    </w:p>
    <w:p w14:paraId="72191028" w14:textId="50B413A0" w:rsidR="001E0E8B" w:rsidRPr="00874FD3" w:rsidRDefault="00F2352A" w:rsidP="00AB1B43">
      <w:pPr>
        <w:rPr>
          <w:noProof/>
          <w:lang w:val="en-GB"/>
        </w:rPr>
      </w:pPr>
      <w:r w:rsidRPr="00874FD3">
        <w:rPr>
          <w:noProof/>
          <w:lang w:val="en-GB"/>
        </w:rPr>
        <w:t xml:space="preserve">In this contribution we </w:t>
      </w:r>
      <w:r w:rsidR="00845634" w:rsidRPr="00874FD3">
        <w:rPr>
          <w:noProof/>
          <w:lang w:val="en-GB"/>
        </w:rPr>
        <w:t xml:space="preserve">discussed </w:t>
      </w:r>
      <w:r w:rsidR="001E0E8B" w:rsidRPr="00874FD3">
        <w:rPr>
          <w:noProof/>
          <w:lang w:val="en-GB"/>
        </w:rPr>
        <w:t xml:space="preserve">the </w:t>
      </w:r>
      <w:r w:rsidR="003E3606" w:rsidRPr="00874FD3">
        <w:rPr>
          <w:noProof/>
          <w:lang w:val="en-GB"/>
        </w:rPr>
        <w:t xml:space="preserve">physical layer aspects related </w:t>
      </w:r>
      <w:r w:rsidR="00B160F3">
        <w:rPr>
          <w:noProof/>
          <w:lang w:val="en-GB"/>
        </w:rPr>
        <w:t>DAPS based HO solution</w:t>
      </w:r>
      <w:r w:rsidR="003E3606" w:rsidRPr="00874FD3">
        <w:rPr>
          <w:noProof/>
          <w:lang w:val="en-GB"/>
        </w:rPr>
        <w:t xml:space="preserve">. </w:t>
      </w:r>
    </w:p>
    <w:p w14:paraId="1D486EFF" w14:textId="2761BB57" w:rsidR="00AB1B43" w:rsidRPr="00874FD3" w:rsidRDefault="00AB1B43" w:rsidP="00AB1B43">
      <w:pPr>
        <w:rPr>
          <w:noProof/>
          <w:lang w:val="en-GB"/>
        </w:rPr>
      </w:pPr>
      <w:r w:rsidRPr="00874FD3">
        <w:rPr>
          <w:noProof/>
          <w:lang w:val="en-GB"/>
        </w:rPr>
        <w:t xml:space="preserve">In context of </w:t>
      </w:r>
      <w:r w:rsidR="00B160F3">
        <w:rPr>
          <w:noProof/>
          <w:lang w:val="en-GB"/>
        </w:rPr>
        <w:t xml:space="preserve">bandwidth related </w:t>
      </w:r>
      <w:r w:rsidR="00126FAC" w:rsidRPr="00874FD3">
        <w:rPr>
          <w:noProof/>
          <w:lang w:val="en-GB"/>
        </w:rPr>
        <w:t xml:space="preserve">configuration </w:t>
      </w:r>
      <w:r w:rsidRPr="00874FD3">
        <w:rPr>
          <w:noProof/>
          <w:lang w:val="en-GB"/>
        </w:rPr>
        <w:t xml:space="preserve">we make following </w:t>
      </w:r>
      <w:r w:rsidR="00B160F3">
        <w:rPr>
          <w:noProof/>
          <w:lang w:val="en-GB"/>
        </w:rPr>
        <w:t xml:space="preserve">proposals and </w:t>
      </w:r>
      <w:r w:rsidRPr="00874FD3">
        <w:rPr>
          <w:noProof/>
          <w:lang w:val="en-GB"/>
        </w:rPr>
        <w:t>observations:-</w:t>
      </w:r>
    </w:p>
    <w:p w14:paraId="461CD654" w14:textId="77777777" w:rsidR="00B160F3" w:rsidRPr="00AA28D2" w:rsidRDefault="00B160F3" w:rsidP="00B160F3">
      <w:pPr>
        <w:rPr>
          <w:noProof/>
          <w:lang w:val="en-GB"/>
        </w:rPr>
      </w:pPr>
      <w:r w:rsidRPr="00AA28D2">
        <w:rPr>
          <w:b/>
          <w:noProof/>
          <w:lang w:val="en-GB"/>
        </w:rPr>
        <w:t>Proposal:</w:t>
      </w:r>
      <w:r w:rsidRPr="00AA28D2">
        <w:rPr>
          <w:noProof/>
          <w:lang w:val="en-GB"/>
        </w:rPr>
        <w:t xml:space="preserve"> For FR1 intra-band inter-frequency case it should be possible to configure the BWPs independently, expect for subcarreir spacing which is pending on the UE capability.</w:t>
      </w:r>
    </w:p>
    <w:p w14:paraId="76FD5490" w14:textId="77777777" w:rsidR="00B160F3" w:rsidRPr="00AA28D2" w:rsidRDefault="00B160F3" w:rsidP="00B160F3">
      <w:pPr>
        <w:rPr>
          <w:noProof/>
          <w:lang w:val="en-GB"/>
        </w:rPr>
      </w:pPr>
      <w:r w:rsidRPr="00AA28D2">
        <w:rPr>
          <w:b/>
          <w:noProof/>
          <w:lang w:val="en-GB"/>
        </w:rPr>
        <w:t>Proposal:</w:t>
      </w:r>
      <w:r w:rsidRPr="00AA28D2">
        <w:rPr>
          <w:noProof/>
          <w:lang w:val="en-GB"/>
        </w:rPr>
        <w:t xml:space="preserve"> For FR1 intra-band intra-frequency case the BWPs should overlap, but not neccesarily have same bandwidth.</w:t>
      </w:r>
    </w:p>
    <w:p w14:paraId="3873B30C" w14:textId="3DCCF2DF" w:rsidR="00B160F3" w:rsidRPr="00AA28D2" w:rsidRDefault="00B160F3" w:rsidP="00B160F3">
      <w:pPr>
        <w:rPr>
          <w:noProof/>
          <w:lang w:val="en-GB"/>
        </w:rPr>
      </w:pPr>
      <w:r w:rsidRPr="00AA28D2">
        <w:rPr>
          <w:b/>
          <w:noProof/>
          <w:lang w:val="en-GB"/>
        </w:rPr>
        <w:t>Observation:</w:t>
      </w:r>
      <w:r w:rsidRPr="00AA28D2">
        <w:rPr>
          <w:noProof/>
          <w:lang w:val="en-GB"/>
        </w:rPr>
        <w:t xml:space="preserve"> In FR1 intra-band intra-frequency case, it would not seem neccesary to align </w:t>
      </w:r>
      <w:r w:rsidRPr="00AA28D2">
        <w:rPr>
          <w:i/>
          <w:noProof/>
          <w:lang w:val="en-GB"/>
        </w:rPr>
        <w:t>SCS-SpecificCarrier</w:t>
      </w:r>
      <w:r w:rsidRPr="00AA28D2">
        <w:rPr>
          <w:noProof/>
          <w:lang w:val="en-GB"/>
        </w:rPr>
        <w:t xml:space="preserve"> nor PointA location between the cells. The active BWPs need to fall within the SCS-SpesificCarrier of both </w:t>
      </w:r>
      <w:r w:rsidR="00D2626B">
        <w:rPr>
          <w:noProof/>
          <w:lang w:val="en-GB"/>
        </w:rPr>
        <w:t>source and target</w:t>
      </w:r>
      <w:r w:rsidR="00C22AB3" w:rsidRPr="00C22AB3">
        <w:rPr>
          <w:noProof/>
          <w:lang w:val="en-GB"/>
        </w:rPr>
        <w:t xml:space="preserve"> </w:t>
      </w:r>
      <w:r w:rsidR="00C22AB3" w:rsidRPr="00AA28D2">
        <w:rPr>
          <w:noProof/>
          <w:lang w:val="en-GB"/>
        </w:rPr>
        <w:t>cells</w:t>
      </w:r>
      <w:r w:rsidR="00D2626B">
        <w:rPr>
          <w:noProof/>
          <w:lang w:val="en-GB"/>
        </w:rPr>
        <w:t>.</w:t>
      </w:r>
    </w:p>
    <w:p w14:paraId="680643D1" w14:textId="77777777" w:rsidR="00B160F3" w:rsidRPr="00AA28D2" w:rsidRDefault="00B160F3" w:rsidP="00B160F3">
      <w:pPr>
        <w:rPr>
          <w:noProof/>
          <w:lang w:val="en-GB"/>
        </w:rPr>
      </w:pPr>
      <w:r w:rsidRPr="00AA28D2">
        <w:rPr>
          <w:b/>
          <w:noProof/>
          <w:lang w:val="en-GB"/>
        </w:rPr>
        <w:t>Observation:</w:t>
      </w:r>
      <w:r w:rsidRPr="00AA28D2">
        <w:rPr>
          <w:noProof/>
          <w:lang w:val="en-GB"/>
        </w:rPr>
        <w:t xml:space="preserve"> For simultaneoues transmission to two cells in case of intra-band intra-frequency, the DC locations need to be aligned.</w:t>
      </w:r>
    </w:p>
    <w:p w14:paraId="77AE6298" w14:textId="214958B1" w:rsidR="00691A34" w:rsidRDefault="00B160F3" w:rsidP="00AB1B43">
      <w:pPr>
        <w:rPr>
          <w:noProof/>
          <w:lang w:val="en-GB"/>
        </w:rPr>
      </w:pPr>
      <w:r>
        <w:rPr>
          <w:noProof/>
          <w:lang w:val="en-GB"/>
        </w:rPr>
        <w:t>On the UL and DL resource configurations, including the RACH configurations, we make following proposals and observations:-</w:t>
      </w:r>
    </w:p>
    <w:p w14:paraId="7B4864D1" w14:textId="77777777" w:rsidR="00B160F3" w:rsidRPr="00AA28D2" w:rsidRDefault="00B160F3" w:rsidP="00B160F3">
      <w:pPr>
        <w:rPr>
          <w:noProof/>
          <w:lang w:val="en-GB"/>
        </w:rPr>
      </w:pPr>
      <w:r w:rsidRPr="00AA28D2">
        <w:rPr>
          <w:b/>
          <w:noProof/>
          <w:lang w:val="en-GB"/>
        </w:rPr>
        <w:t>Observation:</w:t>
      </w:r>
      <w:r w:rsidRPr="00AA28D2">
        <w:rPr>
          <w:noProof/>
          <w:lang w:val="en-GB"/>
        </w:rPr>
        <w:t xml:space="preserve"> RACH configurations, including the preamble numerologies and occassions, may be different</w:t>
      </w:r>
      <w:r>
        <w:rPr>
          <w:noProof/>
          <w:lang w:val="en-GB"/>
        </w:rPr>
        <w:t xml:space="preserve"> in source and target cells</w:t>
      </w:r>
      <w:r w:rsidRPr="00AA28D2">
        <w:rPr>
          <w:noProof/>
          <w:lang w:val="en-GB"/>
        </w:rPr>
        <w:t>.</w:t>
      </w:r>
    </w:p>
    <w:p w14:paraId="235093FF" w14:textId="77777777" w:rsidR="00B160F3" w:rsidRPr="00AA28D2" w:rsidRDefault="00B160F3" w:rsidP="00B160F3">
      <w:pPr>
        <w:rPr>
          <w:noProof/>
          <w:lang w:val="en-GB"/>
        </w:rPr>
      </w:pPr>
      <w:r w:rsidRPr="00AA28D2">
        <w:rPr>
          <w:b/>
          <w:noProof/>
          <w:lang w:val="en-GB"/>
        </w:rPr>
        <w:t>Proposal:</w:t>
      </w:r>
      <w:r w:rsidRPr="00AA28D2">
        <w:rPr>
          <w:noProof/>
          <w:lang w:val="en-GB"/>
        </w:rPr>
        <w:t xml:space="preserve"> RACH configurations, including subcarrier spacing, can be independent in source and target cell.</w:t>
      </w:r>
    </w:p>
    <w:p w14:paraId="51DFDB11" w14:textId="77777777" w:rsidR="00B160F3" w:rsidRPr="00AA28D2" w:rsidRDefault="00B160F3" w:rsidP="00B160F3">
      <w:pPr>
        <w:rPr>
          <w:noProof/>
          <w:lang w:val="en-GB"/>
        </w:rPr>
      </w:pPr>
      <w:r w:rsidRPr="00AA28D2">
        <w:rPr>
          <w:b/>
          <w:noProof/>
          <w:lang w:val="en-GB"/>
        </w:rPr>
        <w:t xml:space="preserve">Proposal: </w:t>
      </w:r>
      <w:r w:rsidRPr="00AA28D2">
        <w:rPr>
          <w:noProof/>
          <w:lang w:val="en-GB"/>
        </w:rPr>
        <w:t>To avoid source cell UL and DL blocking due to target cell RACH occassions, some UE assistance information</w:t>
      </w:r>
      <w:r>
        <w:rPr>
          <w:noProof/>
          <w:lang w:val="en-GB"/>
        </w:rPr>
        <w:t xml:space="preserve"> on selected RACH resources</w:t>
      </w:r>
      <w:r w:rsidRPr="00AA28D2">
        <w:rPr>
          <w:noProof/>
          <w:lang w:val="en-GB"/>
        </w:rPr>
        <w:t xml:space="preserve"> could be considered for CBRA.</w:t>
      </w:r>
    </w:p>
    <w:p w14:paraId="31672A84" w14:textId="77777777" w:rsidR="00B160F3" w:rsidRPr="00AA28D2" w:rsidRDefault="00B160F3" w:rsidP="00B160F3">
      <w:pPr>
        <w:rPr>
          <w:noProof/>
          <w:lang w:val="en-GB"/>
        </w:rPr>
      </w:pPr>
      <w:r w:rsidRPr="00AA28D2">
        <w:rPr>
          <w:b/>
          <w:noProof/>
          <w:lang w:val="en-GB"/>
        </w:rPr>
        <w:t>Proposal:</w:t>
      </w:r>
      <w:r>
        <w:rPr>
          <w:noProof/>
          <w:lang w:val="en-GB"/>
        </w:rPr>
        <w:t xml:space="preserve"> TDM pattern is used for UL data/cntrl collision avoidance between target and source.</w:t>
      </w:r>
    </w:p>
    <w:p w14:paraId="17669A80" w14:textId="77777777" w:rsidR="00B160F3" w:rsidRPr="00AA28D2" w:rsidRDefault="00B160F3" w:rsidP="00B160F3">
      <w:pPr>
        <w:rPr>
          <w:noProof/>
          <w:lang w:val="en-GB"/>
        </w:rPr>
      </w:pPr>
      <w:r w:rsidRPr="00AA28D2">
        <w:rPr>
          <w:b/>
          <w:noProof/>
          <w:lang w:val="en-GB"/>
        </w:rPr>
        <w:t>Observation:</w:t>
      </w:r>
      <w:r>
        <w:rPr>
          <w:noProof/>
          <w:lang w:val="en-GB"/>
        </w:rPr>
        <w:t xml:space="preserve"> PDCCH configurations of source and target cell could be independent.</w:t>
      </w:r>
    </w:p>
    <w:p w14:paraId="36A48D09" w14:textId="77777777" w:rsidR="00B160F3" w:rsidRDefault="00B160F3" w:rsidP="00B160F3">
      <w:pPr>
        <w:rPr>
          <w:noProof/>
          <w:lang w:val="en-GB"/>
        </w:rPr>
      </w:pPr>
      <w:r w:rsidRPr="00AA28D2">
        <w:rPr>
          <w:b/>
          <w:noProof/>
          <w:lang w:val="en-GB"/>
        </w:rPr>
        <w:t>Observation:</w:t>
      </w:r>
      <w:r>
        <w:rPr>
          <w:noProof/>
          <w:lang w:val="en-GB"/>
        </w:rPr>
        <w:t xml:space="preserve"> For PDCCH reception consider whether TDM approach is needed or whether PDCCH can be monitored simultaneously from source and target. </w:t>
      </w:r>
    </w:p>
    <w:p w14:paraId="5BBDF413" w14:textId="0FE81EAC" w:rsidR="00B160F3" w:rsidRPr="00874FD3" w:rsidRDefault="00B160F3" w:rsidP="00AB1B43">
      <w:pPr>
        <w:rPr>
          <w:noProof/>
          <w:lang w:val="en-GB"/>
        </w:rPr>
      </w:pPr>
      <w:r w:rsidRPr="00AA28D2">
        <w:rPr>
          <w:b/>
          <w:noProof/>
          <w:lang w:val="en-GB"/>
        </w:rPr>
        <w:t>Observation:</w:t>
      </w:r>
      <w:r>
        <w:rPr>
          <w:noProof/>
          <w:lang w:val="en-GB"/>
        </w:rPr>
        <w:t xml:space="preserve"> Depending on the feasiblity of independent PDSCH configurations in target and source, TDM pattern maybe needed for PDSCH</w:t>
      </w:r>
    </w:p>
    <w:p w14:paraId="0FACC9CC" w14:textId="77777777" w:rsidR="00F2352A" w:rsidRPr="00874FD3" w:rsidRDefault="00F2352A" w:rsidP="00885580">
      <w:pPr>
        <w:rPr>
          <w:noProof/>
          <w:lang w:val="en-GB"/>
        </w:rPr>
      </w:pPr>
    </w:p>
    <w:p w14:paraId="53CD9119" w14:textId="77777777" w:rsidR="00885580" w:rsidRPr="00874FD3" w:rsidRDefault="00885580" w:rsidP="00885580">
      <w:pPr>
        <w:pStyle w:val="Heading1"/>
        <w:numPr>
          <w:ilvl w:val="0"/>
          <w:numId w:val="0"/>
        </w:numPr>
        <w:rPr>
          <w:noProof/>
        </w:rPr>
      </w:pPr>
      <w:r w:rsidRPr="00874FD3">
        <w:rPr>
          <w:noProof/>
        </w:rPr>
        <w:t>References</w:t>
      </w:r>
    </w:p>
    <w:p w14:paraId="42585CD1" w14:textId="5379E7A3" w:rsidR="00366C1B" w:rsidRPr="00874FD3" w:rsidRDefault="00F6559B" w:rsidP="007820D0">
      <w:pPr>
        <w:pStyle w:val="ListParagraph"/>
        <w:numPr>
          <w:ilvl w:val="0"/>
          <w:numId w:val="12"/>
        </w:numPr>
        <w:rPr>
          <w:noProof/>
          <w:sz w:val="20"/>
          <w:lang w:val="en-GB"/>
        </w:rPr>
      </w:pPr>
      <w:bookmarkStart w:id="3" w:name="_Ref769929"/>
      <w:r w:rsidRPr="00874FD3">
        <w:rPr>
          <w:noProof/>
          <w:sz w:val="20"/>
          <w:lang w:val="en-GB"/>
        </w:rPr>
        <w:t>RP-192277</w:t>
      </w:r>
      <w:r w:rsidR="00366C1B" w:rsidRPr="00874FD3">
        <w:rPr>
          <w:noProof/>
          <w:sz w:val="20"/>
          <w:lang w:val="en-GB"/>
        </w:rPr>
        <w:t xml:space="preserve">, </w:t>
      </w:r>
      <w:r w:rsidR="00671655" w:rsidRPr="00874FD3">
        <w:rPr>
          <w:noProof/>
          <w:sz w:val="20"/>
          <w:lang w:val="en-GB"/>
        </w:rPr>
        <w:t>New WID: NR mobility enhancements, 3GPP TSG RAN#8</w:t>
      </w:r>
      <w:r w:rsidRPr="00874FD3">
        <w:rPr>
          <w:noProof/>
          <w:sz w:val="20"/>
          <w:lang w:val="en-GB"/>
        </w:rPr>
        <w:t>5</w:t>
      </w:r>
      <w:bookmarkEnd w:id="3"/>
    </w:p>
    <w:p w14:paraId="3709D833" w14:textId="2707E139" w:rsidR="00947A2B" w:rsidRPr="00874FD3" w:rsidRDefault="00947A2B" w:rsidP="00947A2B">
      <w:pPr>
        <w:pStyle w:val="ListParagraph"/>
        <w:numPr>
          <w:ilvl w:val="0"/>
          <w:numId w:val="12"/>
        </w:numPr>
        <w:rPr>
          <w:noProof/>
          <w:sz w:val="20"/>
          <w:lang w:val="en-GB"/>
        </w:rPr>
      </w:pPr>
      <w:bookmarkStart w:id="4" w:name="_Ref4763489"/>
      <w:bookmarkStart w:id="5" w:name="_Ref7542162"/>
      <w:r w:rsidRPr="00874FD3">
        <w:rPr>
          <w:noProof/>
          <w:sz w:val="20"/>
          <w:lang w:val="en-GB"/>
        </w:rPr>
        <w:lastRenderedPageBreak/>
        <w:t>R1-1905780, Reply LS on NR mobility enhancements, RAN1</w:t>
      </w:r>
      <w:bookmarkEnd w:id="5"/>
    </w:p>
    <w:p w14:paraId="745816D4" w14:textId="580F9F06" w:rsidR="003E6889" w:rsidRPr="00874FD3" w:rsidRDefault="003E6889" w:rsidP="00947A2B">
      <w:pPr>
        <w:pStyle w:val="ListParagraph"/>
        <w:numPr>
          <w:ilvl w:val="0"/>
          <w:numId w:val="12"/>
        </w:numPr>
        <w:rPr>
          <w:noProof/>
          <w:sz w:val="20"/>
          <w:lang w:val="en-GB"/>
        </w:rPr>
      </w:pPr>
      <w:bookmarkStart w:id="6" w:name="_Ref20816396"/>
      <w:r w:rsidRPr="00874FD3">
        <w:rPr>
          <w:noProof/>
          <w:sz w:val="20"/>
          <w:lang w:val="en-GB"/>
        </w:rPr>
        <w:t>R4.1902030, Reply LS on the interruption time during mobility in LTE, RAN4</w:t>
      </w:r>
      <w:bookmarkEnd w:id="6"/>
    </w:p>
    <w:bookmarkEnd w:id="4"/>
    <w:p w14:paraId="7FF5F37B" w14:textId="7A1BE7F4" w:rsidR="00961EE9" w:rsidRPr="00874FD3" w:rsidRDefault="00961EE9" w:rsidP="00D37A1A">
      <w:pPr>
        <w:rPr>
          <w:noProof/>
          <w:lang w:val="en-GB"/>
        </w:rPr>
      </w:pPr>
    </w:p>
    <w:p w14:paraId="1B9E7387" w14:textId="77777777" w:rsidR="00626BE0" w:rsidRPr="00874FD3" w:rsidRDefault="00626BE0" w:rsidP="00D37A1A">
      <w:pPr>
        <w:rPr>
          <w:noProof/>
          <w:lang w:val="en-GB"/>
        </w:rPr>
      </w:pPr>
    </w:p>
    <w:sectPr w:rsidR="00626BE0" w:rsidRPr="00874FD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3C8FF" w14:textId="77777777" w:rsidR="006A704B" w:rsidRDefault="006A704B">
      <w:r>
        <w:separator/>
      </w:r>
    </w:p>
  </w:endnote>
  <w:endnote w:type="continuationSeparator" w:id="0">
    <w:p w14:paraId="01E07283" w14:textId="77777777" w:rsidR="006A704B" w:rsidRDefault="006A704B">
      <w:r>
        <w:continuationSeparator/>
      </w:r>
    </w:p>
  </w:endnote>
  <w:endnote w:type="continuationNotice" w:id="1">
    <w:p w14:paraId="0036E52E" w14:textId="77777777" w:rsidR="006A704B" w:rsidRDefault="006A70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10AC7" w14:textId="77777777" w:rsidR="006A704B" w:rsidRDefault="006A704B">
      <w:r>
        <w:separator/>
      </w:r>
    </w:p>
  </w:footnote>
  <w:footnote w:type="continuationSeparator" w:id="0">
    <w:p w14:paraId="6AAC21E8" w14:textId="77777777" w:rsidR="006A704B" w:rsidRDefault="006A704B">
      <w:r>
        <w:continuationSeparator/>
      </w:r>
    </w:p>
  </w:footnote>
  <w:footnote w:type="continuationNotice" w:id="1">
    <w:p w14:paraId="02183D25" w14:textId="77777777" w:rsidR="006A704B" w:rsidRDefault="006A70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EC1681"/>
    <w:multiLevelType w:val="hybridMultilevel"/>
    <w:tmpl w:val="32A8DA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7" w15:restartNumberingAfterBreak="0">
    <w:nsid w:val="5FF04BF4"/>
    <w:multiLevelType w:val="hybridMultilevel"/>
    <w:tmpl w:val="637E325A"/>
    <w:lvl w:ilvl="0" w:tplc="7AA225E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46F460E"/>
    <w:multiLevelType w:val="hybridMultilevel"/>
    <w:tmpl w:val="6E6216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48116A"/>
    <w:multiLevelType w:val="hybridMultilevel"/>
    <w:tmpl w:val="515ED5C8"/>
    <w:lvl w:ilvl="0" w:tplc="7FDCACF2">
      <w:numFmt w:val="bullet"/>
      <w:lvlText w:val="-"/>
      <w:lvlJc w:val="left"/>
      <w:pPr>
        <w:ind w:left="720" w:hanging="360"/>
      </w:pPr>
      <w:rPr>
        <w:rFonts w:ascii="Calibri" w:eastAsiaTheme="minorHAns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0"/>
  </w:num>
  <w:num w:numId="4">
    <w:abstractNumId w:val="1"/>
  </w:num>
  <w:num w:numId="5">
    <w:abstractNumId w:val="9"/>
  </w:num>
  <w:num w:numId="6">
    <w:abstractNumId w:val="16"/>
  </w:num>
  <w:num w:numId="7">
    <w:abstractNumId w:val="11"/>
  </w:num>
  <w:num w:numId="8">
    <w:abstractNumId w:val="8"/>
  </w:num>
  <w:num w:numId="9">
    <w:abstractNumId w:val="19"/>
  </w:num>
  <w:num w:numId="10">
    <w:abstractNumId w:val="4"/>
  </w:num>
  <w:num w:numId="11">
    <w:abstractNumId w:val="12"/>
  </w:num>
  <w:num w:numId="12">
    <w:abstractNumId w:val="2"/>
  </w:num>
  <w:num w:numId="13">
    <w:abstractNumId w:val="7"/>
  </w:num>
  <w:num w:numId="14">
    <w:abstractNumId w:val="13"/>
  </w:num>
  <w:num w:numId="15">
    <w:abstractNumId w:val="3"/>
  </w:num>
  <w:num w:numId="16">
    <w:abstractNumId w:val="6"/>
  </w:num>
  <w:num w:numId="17">
    <w:abstractNumId w:val="10"/>
  </w:num>
  <w:num w:numId="18">
    <w:abstractNumId w:val="18"/>
  </w:num>
  <w:num w:numId="19">
    <w:abstractNumId w:val="17"/>
  </w:num>
  <w:num w:numId="20">
    <w:abstractNumId w:val="14"/>
  </w:num>
  <w:num w:numId="21">
    <w:abstractNumId w:val="20"/>
  </w:num>
  <w:num w:numId="2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7D0"/>
    <w:rsid w:val="00011BB2"/>
    <w:rsid w:val="00012505"/>
    <w:rsid w:val="00012685"/>
    <w:rsid w:val="00012C4F"/>
    <w:rsid w:val="000131D1"/>
    <w:rsid w:val="00013455"/>
    <w:rsid w:val="000134E3"/>
    <w:rsid w:val="00013632"/>
    <w:rsid w:val="00013F5E"/>
    <w:rsid w:val="0001403F"/>
    <w:rsid w:val="0001487F"/>
    <w:rsid w:val="00014F35"/>
    <w:rsid w:val="00015A5A"/>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4F90"/>
    <w:rsid w:val="00035691"/>
    <w:rsid w:val="00035F06"/>
    <w:rsid w:val="0003767C"/>
    <w:rsid w:val="00037F49"/>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67A19"/>
    <w:rsid w:val="000701AD"/>
    <w:rsid w:val="000707CA"/>
    <w:rsid w:val="00070D21"/>
    <w:rsid w:val="00071037"/>
    <w:rsid w:val="000717FB"/>
    <w:rsid w:val="000719BF"/>
    <w:rsid w:val="0007208A"/>
    <w:rsid w:val="0007213C"/>
    <w:rsid w:val="00072BBA"/>
    <w:rsid w:val="00072FF5"/>
    <w:rsid w:val="000730DC"/>
    <w:rsid w:val="00073535"/>
    <w:rsid w:val="000736FC"/>
    <w:rsid w:val="00074314"/>
    <w:rsid w:val="00075965"/>
    <w:rsid w:val="00075FDA"/>
    <w:rsid w:val="00076386"/>
    <w:rsid w:val="00076D82"/>
    <w:rsid w:val="00081EC2"/>
    <w:rsid w:val="00082154"/>
    <w:rsid w:val="00083800"/>
    <w:rsid w:val="00084A65"/>
    <w:rsid w:val="0008559A"/>
    <w:rsid w:val="000902C2"/>
    <w:rsid w:val="00091A92"/>
    <w:rsid w:val="00093C49"/>
    <w:rsid w:val="00095A80"/>
    <w:rsid w:val="0009723F"/>
    <w:rsid w:val="000973BE"/>
    <w:rsid w:val="000973E1"/>
    <w:rsid w:val="000A1402"/>
    <w:rsid w:val="000A20BA"/>
    <w:rsid w:val="000A262C"/>
    <w:rsid w:val="000A3C8D"/>
    <w:rsid w:val="000A3DFE"/>
    <w:rsid w:val="000A40EC"/>
    <w:rsid w:val="000A511D"/>
    <w:rsid w:val="000A54EE"/>
    <w:rsid w:val="000A6A23"/>
    <w:rsid w:val="000A6E32"/>
    <w:rsid w:val="000A7BC5"/>
    <w:rsid w:val="000B0C45"/>
    <w:rsid w:val="000B13E1"/>
    <w:rsid w:val="000B16DB"/>
    <w:rsid w:val="000B1C5E"/>
    <w:rsid w:val="000B1F3C"/>
    <w:rsid w:val="000B2282"/>
    <w:rsid w:val="000B27E9"/>
    <w:rsid w:val="000B2A11"/>
    <w:rsid w:val="000B2A5B"/>
    <w:rsid w:val="000B3B91"/>
    <w:rsid w:val="000B4207"/>
    <w:rsid w:val="000B4B1B"/>
    <w:rsid w:val="000B50C3"/>
    <w:rsid w:val="000B5AC9"/>
    <w:rsid w:val="000B5F0A"/>
    <w:rsid w:val="000B6D65"/>
    <w:rsid w:val="000B71F2"/>
    <w:rsid w:val="000C1D59"/>
    <w:rsid w:val="000C2B09"/>
    <w:rsid w:val="000C30CF"/>
    <w:rsid w:val="000C501D"/>
    <w:rsid w:val="000C5CBA"/>
    <w:rsid w:val="000C74BA"/>
    <w:rsid w:val="000C7531"/>
    <w:rsid w:val="000C7BA7"/>
    <w:rsid w:val="000C7C3F"/>
    <w:rsid w:val="000D04BC"/>
    <w:rsid w:val="000D0BD6"/>
    <w:rsid w:val="000D0C61"/>
    <w:rsid w:val="000D1440"/>
    <w:rsid w:val="000D27AD"/>
    <w:rsid w:val="000D29D1"/>
    <w:rsid w:val="000D2B0A"/>
    <w:rsid w:val="000D3286"/>
    <w:rsid w:val="000D344D"/>
    <w:rsid w:val="000D40E7"/>
    <w:rsid w:val="000D584F"/>
    <w:rsid w:val="000D7282"/>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E7EA2"/>
    <w:rsid w:val="000F15B2"/>
    <w:rsid w:val="000F19DE"/>
    <w:rsid w:val="000F2E1F"/>
    <w:rsid w:val="000F37B0"/>
    <w:rsid w:val="000F4595"/>
    <w:rsid w:val="000F4CB2"/>
    <w:rsid w:val="000F4E44"/>
    <w:rsid w:val="000F4E90"/>
    <w:rsid w:val="000F53C2"/>
    <w:rsid w:val="000F568D"/>
    <w:rsid w:val="000F68D0"/>
    <w:rsid w:val="000F6B15"/>
    <w:rsid w:val="000F6D8E"/>
    <w:rsid w:val="0010170B"/>
    <w:rsid w:val="00101C4F"/>
    <w:rsid w:val="00102C9F"/>
    <w:rsid w:val="00105491"/>
    <w:rsid w:val="001061D1"/>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69BF"/>
    <w:rsid w:val="00126FAC"/>
    <w:rsid w:val="00127099"/>
    <w:rsid w:val="001322F6"/>
    <w:rsid w:val="00132830"/>
    <w:rsid w:val="00132B71"/>
    <w:rsid w:val="0013427A"/>
    <w:rsid w:val="001348FE"/>
    <w:rsid w:val="00134B36"/>
    <w:rsid w:val="00134D55"/>
    <w:rsid w:val="001360F3"/>
    <w:rsid w:val="001362C2"/>
    <w:rsid w:val="0013678C"/>
    <w:rsid w:val="00136955"/>
    <w:rsid w:val="00136E19"/>
    <w:rsid w:val="001371B2"/>
    <w:rsid w:val="00137677"/>
    <w:rsid w:val="00137AB9"/>
    <w:rsid w:val="00137D78"/>
    <w:rsid w:val="0014060C"/>
    <w:rsid w:val="001409A0"/>
    <w:rsid w:val="00141E40"/>
    <w:rsid w:val="00141F08"/>
    <w:rsid w:val="00141FF2"/>
    <w:rsid w:val="0014287A"/>
    <w:rsid w:val="00142DE2"/>
    <w:rsid w:val="00144C87"/>
    <w:rsid w:val="00145152"/>
    <w:rsid w:val="00145818"/>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67E10"/>
    <w:rsid w:val="00170A50"/>
    <w:rsid w:val="00174FFD"/>
    <w:rsid w:val="001759CA"/>
    <w:rsid w:val="0017726A"/>
    <w:rsid w:val="00177DD3"/>
    <w:rsid w:val="00180278"/>
    <w:rsid w:val="001807F2"/>
    <w:rsid w:val="001818A7"/>
    <w:rsid w:val="00181DB6"/>
    <w:rsid w:val="00182725"/>
    <w:rsid w:val="001829C8"/>
    <w:rsid w:val="001853D8"/>
    <w:rsid w:val="00186904"/>
    <w:rsid w:val="00186B0A"/>
    <w:rsid w:val="001905BD"/>
    <w:rsid w:val="00190CF5"/>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6FB"/>
    <w:rsid w:val="001B0832"/>
    <w:rsid w:val="001B18A7"/>
    <w:rsid w:val="001B2762"/>
    <w:rsid w:val="001B36FC"/>
    <w:rsid w:val="001B41ED"/>
    <w:rsid w:val="001B4607"/>
    <w:rsid w:val="001B7E0C"/>
    <w:rsid w:val="001C0674"/>
    <w:rsid w:val="001C1405"/>
    <w:rsid w:val="001C1735"/>
    <w:rsid w:val="001C1B93"/>
    <w:rsid w:val="001C226F"/>
    <w:rsid w:val="001C5296"/>
    <w:rsid w:val="001C66AC"/>
    <w:rsid w:val="001C6754"/>
    <w:rsid w:val="001C77F0"/>
    <w:rsid w:val="001D2E51"/>
    <w:rsid w:val="001D30C9"/>
    <w:rsid w:val="001D445B"/>
    <w:rsid w:val="001D46A0"/>
    <w:rsid w:val="001D50C2"/>
    <w:rsid w:val="001D753C"/>
    <w:rsid w:val="001D7CA4"/>
    <w:rsid w:val="001D7E58"/>
    <w:rsid w:val="001E0E8B"/>
    <w:rsid w:val="001E104C"/>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032"/>
    <w:rsid w:val="001F4DAC"/>
    <w:rsid w:val="001F4EC8"/>
    <w:rsid w:val="001F5019"/>
    <w:rsid w:val="001F51C5"/>
    <w:rsid w:val="001F65B0"/>
    <w:rsid w:val="001F67AA"/>
    <w:rsid w:val="001F6AFD"/>
    <w:rsid w:val="001F738D"/>
    <w:rsid w:val="001F7599"/>
    <w:rsid w:val="002001BE"/>
    <w:rsid w:val="00202E74"/>
    <w:rsid w:val="00202F4E"/>
    <w:rsid w:val="00204307"/>
    <w:rsid w:val="00204616"/>
    <w:rsid w:val="00204A2A"/>
    <w:rsid w:val="00204B22"/>
    <w:rsid w:val="00204B3A"/>
    <w:rsid w:val="0020535A"/>
    <w:rsid w:val="002055CB"/>
    <w:rsid w:val="002059EF"/>
    <w:rsid w:val="00205BDB"/>
    <w:rsid w:val="00206955"/>
    <w:rsid w:val="00206A79"/>
    <w:rsid w:val="00210309"/>
    <w:rsid w:val="002106A0"/>
    <w:rsid w:val="00211519"/>
    <w:rsid w:val="0021224B"/>
    <w:rsid w:val="00212950"/>
    <w:rsid w:val="00212FB8"/>
    <w:rsid w:val="00213709"/>
    <w:rsid w:val="002149AF"/>
    <w:rsid w:val="00214A86"/>
    <w:rsid w:val="00215947"/>
    <w:rsid w:val="00215AAA"/>
    <w:rsid w:val="0021683C"/>
    <w:rsid w:val="00216F5F"/>
    <w:rsid w:val="00217114"/>
    <w:rsid w:val="00220615"/>
    <w:rsid w:val="00221985"/>
    <w:rsid w:val="00221EC5"/>
    <w:rsid w:val="00222A7A"/>
    <w:rsid w:val="00224A2C"/>
    <w:rsid w:val="00225111"/>
    <w:rsid w:val="00225217"/>
    <w:rsid w:val="002256D9"/>
    <w:rsid w:val="00226577"/>
    <w:rsid w:val="0022687C"/>
    <w:rsid w:val="00230115"/>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7B9"/>
    <w:rsid w:val="00242E22"/>
    <w:rsid w:val="0024336B"/>
    <w:rsid w:val="00244194"/>
    <w:rsid w:val="0024424F"/>
    <w:rsid w:val="00244D28"/>
    <w:rsid w:val="00245689"/>
    <w:rsid w:val="00245720"/>
    <w:rsid w:val="00245A6F"/>
    <w:rsid w:val="00245FD5"/>
    <w:rsid w:val="002477DF"/>
    <w:rsid w:val="00251A58"/>
    <w:rsid w:val="00251AD6"/>
    <w:rsid w:val="00252C17"/>
    <w:rsid w:val="0025307F"/>
    <w:rsid w:val="002551BD"/>
    <w:rsid w:val="002568D0"/>
    <w:rsid w:val="00260AEE"/>
    <w:rsid w:val="002621A6"/>
    <w:rsid w:val="00262661"/>
    <w:rsid w:val="00262D9D"/>
    <w:rsid w:val="002632DF"/>
    <w:rsid w:val="00263676"/>
    <w:rsid w:val="00263946"/>
    <w:rsid w:val="002640BA"/>
    <w:rsid w:val="00264CF2"/>
    <w:rsid w:val="00265EB5"/>
    <w:rsid w:val="00266082"/>
    <w:rsid w:val="002667A8"/>
    <w:rsid w:val="00267587"/>
    <w:rsid w:val="002675C8"/>
    <w:rsid w:val="00267760"/>
    <w:rsid w:val="00271589"/>
    <w:rsid w:val="00273177"/>
    <w:rsid w:val="0027455B"/>
    <w:rsid w:val="00275074"/>
    <w:rsid w:val="002763E9"/>
    <w:rsid w:val="00276736"/>
    <w:rsid w:val="00276F4E"/>
    <w:rsid w:val="0027773D"/>
    <w:rsid w:val="002815FA"/>
    <w:rsid w:val="002819A1"/>
    <w:rsid w:val="00281ECA"/>
    <w:rsid w:val="002824C2"/>
    <w:rsid w:val="002847A7"/>
    <w:rsid w:val="00284E32"/>
    <w:rsid w:val="002851EB"/>
    <w:rsid w:val="00285510"/>
    <w:rsid w:val="00285BD1"/>
    <w:rsid w:val="00285DE2"/>
    <w:rsid w:val="0028616D"/>
    <w:rsid w:val="00286965"/>
    <w:rsid w:val="00287985"/>
    <w:rsid w:val="0029136E"/>
    <w:rsid w:val="00292399"/>
    <w:rsid w:val="00293043"/>
    <w:rsid w:val="00294445"/>
    <w:rsid w:val="00294B4D"/>
    <w:rsid w:val="0029537E"/>
    <w:rsid w:val="002960D5"/>
    <w:rsid w:val="002971FE"/>
    <w:rsid w:val="00297926"/>
    <w:rsid w:val="002A02C9"/>
    <w:rsid w:val="002A1062"/>
    <w:rsid w:val="002A2012"/>
    <w:rsid w:val="002A2413"/>
    <w:rsid w:val="002A2F5E"/>
    <w:rsid w:val="002A352A"/>
    <w:rsid w:val="002A4731"/>
    <w:rsid w:val="002A4D21"/>
    <w:rsid w:val="002A607D"/>
    <w:rsid w:val="002B0507"/>
    <w:rsid w:val="002B132E"/>
    <w:rsid w:val="002B1499"/>
    <w:rsid w:val="002B1F83"/>
    <w:rsid w:val="002B2813"/>
    <w:rsid w:val="002B2D29"/>
    <w:rsid w:val="002B3B31"/>
    <w:rsid w:val="002B3BBD"/>
    <w:rsid w:val="002B570B"/>
    <w:rsid w:val="002C0930"/>
    <w:rsid w:val="002C0C4B"/>
    <w:rsid w:val="002C1EEA"/>
    <w:rsid w:val="002C47AD"/>
    <w:rsid w:val="002C5510"/>
    <w:rsid w:val="002C6034"/>
    <w:rsid w:val="002C635B"/>
    <w:rsid w:val="002C7276"/>
    <w:rsid w:val="002C770F"/>
    <w:rsid w:val="002C7CFF"/>
    <w:rsid w:val="002D0BC6"/>
    <w:rsid w:val="002D12DB"/>
    <w:rsid w:val="002D17C5"/>
    <w:rsid w:val="002D365F"/>
    <w:rsid w:val="002D3A54"/>
    <w:rsid w:val="002D51DF"/>
    <w:rsid w:val="002D6892"/>
    <w:rsid w:val="002D68C2"/>
    <w:rsid w:val="002D7C86"/>
    <w:rsid w:val="002E0692"/>
    <w:rsid w:val="002E1D74"/>
    <w:rsid w:val="002E208C"/>
    <w:rsid w:val="002E2943"/>
    <w:rsid w:val="002E2CF1"/>
    <w:rsid w:val="002E34AF"/>
    <w:rsid w:val="002E418F"/>
    <w:rsid w:val="002E4AAC"/>
    <w:rsid w:val="002E53DE"/>
    <w:rsid w:val="002E563B"/>
    <w:rsid w:val="002E62D2"/>
    <w:rsid w:val="002E6B73"/>
    <w:rsid w:val="002E734F"/>
    <w:rsid w:val="002E74AF"/>
    <w:rsid w:val="002E758C"/>
    <w:rsid w:val="002F1038"/>
    <w:rsid w:val="002F22FF"/>
    <w:rsid w:val="002F2D8F"/>
    <w:rsid w:val="002F5BE4"/>
    <w:rsid w:val="002F695B"/>
    <w:rsid w:val="002F72DA"/>
    <w:rsid w:val="002F76B1"/>
    <w:rsid w:val="002F7D66"/>
    <w:rsid w:val="002F7DBE"/>
    <w:rsid w:val="00300536"/>
    <w:rsid w:val="0030090B"/>
    <w:rsid w:val="00300932"/>
    <w:rsid w:val="00302AE8"/>
    <w:rsid w:val="00302BB1"/>
    <w:rsid w:val="003030F0"/>
    <w:rsid w:val="00303E64"/>
    <w:rsid w:val="0030404B"/>
    <w:rsid w:val="00304210"/>
    <w:rsid w:val="003048D7"/>
    <w:rsid w:val="00304A1B"/>
    <w:rsid w:val="00304AD2"/>
    <w:rsid w:val="00304EAA"/>
    <w:rsid w:val="00305297"/>
    <w:rsid w:val="00305A19"/>
    <w:rsid w:val="003062E6"/>
    <w:rsid w:val="003064CD"/>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116"/>
    <w:rsid w:val="003224AA"/>
    <w:rsid w:val="003224E7"/>
    <w:rsid w:val="003237BC"/>
    <w:rsid w:val="00325D7A"/>
    <w:rsid w:val="00326145"/>
    <w:rsid w:val="00327163"/>
    <w:rsid w:val="00327305"/>
    <w:rsid w:val="00327531"/>
    <w:rsid w:val="00330187"/>
    <w:rsid w:val="00331C77"/>
    <w:rsid w:val="00331DB6"/>
    <w:rsid w:val="00331F96"/>
    <w:rsid w:val="00332B55"/>
    <w:rsid w:val="003336B9"/>
    <w:rsid w:val="0033476C"/>
    <w:rsid w:val="00335320"/>
    <w:rsid w:val="00335EA8"/>
    <w:rsid w:val="003363DD"/>
    <w:rsid w:val="00337810"/>
    <w:rsid w:val="00337FC4"/>
    <w:rsid w:val="00340361"/>
    <w:rsid w:val="00340795"/>
    <w:rsid w:val="0034111C"/>
    <w:rsid w:val="00341E60"/>
    <w:rsid w:val="0034217F"/>
    <w:rsid w:val="00342AD2"/>
    <w:rsid w:val="00343954"/>
    <w:rsid w:val="00345405"/>
    <w:rsid w:val="00345DDD"/>
    <w:rsid w:val="00346FED"/>
    <w:rsid w:val="00350A2C"/>
    <w:rsid w:val="00351E01"/>
    <w:rsid w:val="003528E6"/>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1AF2"/>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660E"/>
    <w:rsid w:val="003D764F"/>
    <w:rsid w:val="003E0042"/>
    <w:rsid w:val="003E0667"/>
    <w:rsid w:val="003E0BCE"/>
    <w:rsid w:val="003E13E0"/>
    <w:rsid w:val="003E1660"/>
    <w:rsid w:val="003E1CD1"/>
    <w:rsid w:val="003E2A2D"/>
    <w:rsid w:val="003E3606"/>
    <w:rsid w:val="003E47D4"/>
    <w:rsid w:val="003E50B9"/>
    <w:rsid w:val="003E64A9"/>
    <w:rsid w:val="003E6889"/>
    <w:rsid w:val="003E7905"/>
    <w:rsid w:val="003F0336"/>
    <w:rsid w:val="003F3F05"/>
    <w:rsid w:val="003F3FCC"/>
    <w:rsid w:val="003F5547"/>
    <w:rsid w:val="003F5C40"/>
    <w:rsid w:val="003F600C"/>
    <w:rsid w:val="003F6E12"/>
    <w:rsid w:val="003F6F8B"/>
    <w:rsid w:val="003F75ED"/>
    <w:rsid w:val="004002B7"/>
    <w:rsid w:val="00400F31"/>
    <w:rsid w:val="004023BA"/>
    <w:rsid w:val="0040472B"/>
    <w:rsid w:val="004061CF"/>
    <w:rsid w:val="00406B4D"/>
    <w:rsid w:val="0041004D"/>
    <w:rsid w:val="0041443C"/>
    <w:rsid w:val="0041488F"/>
    <w:rsid w:val="004154F7"/>
    <w:rsid w:val="00416D44"/>
    <w:rsid w:val="004176FF"/>
    <w:rsid w:val="00417A1E"/>
    <w:rsid w:val="00421A27"/>
    <w:rsid w:val="00421D0A"/>
    <w:rsid w:val="004226C3"/>
    <w:rsid w:val="004241C5"/>
    <w:rsid w:val="00424FA7"/>
    <w:rsid w:val="00425D2C"/>
    <w:rsid w:val="004264F1"/>
    <w:rsid w:val="00426A87"/>
    <w:rsid w:val="00427007"/>
    <w:rsid w:val="004309D8"/>
    <w:rsid w:val="004313D1"/>
    <w:rsid w:val="00432110"/>
    <w:rsid w:val="004328EE"/>
    <w:rsid w:val="00433EBE"/>
    <w:rsid w:val="00434406"/>
    <w:rsid w:val="00440FED"/>
    <w:rsid w:val="00441B92"/>
    <w:rsid w:val="00443A9F"/>
    <w:rsid w:val="0044474B"/>
    <w:rsid w:val="004459FE"/>
    <w:rsid w:val="00445FF7"/>
    <w:rsid w:val="004508A8"/>
    <w:rsid w:val="0045108E"/>
    <w:rsid w:val="00452AF6"/>
    <w:rsid w:val="00452CA7"/>
    <w:rsid w:val="00453341"/>
    <w:rsid w:val="004545C6"/>
    <w:rsid w:val="00454DCA"/>
    <w:rsid w:val="00454E26"/>
    <w:rsid w:val="00456544"/>
    <w:rsid w:val="00456649"/>
    <w:rsid w:val="004567B7"/>
    <w:rsid w:val="00456856"/>
    <w:rsid w:val="004571EF"/>
    <w:rsid w:val="00457DEE"/>
    <w:rsid w:val="0046047A"/>
    <w:rsid w:val="00461210"/>
    <w:rsid w:val="00461700"/>
    <w:rsid w:val="004619C5"/>
    <w:rsid w:val="00461AAC"/>
    <w:rsid w:val="00462490"/>
    <w:rsid w:val="00462AC9"/>
    <w:rsid w:val="00463DC3"/>
    <w:rsid w:val="00465299"/>
    <w:rsid w:val="004662FC"/>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73E"/>
    <w:rsid w:val="00482CD4"/>
    <w:rsid w:val="00483261"/>
    <w:rsid w:val="0048328A"/>
    <w:rsid w:val="00484377"/>
    <w:rsid w:val="00485B23"/>
    <w:rsid w:val="00485B50"/>
    <w:rsid w:val="00486371"/>
    <w:rsid w:val="004874E4"/>
    <w:rsid w:val="0049070D"/>
    <w:rsid w:val="00490A39"/>
    <w:rsid w:val="00490E82"/>
    <w:rsid w:val="00491BE4"/>
    <w:rsid w:val="00491DB2"/>
    <w:rsid w:val="00492877"/>
    <w:rsid w:val="00492B69"/>
    <w:rsid w:val="004935F5"/>
    <w:rsid w:val="00495BA6"/>
    <w:rsid w:val="00496DC2"/>
    <w:rsid w:val="00496E75"/>
    <w:rsid w:val="004A014C"/>
    <w:rsid w:val="004A0AA8"/>
    <w:rsid w:val="004A1731"/>
    <w:rsid w:val="004A1FE4"/>
    <w:rsid w:val="004A2103"/>
    <w:rsid w:val="004A2307"/>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7AF"/>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651"/>
    <w:rsid w:val="004D5CE7"/>
    <w:rsid w:val="004D6381"/>
    <w:rsid w:val="004D7DA8"/>
    <w:rsid w:val="004E10CD"/>
    <w:rsid w:val="004E1401"/>
    <w:rsid w:val="004E2892"/>
    <w:rsid w:val="004E362B"/>
    <w:rsid w:val="004E3681"/>
    <w:rsid w:val="004E3D74"/>
    <w:rsid w:val="004E5DE1"/>
    <w:rsid w:val="004E784B"/>
    <w:rsid w:val="004F00F2"/>
    <w:rsid w:val="004F0224"/>
    <w:rsid w:val="004F0DB4"/>
    <w:rsid w:val="004F0E04"/>
    <w:rsid w:val="004F1CD3"/>
    <w:rsid w:val="004F1EBC"/>
    <w:rsid w:val="004F20E8"/>
    <w:rsid w:val="004F3172"/>
    <w:rsid w:val="004F3B71"/>
    <w:rsid w:val="004F3FE5"/>
    <w:rsid w:val="004F44DE"/>
    <w:rsid w:val="004F5154"/>
    <w:rsid w:val="004F5835"/>
    <w:rsid w:val="004F661C"/>
    <w:rsid w:val="004F6D99"/>
    <w:rsid w:val="004F71A8"/>
    <w:rsid w:val="004F72A4"/>
    <w:rsid w:val="00500572"/>
    <w:rsid w:val="00500701"/>
    <w:rsid w:val="00501304"/>
    <w:rsid w:val="00501425"/>
    <w:rsid w:val="0050318B"/>
    <w:rsid w:val="00503CF2"/>
    <w:rsid w:val="00504311"/>
    <w:rsid w:val="0050485C"/>
    <w:rsid w:val="00504AC6"/>
    <w:rsid w:val="00504D75"/>
    <w:rsid w:val="00505D51"/>
    <w:rsid w:val="00506E6D"/>
    <w:rsid w:val="005073A1"/>
    <w:rsid w:val="00510ABC"/>
    <w:rsid w:val="00511079"/>
    <w:rsid w:val="00511411"/>
    <w:rsid w:val="00511CDF"/>
    <w:rsid w:val="00512829"/>
    <w:rsid w:val="00513839"/>
    <w:rsid w:val="00513DEF"/>
    <w:rsid w:val="0051423C"/>
    <w:rsid w:val="005148D4"/>
    <w:rsid w:val="00514C91"/>
    <w:rsid w:val="005153CE"/>
    <w:rsid w:val="00516241"/>
    <w:rsid w:val="00516747"/>
    <w:rsid w:val="00516FD9"/>
    <w:rsid w:val="0051701F"/>
    <w:rsid w:val="0051791D"/>
    <w:rsid w:val="00520D6D"/>
    <w:rsid w:val="005212FD"/>
    <w:rsid w:val="00521425"/>
    <w:rsid w:val="00522996"/>
    <w:rsid w:val="00523E75"/>
    <w:rsid w:val="005243E0"/>
    <w:rsid w:val="00524945"/>
    <w:rsid w:val="005256F3"/>
    <w:rsid w:val="005265A3"/>
    <w:rsid w:val="00526783"/>
    <w:rsid w:val="00526F82"/>
    <w:rsid w:val="0052773A"/>
    <w:rsid w:val="00527FB1"/>
    <w:rsid w:val="00530423"/>
    <w:rsid w:val="0053107E"/>
    <w:rsid w:val="005312CB"/>
    <w:rsid w:val="0053162F"/>
    <w:rsid w:val="00531777"/>
    <w:rsid w:val="00531A8A"/>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0999"/>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54B"/>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4FA6"/>
    <w:rsid w:val="00577835"/>
    <w:rsid w:val="00580793"/>
    <w:rsid w:val="00581470"/>
    <w:rsid w:val="00581B62"/>
    <w:rsid w:val="00581BAD"/>
    <w:rsid w:val="00582087"/>
    <w:rsid w:val="00582F21"/>
    <w:rsid w:val="005831DD"/>
    <w:rsid w:val="00584320"/>
    <w:rsid w:val="005848B5"/>
    <w:rsid w:val="00585484"/>
    <w:rsid w:val="00587004"/>
    <w:rsid w:val="00587229"/>
    <w:rsid w:val="00587503"/>
    <w:rsid w:val="00587F7F"/>
    <w:rsid w:val="00590E8D"/>
    <w:rsid w:val="00591511"/>
    <w:rsid w:val="00591E50"/>
    <w:rsid w:val="00592CDA"/>
    <w:rsid w:val="0059331A"/>
    <w:rsid w:val="00593A72"/>
    <w:rsid w:val="00594AE3"/>
    <w:rsid w:val="00595A8C"/>
    <w:rsid w:val="00595C2C"/>
    <w:rsid w:val="00596BBA"/>
    <w:rsid w:val="00597386"/>
    <w:rsid w:val="005975C4"/>
    <w:rsid w:val="00597ED8"/>
    <w:rsid w:val="005A17AE"/>
    <w:rsid w:val="005A2002"/>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1B9"/>
    <w:rsid w:val="005C5870"/>
    <w:rsid w:val="005C7EDB"/>
    <w:rsid w:val="005D059A"/>
    <w:rsid w:val="005D07C5"/>
    <w:rsid w:val="005D21B7"/>
    <w:rsid w:val="005D2DAD"/>
    <w:rsid w:val="005D35B5"/>
    <w:rsid w:val="005D4302"/>
    <w:rsid w:val="005D5A20"/>
    <w:rsid w:val="005D786C"/>
    <w:rsid w:val="005E00E5"/>
    <w:rsid w:val="005E0148"/>
    <w:rsid w:val="005E049F"/>
    <w:rsid w:val="005E0BB6"/>
    <w:rsid w:val="005E110F"/>
    <w:rsid w:val="005E3073"/>
    <w:rsid w:val="005E316A"/>
    <w:rsid w:val="005E65B9"/>
    <w:rsid w:val="005E7088"/>
    <w:rsid w:val="005E7E1B"/>
    <w:rsid w:val="005F0108"/>
    <w:rsid w:val="005F0291"/>
    <w:rsid w:val="005F0ECC"/>
    <w:rsid w:val="005F21A5"/>
    <w:rsid w:val="005F2470"/>
    <w:rsid w:val="005F28C6"/>
    <w:rsid w:val="005F3F16"/>
    <w:rsid w:val="005F3FD9"/>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040"/>
    <w:rsid w:val="006151F2"/>
    <w:rsid w:val="0061567B"/>
    <w:rsid w:val="00615AC8"/>
    <w:rsid w:val="0062152A"/>
    <w:rsid w:val="00623583"/>
    <w:rsid w:val="0062462F"/>
    <w:rsid w:val="0062484A"/>
    <w:rsid w:val="00624BA1"/>
    <w:rsid w:val="0062661B"/>
    <w:rsid w:val="00626BE0"/>
    <w:rsid w:val="00627832"/>
    <w:rsid w:val="00630118"/>
    <w:rsid w:val="00630514"/>
    <w:rsid w:val="006310AE"/>
    <w:rsid w:val="00631762"/>
    <w:rsid w:val="00632196"/>
    <w:rsid w:val="00632BA2"/>
    <w:rsid w:val="00633BF2"/>
    <w:rsid w:val="00633F67"/>
    <w:rsid w:val="0063400F"/>
    <w:rsid w:val="006345C3"/>
    <w:rsid w:val="0063530F"/>
    <w:rsid w:val="0063542B"/>
    <w:rsid w:val="006362F9"/>
    <w:rsid w:val="006369A9"/>
    <w:rsid w:val="006373CD"/>
    <w:rsid w:val="00641283"/>
    <w:rsid w:val="006413CF"/>
    <w:rsid w:val="00641413"/>
    <w:rsid w:val="00641465"/>
    <w:rsid w:val="0064165D"/>
    <w:rsid w:val="00642DA6"/>
    <w:rsid w:val="00642E8C"/>
    <w:rsid w:val="006433BD"/>
    <w:rsid w:val="00643562"/>
    <w:rsid w:val="00643784"/>
    <w:rsid w:val="00644186"/>
    <w:rsid w:val="00644A21"/>
    <w:rsid w:val="006455EB"/>
    <w:rsid w:val="00645C9F"/>
    <w:rsid w:val="00646305"/>
    <w:rsid w:val="00646864"/>
    <w:rsid w:val="00646A6C"/>
    <w:rsid w:val="006475E6"/>
    <w:rsid w:val="006508B9"/>
    <w:rsid w:val="00650CA1"/>
    <w:rsid w:val="0065143C"/>
    <w:rsid w:val="00651854"/>
    <w:rsid w:val="00652578"/>
    <w:rsid w:val="0065263C"/>
    <w:rsid w:val="006539E8"/>
    <w:rsid w:val="00655628"/>
    <w:rsid w:val="00656307"/>
    <w:rsid w:val="006565D8"/>
    <w:rsid w:val="00656B96"/>
    <w:rsid w:val="00656F79"/>
    <w:rsid w:val="0065736B"/>
    <w:rsid w:val="006578E4"/>
    <w:rsid w:val="00657AE5"/>
    <w:rsid w:val="006602FA"/>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655"/>
    <w:rsid w:val="006719E0"/>
    <w:rsid w:val="0067269D"/>
    <w:rsid w:val="00672988"/>
    <w:rsid w:val="00672C64"/>
    <w:rsid w:val="00672F5A"/>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1603"/>
    <w:rsid w:val="00691A34"/>
    <w:rsid w:val="00692371"/>
    <w:rsid w:val="00692814"/>
    <w:rsid w:val="006932E7"/>
    <w:rsid w:val="00693347"/>
    <w:rsid w:val="0069334C"/>
    <w:rsid w:val="00694D8B"/>
    <w:rsid w:val="00696D63"/>
    <w:rsid w:val="006A032F"/>
    <w:rsid w:val="006A0DD3"/>
    <w:rsid w:val="006A146E"/>
    <w:rsid w:val="006A1BEB"/>
    <w:rsid w:val="006A3022"/>
    <w:rsid w:val="006A41AE"/>
    <w:rsid w:val="006A424D"/>
    <w:rsid w:val="006A43A8"/>
    <w:rsid w:val="006A4856"/>
    <w:rsid w:val="006A5474"/>
    <w:rsid w:val="006A564B"/>
    <w:rsid w:val="006A6BAA"/>
    <w:rsid w:val="006A704B"/>
    <w:rsid w:val="006B05B5"/>
    <w:rsid w:val="006B1545"/>
    <w:rsid w:val="006B1852"/>
    <w:rsid w:val="006B23B9"/>
    <w:rsid w:val="006B2DA7"/>
    <w:rsid w:val="006B2F4D"/>
    <w:rsid w:val="006B306B"/>
    <w:rsid w:val="006B3682"/>
    <w:rsid w:val="006B3974"/>
    <w:rsid w:val="006B48CB"/>
    <w:rsid w:val="006B564D"/>
    <w:rsid w:val="006C0650"/>
    <w:rsid w:val="006C1445"/>
    <w:rsid w:val="006C3774"/>
    <w:rsid w:val="006C3AB0"/>
    <w:rsid w:val="006C43E0"/>
    <w:rsid w:val="006C4FC1"/>
    <w:rsid w:val="006C51A5"/>
    <w:rsid w:val="006C529D"/>
    <w:rsid w:val="006C6798"/>
    <w:rsid w:val="006C6DF7"/>
    <w:rsid w:val="006D0C12"/>
    <w:rsid w:val="006D0E6B"/>
    <w:rsid w:val="006D1727"/>
    <w:rsid w:val="006D2146"/>
    <w:rsid w:val="006D632E"/>
    <w:rsid w:val="006E094A"/>
    <w:rsid w:val="006E12B1"/>
    <w:rsid w:val="006E13D1"/>
    <w:rsid w:val="006E4D0C"/>
    <w:rsid w:val="006E4D1B"/>
    <w:rsid w:val="006E5B78"/>
    <w:rsid w:val="006E5BDF"/>
    <w:rsid w:val="006E67BA"/>
    <w:rsid w:val="006E699D"/>
    <w:rsid w:val="006E6BA3"/>
    <w:rsid w:val="006F1116"/>
    <w:rsid w:val="006F2654"/>
    <w:rsid w:val="006F2BB1"/>
    <w:rsid w:val="006F3196"/>
    <w:rsid w:val="006F3C54"/>
    <w:rsid w:val="006F418C"/>
    <w:rsid w:val="006F5E64"/>
    <w:rsid w:val="006F60DE"/>
    <w:rsid w:val="006F65FB"/>
    <w:rsid w:val="006F7914"/>
    <w:rsid w:val="006F7C0B"/>
    <w:rsid w:val="006F7E46"/>
    <w:rsid w:val="00700AB4"/>
    <w:rsid w:val="00700FCA"/>
    <w:rsid w:val="007015C6"/>
    <w:rsid w:val="00701645"/>
    <w:rsid w:val="00701A4A"/>
    <w:rsid w:val="00701BBC"/>
    <w:rsid w:val="00702C8B"/>
    <w:rsid w:val="00702D5A"/>
    <w:rsid w:val="00702EF7"/>
    <w:rsid w:val="00703571"/>
    <w:rsid w:val="00703989"/>
    <w:rsid w:val="00703C15"/>
    <w:rsid w:val="007042E9"/>
    <w:rsid w:val="00704495"/>
    <w:rsid w:val="007108D3"/>
    <w:rsid w:val="0071118B"/>
    <w:rsid w:val="00711C66"/>
    <w:rsid w:val="00711E13"/>
    <w:rsid w:val="00712EDA"/>
    <w:rsid w:val="007136D0"/>
    <w:rsid w:val="007155A9"/>
    <w:rsid w:val="007158E1"/>
    <w:rsid w:val="00716AA6"/>
    <w:rsid w:val="0071705B"/>
    <w:rsid w:val="00720505"/>
    <w:rsid w:val="00723698"/>
    <w:rsid w:val="007236A3"/>
    <w:rsid w:val="007239B6"/>
    <w:rsid w:val="0072490A"/>
    <w:rsid w:val="00724B64"/>
    <w:rsid w:val="0072517D"/>
    <w:rsid w:val="00726878"/>
    <w:rsid w:val="0073124A"/>
    <w:rsid w:val="00731B79"/>
    <w:rsid w:val="007320A2"/>
    <w:rsid w:val="007327CE"/>
    <w:rsid w:val="00733893"/>
    <w:rsid w:val="00734A05"/>
    <w:rsid w:val="00735377"/>
    <w:rsid w:val="00735C6F"/>
    <w:rsid w:val="00737A31"/>
    <w:rsid w:val="0074265F"/>
    <w:rsid w:val="00742A6A"/>
    <w:rsid w:val="00742B44"/>
    <w:rsid w:val="0074656E"/>
    <w:rsid w:val="007472D5"/>
    <w:rsid w:val="00751E82"/>
    <w:rsid w:val="00752B03"/>
    <w:rsid w:val="00753454"/>
    <w:rsid w:val="00753BB5"/>
    <w:rsid w:val="007544F1"/>
    <w:rsid w:val="00755E4A"/>
    <w:rsid w:val="00756169"/>
    <w:rsid w:val="00756832"/>
    <w:rsid w:val="00757F0B"/>
    <w:rsid w:val="00761F3A"/>
    <w:rsid w:val="007626D0"/>
    <w:rsid w:val="007651CA"/>
    <w:rsid w:val="00766C4D"/>
    <w:rsid w:val="00767519"/>
    <w:rsid w:val="007704E1"/>
    <w:rsid w:val="00770E5C"/>
    <w:rsid w:val="00772569"/>
    <w:rsid w:val="00772E8C"/>
    <w:rsid w:val="00772FDB"/>
    <w:rsid w:val="0077316B"/>
    <w:rsid w:val="007736D3"/>
    <w:rsid w:val="0077500F"/>
    <w:rsid w:val="0077548E"/>
    <w:rsid w:val="00776389"/>
    <w:rsid w:val="00777315"/>
    <w:rsid w:val="007802E4"/>
    <w:rsid w:val="00780919"/>
    <w:rsid w:val="00781589"/>
    <w:rsid w:val="007820D0"/>
    <w:rsid w:val="007826C8"/>
    <w:rsid w:val="00784190"/>
    <w:rsid w:val="0078457B"/>
    <w:rsid w:val="00784756"/>
    <w:rsid w:val="0078539D"/>
    <w:rsid w:val="007856C1"/>
    <w:rsid w:val="00785B0F"/>
    <w:rsid w:val="00787051"/>
    <w:rsid w:val="00787468"/>
    <w:rsid w:val="0079018D"/>
    <w:rsid w:val="007901DC"/>
    <w:rsid w:val="00791A00"/>
    <w:rsid w:val="00791DDB"/>
    <w:rsid w:val="00792CEE"/>
    <w:rsid w:val="00792E53"/>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016"/>
    <w:rsid w:val="007C0802"/>
    <w:rsid w:val="007C12BE"/>
    <w:rsid w:val="007C1947"/>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B8B"/>
    <w:rsid w:val="007D5E27"/>
    <w:rsid w:val="007D6F64"/>
    <w:rsid w:val="007E1782"/>
    <w:rsid w:val="007E20F0"/>
    <w:rsid w:val="007E25AB"/>
    <w:rsid w:val="007E2F41"/>
    <w:rsid w:val="007E3A93"/>
    <w:rsid w:val="007E44FC"/>
    <w:rsid w:val="007E575F"/>
    <w:rsid w:val="007E5AC2"/>
    <w:rsid w:val="007E79C5"/>
    <w:rsid w:val="007F2845"/>
    <w:rsid w:val="007F2A69"/>
    <w:rsid w:val="007F38A2"/>
    <w:rsid w:val="007F3E82"/>
    <w:rsid w:val="007F43BC"/>
    <w:rsid w:val="007F4740"/>
    <w:rsid w:val="008006C6"/>
    <w:rsid w:val="00800C52"/>
    <w:rsid w:val="0080153E"/>
    <w:rsid w:val="008018C8"/>
    <w:rsid w:val="0080263A"/>
    <w:rsid w:val="0080329D"/>
    <w:rsid w:val="008055A9"/>
    <w:rsid w:val="0080742D"/>
    <w:rsid w:val="0080762A"/>
    <w:rsid w:val="008100AC"/>
    <w:rsid w:val="00810C05"/>
    <w:rsid w:val="0081151E"/>
    <w:rsid w:val="00812498"/>
    <w:rsid w:val="008127E6"/>
    <w:rsid w:val="0081336E"/>
    <w:rsid w:val="00813928"/>
    <w:rsid w:val="00814A09"/>
    <w:rsid w:val="008154EC"/>
    <w:rsid w:val="00816803"/>
    <w:rsid w:val="00816B18"/>
    <w:rsid w:val="00817A3C"/>
    <w:rsid w:val="00820DC7"/>
    <w:rsid w:val="00820FFB"/>
    <w:rsid w:val="00821698"/>
    <w:rsid w:val="008221FE"/>
    <w:rsid w:val="00822BF5"/>
    <w:rsid w:val="00823A7D"/>
    <w:rsid w:val="00824894"/>
    <w:rsid w:val="00825366"/>
    <w:rsid w:val="00825B0C"/>
    <w:rsid w:val="00825E84"/>
    <w:rsid w:val="00826C7B"/>
    <w:rsid w:val="00826DD9"/>
    <w:rsid w:val="00826E01"/>
    <w:rsid w:val="008277A8"/>
    <w:rsid w:val="008278B6"/>
    <w:rsid w:val="008307ED"/>
    <w:rsid w:val="00830B06"/>
    <w:rsid w:val="00830B3B"/>
    <w:rsid w:val="00831155"/>
    <w:rsid w:val="00831428"/>
    <w:rsid w:val="008315B5"/>
    <w:rsid w:val="0083302C"/>
    <w:rsid w:val="0083350F"/>
    <w:rsid w:val="00834358"/>
    <w:rsid w:val="008346BD"/>
    <w:rsid w:val="00834923"/>
    <w:rsid w:val="008359EB"/>
    <w:rsid w:val="00836B7A"/>
    <w:rsid w:val="00837B90"/>
    <w:rsid w:val="00837BDE"/>
    <w:rsid w:val="008409AA"/>
    <w:rsid w:val="00840FB8"/>
    <w:rsid w:val="00842E0C"/>
    <w:rsid w:val="00842EB3"/>
    <w:rsid w:val="00843A7A"/>
    <w:rsid w:val="008447F5"/>
    <w:rsid w:val="00845634"/>
    <w:rsid w:val="00846292"/>
    <w:rsid w:val="00847AE7"/>
    <w:rsid w:val="008506E1"/>
    <w:rsid w:val="00850D96"/>
    <w:rsid w:val="008515EE"/>
    <w:rsid w:val="00851A8E"/>
    <w:rsid w:val="00851EC7"/>
    <w:rsid w:val="008528D3"/>
    <w:rsid w:val="008533C2"/>
    <w:rsid w:val="00854553"/>
    <w:rsid w:val="00855B86"/>
    <w:rsid w:val="00856D47"/>
    <w:rsid w:val="00860874"/>
    <w:rsid w:val="008609A3"/>
    <w:rsid w:val="00862008"/>
    <w:rsid w:val="0086236E"/>
    <w:rsid w:val="00862720"/>
    <w:rsid w:val="008628C8"/>
    <w:rsid w:val="00862B2A"/>
    <w:rsid w:val="008630B9"/>
    <w:rsid w:val="00863DD8"/>
    <w:rsid w:val="00863F37"/>
    <w:rsid w:val="0086406B"/>
    <w:rsid w:val="00864C8C"/>
    <w:rsid w:val="008657E9"/>
    <w:rsid w:val="008659FB"/>
    <w:rsid w:val="0086709D"/>
    <w:rsid w:val="00867461"/>
    <w:rsid w:val="00867651"/>
    <w:rsid w:val="00867718"/>
    <w:rsid w:val="00867B5A"/>
    <w:rsid w:val="00874009"/>
    <w:rsid w:val="00874158"/>
    <w:rsid w:val="008743F3"/>
    <w:rsid w:val="0087444A"/>
    <w:rsid w:val="00874FD3"/>
    <w:rsid w:val="00875139"/>
    <w:rsid w:val="00875410"/>
    <w:rsid w:val="00880B29"/>
    <w:rsid w:val="00880EDF"/>
    <w:rsid w:val="008811FD"/>
    <w:rsid w:val="00881664"/>
    <w:rsid w:val="00882DE6"/>
    <w:rsid w:val="00883497"/>
    <w:rsid w:val="00883A20"/>
    <w:rsid w:val="00883D4D"/>
    <w:rsid w:val="00884B59"/>
    <w:rsid w:val="008850BA"/>
    <w:rsid w:val="00885580"/>
    <w:rsid w:val="00885876"/>
    <w:rsid w:val="00886185"/>
    <w:rsid w:val="008861D9"/>
    <w:rsid w:val="0088638C"/>
    <w:rsid w:val="00886627"/>
    <w:rsid w:val="00886EDF"/>
    <w:rsid w:val="008908E5"/>
    <w:rsid w:val="00891216"/>
    <w:rsid w:val="00892F0D"/>
    <w:rsid w:val="00894B58"/>
    <w:rsid w:val="00894FDC"/>
    <w:rsid w:val="008957D3"/>
    <w:rsid w:val="00896414"/>
    <w:rsid w:val="0089716F"/>
    <w:rsid w:val="00897C71"/>
    <w:rsid w:val="008A0F54"/>
    <w:rsid w:val="008A16F9"/>
    <w:rsid w:val="008A1D3E"/>
    <w:rsid w:val="008A3038"/>
    <w:rsid w:val="008A34F8"/>
    <w:rsid w:val="008A4B16"/>
    <w:rsid w:val="008A4D63"/>
    <w:rsid w:val="008A4E11"/>
    <w:rsid w:val="008A6D62"/>
    <w:rsid w:val="008B13E9"/>
    <w:rsid w:val="008B2257"/>
    <w:rsid w:val="008B2436"/>
    <w:rsid w:val="008B31A4"/>
    <w:rsid w:val="008B3B51"/>
    <w:rsid w:val="008B4057"/>
    <w:rsid w:val="008B4145"/>
    <w:rsid w:val="008B5071"/>
    <w:rsid w:val="008B5290"/>
    <w:rsid w:val="008B6A40"/>
    <w:rsid w:val="008B72EC"/>
    <w:rsid w:val="008B79CB"/>
    <w:rsid w:val="008C2CFD"/>
    <w:rsid w:val="008C3FDC"/>
    <w:rsid w:val="008C47AD"/>
    <w:rsid w:val="008C603A"/>
    <w:rsid w:val="008C71C8"/>
    <w:rsid w:val="008D0825"/>
    <w:rsid w:val="008D167D"/>
    <w:rsid w:val="008D3116"/>
    <w:rsid w:val="008D492A"/>
    <w:rsid w:val="008D4B58"/>
    <w:rsid w:val="008D4B7F"/>
    <w:rsid w:val="008D4B8A"/>
    <w:rsid w:val="008D6541"/>
    <w:rsid w:val="008D7D7B"/>
    <w:rsid w:val="008E0F52"/>
    <w:rsid w:val="008E216C"/>
    <w:rsid w:val="008E2316"/>
    <w:rsid w:val="008E3063"/>
    <w:rsid w:val="008E3065"/>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6C36"/>
    <w:rsid w:val="008F700E"/>
    <w:rsid w:val="00900343"/>
    <w:rsid w:val="009006A2"/>
    <w:rsid w:val="0090102B"/>
    <w:rsid w:val="00901448"/>
    <w:rsid w:val="009036BC"/>
    <w:rsid w:val="00903D30"/>
    <w:rsid w:val="00904414"/>
    <w:rsid w:val="00905197"/>
    <w:rsid w:val="00905C47"/>
    <w:rsid w:val="00906379"/>
    <w:rsid w:val="00906A8C"/>
    <w:rsid w:val="00907797"/>
    <w:rsid w:val="009101EA"/>
    <w:rsid w:val="009106FC"/>
    <w:rsid w:val="009118BB"/>
    <w:rsid w:val="0091191F"/>
    <w:rsid w:val="00911E7D"/>
    <w:rsid w:val="009120A9"/>
    <w:rsid w:val="009134C3"/>
    <w:rsid w:val="00915B81"/>
    <w:rsid w:val="00915D6B"/>
    <w:rsid w:val="009160DF"/>
    <w:rsid w:val="009162C7"/>
    <w:rsid w:val="00916859"/>
    <w:rsid w:val="00916EC2"/>
    <w:rsid w:val="009211CA"/>
    <w:rsid w:val="009213BD"/>
    <w:rsid w:val="009230A6"/>
    <w:rsid w:val="00924627"/>
    <w:rsid w:val="009250A8"/>
    <w:rsid w:val="00925BE6"/>
    <w:rsid w:val="00926697"/>
    <w:rsid w:val="00926F61"/>
    <w:rsid w:val="00926FA9"/>
    <w:rsid w:val="0093123D"/>
    <w:rsid w:val="00932349"/>
    <w:rsid w:val="00933040"/>
    <w:rsid w:val="009330E9"/>
    <w:rsid w:val="00933A32"/>
    <w:rsid w:val="00934D97"/>
    <w:rsid w:val="00935D15"/>
    <w:rsid w:val="009411FB"/>
    <w:rsid w:val="009414A9"/>
    <w:rsid w:val="00941B71"/>
    <w:rsid w:val="00941DF9"/>
    <w:rsid w:val="009421AD"/>
    <w:rsid w:val="0094221C"/>
    <w:rsid w:val="0094409C"/>
    <w:rsid w:val="00944159"/>
    <w:rsid w:val="009449B2"/>
    <w:rsid w:val="00944A82"/>
    <w:rsid w:val="00944BA5"/>
    <w:rsid w:val="00945EDD"/>
    <w:rsid w:val="00946C4D"/>
    <w:rsid w:val="00947A2B"/>
    <w:rsid w:val="0095019A"/>
    <w:rsid w:val="0095285B"/>
    <w:rsid w:val="00953F18"/>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678D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1E17"/>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244C"/>
    <w:rsid w:val="009938B1"/>
    <w:rsid w:val="00993C84"/>
    <w:rsid w:val="00996258"/>
    <w:rsid w:val="00996306"/>
    <w:rsid w:val="00996507"/>
    <w:rsid w:val="00996744"/>
    <w:rsid w:val="00997CF4"/>
    <w:rsid w:val="009A1169"/>
    <w:rsid w:val="009A164C"/>
    <w:rsid w:val="009A1AAC"/>
    <w:rsid w:val="009A2BB6"/>
    <w:rsid w:val="009A2CB8"/>
    <w:rsid w:val="009A3789"/>
    <w:rsid w:val="009A37EA"/>
    <w:rsid w:val="009A45A2"/>
    <w:rsid w:val="009A6138"/>
    <w:rsid w:val="009A6919"/>
    <w:rsid w:val="009A6AC7"/>
    <w:rsid w:val="009B00BB"/>
    <w:rsid w:val="009B0408"/>
    <w:rsid w:val="009B0843"/>
    <w:rsid w:val="009B0DEE"/>
    <w:rsid w:val="009B1335"/>
    <w:rsid w:val="009B176D"/>
    <w:rsid w:val="009B17A3"/>
    <w:rsid w:val="009B1E47"/>
    <w:rsid w:val="009B2CED"/>
    <w:rsid w:val="009B3054"/>
    <w:rsid w:val="009B335D"/>
    <w:rsid w:val="009B3C90"/>
    <w:rsid w:val="009B695B"/>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3A2"/>
    <w:rsid w:val="009D19BC"/>
    <w:rsid w:val="009D2348"/>
    <w:rsid w:val="009D2EA8"/>
    <w:rsid w:val="009D2F0C"/>
    <w:rsid w:val="009D3102"/>
    <w:rsid w:val="009D3306"/>
    <w:rsid w:val="009D3578"/>
    <w:rsid w:val="009D3A5F"/>
    <w:rsid w:val="009D4F88"/>
    <w:rsid w:val="009D5193"/>
    <w:rsid w:val="009D5AE1"/>
    <w:rsid w:val="009D5C32"/>
    <w:rsid w:val="009D5C56"/>
    <w:rsid w:val="009D6472"/>
    <w:rsid w:val="009D79F4"/>
    <w:rsid w:val="009D7D19"/>
    <w:rsid w:val="009E126D"/>
    <w:rsid w:val="009E33D7"/>
    <w:rsid w:val="009E3CD1"/>
    <w:rsid w:val="009E419D"/>
    <w:rsid w:val="009E5520"/>
    <w:rsid w:val="009E5AF5"/>
    <w:rsid w:val="009E5EB5"/>
    <w:rsid w:val="009E60B2"/>
    <w:rsid w:val="009E6C91"/>
    <w:rsid w:val="009E6F1F"/>
    <w:rsid w:val="009E74F0"/>
    <w:rsid w:val="009F0768"/>
    <w:rsid w:val="009F102A"/>
    <w:rsid w:val="009F151C"/>
    <w:rsid w:val="009F2A19"/>
    <w:rsid w:val="009F514E"/>
    <w:rsid w:val="009F7867"/>
    <w:rsid w:val="009F7D66"/>
    <w:rsid w:val="00A00BD2"/>
    <w:rsid w:val="00A00E56"/>
    <w:rsid w:val="00A027F3"/>
    <w:rsid w:val="00A03978"/>
    <w:rsid w:val="00A03AB1"/>
    <w:rsid w:val="00A04B84"/>
    <w:rsid w:val="00A04D7E"/>
    <w:rsid w:val="00A051D9"/>
    <w:rsid w:val="00A05DF3"/>
    <w:rsid w:val="00A07D26"/>
    <w:rsid w:val="00A07E08"/>
    <w:rsid w:val="00A10D79"/>
    <w:rsid w:val="00A11535"/>
    <w:rsid w:val="00A11E56"/>
    <w:rsid w:val="00A12798"/>
    <w:rsid w:val="00A13A09"/>
    <w:rsid w:val="00A153BE"/>
    <w:rsid w:val="00A15DEE"/>
    <w:rsid w:val="00A16462"/>
    <w:rsid w:val="00A167B5"/>
    <w:rsid w:val="00A16DBE"/>
    <w:rsid w:val="00A17684"/>
    <w:rsid w:val="00A17687"/>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241"/>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675E"/>
    <w:rsid w:val="00A5765D"/>
    <w:rsid w:val="00A579BD"/>
    <w:rsid w:val="00A607CB"/>
    <w:rsid w:val="00A61501"/>
    <w:rsid w:val="00A6351F"/>
    <w:rsid w:val="00A63809"/>
    <w:rsid w:val="00A64278"/>
    <w:rsid w:val="00A64A6E"/>
    <w:rsid w:val="00A6519F"/>
    <w:rsid w:val="00A651E2"/>
    <w:rsid w:val="00A65A70"/>
    <w:rsid w:val="00A6665F"/>
    <w:rsid w:val="00A667FB"/>
    <w:rsid w:val="00A66F36"/>
    <w:rsid w:val="00A676D9"/>
    <w:rsid w:val="00A67EFC"/>
    <w:rsid w:val="00A7031E"/>
    <w:rsid w:val="00A71140"/>
    <w:rsid w:val="00A71CA4"/>
    <w:rsid w:val="00A7205E"/>
    <w:rsid w:val="00A72285"/>
    <w:rsid w:val="00A7323D"/>
    <w:rsid w:val="00A74692"/>
    <w:rsid w:val="00A74CA8"/>
    <w:rsid w:val="00A75A52"/>
    <w:rsid w:val="00A7618B"/>
    <w:rsid w:val="00A7640B"/>
    <w:rsid w:val="00A773A8"/>
    <w:rsid w:val="00A7778B"/>
    <w:rsid w:val="00A803BC"/>
    <w:rsid w:val="00A80969"/>
    <w:rsid w:val="00A85798"/>
    <w:rsid w:val="00A8609D"/>
    <w:rsid w:val="00A86EA7"/>
    <w:rsid w:val="00A870F9"/>
    <w:rsid w:val="00A91244"/>
    <w:rsid w:val="00A91774"/>
    <w:rsid w:val="00A91C7F"/>
    <w:rsid w:val="00A92066"/>
    <w:rsid w:val="00A92664"/>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890"/>
    <w:rsid w:val="00AA591E"/>
    <w:rsid w:val="00AA5DF4"/>
    <w:rsid w:val="00AA65C9"/>
    <w:rsid w:val="00AA66CB"/>
    <w:rsid w:val="00AB0A32"/>
    <w:rsid w:val="00AB0B90"/>
    <w:rsid w:val="00AB0C1B"/>
    <w:rsid w:val="00AB0E56"/>
    <w:rsid w:val="00AB0ED5"/>
    <w:rsid w:val="00AB1637"/>
    <w:rsid w:val="00AB18AC"/>
    <w:rsid w:val="00AB1B43"/>
    <w:rsid w:val="00AB1B93"/>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69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05C"/>
    <w:rsid w:val="00AF42B4"/>
    <w:rsid w:val="00AF4B8A"/>
    <w:rsid w:val="00AF4F1B"/>
    <w:rsid w:val="00AF5BEA"/>
    <w:rsid w:val="00AF5EC6"/>
    <w:rsid w:val="00AF6C38"/>
    <w:rsid w:val="00AF6E8A"/>
    <w:rsid w:val="00AF7213"/>
    <w:rsid w:val="00AF7771"/>
    <w:rsid w:val="00AF7D92"/>
    <w:rsid w:val="00B011CC"/>
    <w:rsid w:val="00B04048"/>
    <w:rsid w:val="00B04F3D"/>
    <w:rsid w:val="00B05702"/>
    <w:rsid w:val="00B06434"/>
    <w:rsid w:val="00B06DD9"/>
    <w:rsid w:val="00B07CD6"/>
    <w:rsid w:val="00B07E52"/>
    <w:rsid w:val="00B10010"/>
    <w:rsid w:val="00B112AB"/>
    <w:rsid w:val="00B11775"/>
    <w:rsid w:val="00B11FA9"/>
    <w:rsid w:val="00B12F75"/>
    <w:rsid w:val="00B1302D"/>
    <w:rsid w:val="00B1513F"/>
    <w:rsid w:val="00B15B89"/>
    <w:rsid w:val="00B160E5"/>
    <w:rsid w:val="00B160F3"/>
    <w:rsid w:val="00B1746F"/>
    <w:rsid w:val="00B20725"/>
    <w:rsid w:val="00B2087E"/>
    <w:rsid w:val="00B20B11"/>
    <w:rsid w:val="00B20B94"/>
    <w:rsid w:val="00B248D0"/>
    <w:rsid w:val="00B249E4"/>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C99"/>
    <w:rsid w:val="00B42FA6"/>
    <w:rsid w:val="00B4399E"/>
    <w:rsid w:val="00B43A16"/>
    <w:rsid w:val="00B45CE1"/>
    <w:rsid w:val="00B46286"/>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1A6"/>
    <w:rsid w:val="00B66594"/>
    <w:rsid w:val="00B67805"/>
    <w:rsid w:val="00B710BA"/>
    <w:rsid w:val="00B721CD"/>
    <w:rsid w:val="00B7267A"/>
    <w:rsid w:val="00B726FF"/>
    <w:rsid w:val="00B72A5B"/>
    <w:rsid w:val="00B72AA4"/>
    <w:rsid w:val="00B7471E"/>
    <w:rsid w:val="00B75454"/>
    <w:rsid w:val="00B76BCD"/>
    <w:rsid w:val="00B76EE9"/>
    <w:rsid w:val="00B77231"/>
    <w:rsid w:val="00B77880"/>
    <w:rsid w:val="00B80D90"/>
    <w:rsid w:val="00B82451"/>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52F3"/>
    <w:rsid w:val="00B95878"/>
    <w:rsid w:val="00B96413"/>
    <w:rsid w:val="00B97CA3"/>
    <w:rsid w:val="00BA1872"/>
    <w:rsid w:val="00BA1913"/>
    <w:rsid w:val="00BA2AC4"/>
    <w:rsid w:val="00BA2BC9"/>
    <w:rsid w:val="00BA4641"/>
    <w:rsid w:val="00BA4A54"/>
    <w:rsid w:val="00BA6972"/>
    <w:rsid w:val="00BA76A9"/>
    <w:rsid w:val="00BB0595"/>
    <w:rsid w:val="00BB2F36"/>
    <w:rsid w:val="00BB3E2B"/>
    <w:rsid w:val="00BB5D1C"/>
    <w:rsid w:val="00BB6552"/>
    <w:rsid w:val="00BB65E0"/>
    <w:rsid w:val="00BB67C7"/>
    <w:rsid w:val="00BB6B9B"/>
    <w:rsid w:val="00BB754F"/>
    <w:rsid w:val="00BB7F07"/>
    <w:rsid w:val="00BC0058"/>
    <w:rsid w:val="00BC07D4"/>
    <w:rsid w:val="00BC0A5D"/>
    <w:rsid w:val="00BC0BE3"/>
    <w:rsid w:val="00BC1AD9"/>
    <w:rsid w:val="00BC1AF1"/>
    <w:rsid w:val="00BC3257"/>
    <w:rsid w:val="00BC32E7"/>
    <w:rsid w:val="00BC4F81"/>
    <w:rsid w:val="00BC5670"/>
    <w:rsid w:val="00BC58B9"/>
    <w:rsid w:val="00BC58D4"/>
    <w:rsid w:val="00BD214C"/>
    <w:rsid w:val="00BD2F13"/>
    <w:rsid w:val="00BD3056"/>
    <w:rsid w:val="00BD3846"/>
    <w:rsid w:val="00BD3E68"/>
    <w:rsid w:val="00BD4E05"/>
    <w:rsid w:val="00BD598A"/>
    <w:rsid w:val="00BD5C7A"/>
    <w:rsid w:val="00BD723F"/>
    <w:rsid w:val="00BD75B4"/>
    <w:rsid w:val="00BD7D14"/>
    <w:rsid w:val="00BE02B4"/>
    <w:rsid w:val="00BE0A38"/>
    <w:rsid w:val="00BE28C1"/>
    <w:rsid w:val="00BE2C2F"/>
    <w:rsid w:val="00BE3492"/>
    <w:rsid w:val="00BE4EC9"/>
    <w:rsid w:val="00BE631E"/>
    <w:rsid w:val="00BE6BEC"/>
    <w:rsid w:val="00BF0CCF"/>
    <w:rsid w:val="00BF0FC5"/>
    <w:rsid w:val="00BF10BC"/>
    <w:rsid w:val="00BF21AC"/>
    <w:rsid w:val="00BF2238"/>
    <w:rsid w:val="00BF2E53"/>
    <w:rsid w:val="00BF352A"/>
    <w:rsid w:val="00BF3669"/>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AB3"/>
    <w:rsid w:val="00C22B28"/>
    <w:rsid w:val="00C257B7"/>
    <w:rsid w:val="00C272E8"/>
    <w:rsid w:val="00C30ABC"/>
    <w:rsid w:val="00C30B60"/>
    <w:rsid w:val="00C31FAA"/>
    <w:rsid w:val="00C33359"/>
    <w:rsid w:val="00C336BA"/>
    <w:rsid w:val="00C3387A"/>
    <w:rsid w:val="00C342A7"/>
    <w:rsid w:val="00C348D6"/>
    <w:rsid w:val="00C3504C"/>
    <w:rsid w:val="00C365E7"/>
    <w:rsid w:val="00C36E34"/>
    <w:rsid w:val="00C375BB"/>
    <w:rsid w:val="00C40388"/>
    <w:rsid w:val="00C404D7"/>
    <w:rsid w:val="00C404EE"/>
    <w:rsid w:val="00C40CBD"/>
    <w:rsid w:val="00C4171B"/>
    <w:rsid w:val="00C42689"/>
    <w:rsid w:val="00C42988"/>
    <w:rsid w:val="00C42BD4"/>
    <w:rsid w:val="00C4300F"/>
    <w:rsid w:val="00C43FF0"/>
    <w:rsid w:val="00C44641"/>
    <w:rsid w:val="00C45EF5"/>
    <w:rsid w:val="00C46B7E"/>
    <w:rsid w:val="00C474D6"/>
    <w:rsid w:val="00C47538"/>
    <w:rsid w:val="00C5099B"/>
    <w:rsid w:val="00C50A4E"/>
    <w:rsid w:val="00C51C37"/>
    <w:rsid w:val="00C520B1"/>
    <w:rsid w:val="00C522D6"/>
    <w:rsid w:val="00C52C52"/>
    <w:rsid w:val="00C53F3E"/>
    <w:rsid w:val="00C54020"/>
    <w:rsid w:val="00C5406F"/>
    <w:rsid w:val="00C545C5"/>
    <w:rsid w:val="00C54817"/>
    <w:rsid w:val="00C54F35"/>
    <w:rsid w:val="00C55566"/>
    <w:rsid w:val="00C56C82"/>
    <w:rsid w:val="00C57A01"/>
    <w:rsid w:val="00C57A2D"/>
    <w:rsid w:val="00C60B07"/>
    <w:rsid w:val="00C61B1C"/>
    <w:rsid w:val="00C61D4B"/>
    <w:rsid w:val="00C62B0A"/>
    <w:rsid w:val="00C63C52"/>
    <w:rsid w:val="00C63F08"/>
    <w:rsid w:val="00C6528C"/>
    <w:rsid w:val="00C6608A"/>
    <w:rsid w:val="00C661E8"/>
    <w:rsid w:val="00C70084"/>
    <w:rsid w:val="00C7090B"/>
    <w:rsid w:val="00C7235B"/>
    <w:rsid w:val="00C72E18"/>
    <w:rsid w:val="00C731AD"/>
    <w:rsid w:val="00C7380B"/>
    <w:rsid w:val="00C74421"/>
    <w:rsid w:val="00C747A7"/>
    <w:rsid w:val="00C75F2F"/>
    <w:rsid w:val="00C75FEE"/>
    <w:rsid w:val="00C76804"/>
    <w:rsid w:val="00C76F1D"/>
    <w:rsid w:val="00C77937"/>
    <w:rsid w:val="00C77CA4"/>
    <w:rsid w:val="00C77D26"/>
    <w:rsid w:val="00C80144"/>
    <w:rsid w:val="00C80BDF"/>
    <w:rsid w:val="00C815DF"/>
    <w:rsid w:val="00C81819"/>
    <w:rsid w:val="00C82FEE"/>
    <w:rsid w:val="00C84D39"/>
    <w:rsid w:val="00C85277"/>
    <w:rsid w:val="00C85806"/>
    <w:rsid w:val="00C85D76"/>
    <w:rsid w:val="00C87190"/>
    <w:rsid w:val="00C873AC"/>
    <w:rsid w:val="00C87DA6"/>
    <w:rsid w:val="00C91857"/>
    <w:rsid w:val="00C9203F"/>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7A"/>
    <w:rsid w:val="00CB09DA"/>
    <w:rsid w:val="00CB0BD9"/>
    <w:rsid w:val="00CB13E2"/>
    <w:rsid w:val="00CB1CAC"/>
    <w:rsid w:val="00CB1DE8"/>
    <w:rsid w:val="00CB1E3B"/>
    <w:rsid w:val="00CB1F1D"/>
    <w:rsid w:val="00CB6795"/>
    <w:rsid w:val="00CB71F8"/>
    <w:rsid w:val="00CC042F"/>
    <w:rsid w:val="00CC180A"/>
    <w:rsid w:val="00CC1D2F"/>
    <w:rsid w:val="00CC26DB"/>
    <w:rsid w:val="00CC300C"/>
    <w:rsid w:val="00CC3201"/>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2CC2"/>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0E44"/>
    <w:rsid w:val="00D01EAD"/>
    <w:rsid w:val="00D034DD"/>
    <w:rsid w:val="00D035B9"/>
    <w:rsid w:val="00D040B7"/>
    <w:rsid w:val="00D060FF"/>
    <w:rsid w:val="00D064E8"/>
    <w:rsid w:val="00D06546"/>
    <w:rsid w:val="00D06572"/>
    <w:rsid w:val="00D065CD"/>
    <w:rsid w:val="00D12325"/>
    <w:rsid w:val="00D12761"/>
    <w:rsid w:val="00D142B4"/>
    <w:rsid w:val="00D14487"/>
    <w:rsid w:val="00D15E7E"/>
    <w:rsid w:val="00D16058"/>
    <w:rsid w:val="00D16FDD"/>
    <w:rsid w:val="00D20016"/>
    <w:rsid w:val="00D207A7"/>
    <w:rsid w:val="00D20F04"/>
    <w:rsid w:val="00D2279F"/>
    <w:rsid w:val="00D22AF1"/>
    <w:rsid w:val="00D22E93"/>
    <w:rsid w:val="00D242DA"/>
    <w:rsid w:val="00D247EC"/>
    <w:rsid w:val="00D2626B"/>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AC2"/>
    <w:rsid w:val="00D35F97"/>
    <w:rsid w:val="00D36964"/>
    <w:rsid w:val="00D37A1A"/>
    <w:rsid w:val="00D4081B"/>
    <w:rsid w:val="00D413C3"/>
    <w:rsid w:val="00D42240"/>
    <w:rsid w:val="00D427C3"/>
    <w:rsid w:val="00D42EB8"/>
    <w:rsid w:val="00D43D3C"/>
    <w:rsid w:val="00D43E0B"/>
    <w:rsid w:val="00D441E2"/>
    <w:rsid w:val="00D44932"/>
    <w:rsid w:val="00D4539C"/>
    <w:rsid w:val="00D4575C"/>
    <w:rsid w:val="00D45E00"/>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E3C"/>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6EC5"/>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36B"/>
    <w:rsid w:val="00DB7B06"/>
    <w:rsid w:val="00DC043D"/>
    <w:rsid w:val="00DC0F56"/>
    <w:rsid w:val="00DC318A"/>
    <w:rsid w:val="00DC3A9D"/>
    <w:rsid w:val="00DC4004"/>
    <w:rsid w:val="00DC4243"/>
    <w:rsid w:val="00DC5584"/>
    <w:rsid w:val="00DC6C1E"/>
    <w:rsid w:val="00DC7255"/>
    <w:rsid w:val="00DC72CE"/>
    <w:rsid w:val="00DC7951"/>
    <w:rsid w:val="00DD1C4B"/>
    <w:rsid w:val="00DD1F7B"/>
    <w:rsid w:val="00DD229E"/>
    <w:rsid w:val="00DD3029"/>
    <w:rsid w:val="00DD39FB"/>
    <w:rsid w:val="00DD55E0"/>
    <w:rsid w:val="00DD6A04"/>
    <w:rsid w:val="00DE18A3"/>
    <w:rsid w:val="00DE1904"/>
    <w:rsid w:val="00DE1A8C"/>
    <w:rsid w:val="00DE1DAA"/>
    <w:rsid w:val="00DE3DBB"/>
    <w:rsid w:val="00DE43A2"/>
    <w:rsid w:val="00DE4A74"/>
    <w:rsid w:val="00DE4B05"/>
    <w:rsid w:val="00DE541C"/>
    <w:rsid w:val="00DE737B"/>
    <w:rsid w:val="00DF100B"/>
    <w:rsid w:val="00DF11B7"/>
    <w:rsid w:val="00DF4359"/>
    <w:rsid w:val="00DF438E"/>
    <w:rsid w:val="00DF4F98"/>
    <w:rsid w:val="00DF73C1"/>
    <w:rsid w:val="00DF7511"/>
    <w:rsid w:val="00DF7751"/>
    <w:rsid w:val="00E009B1"/>
    <w:rsid w:val="00E00BC3"/>
    <w:rsid w:val="00E011D7"/>
    <w:rsid w:val="00E031BB"/>
    <w:rsid w:val="00E0417B"/>
    <w:rsid w:val="00E053B8"/>
    <w:rsid w:val="00E0576C"/>
    <w:rsid w:val="00E068BC"/>
    <w:rsid w:val="00E073F0"/>
    <w:rsid w:val="00E10761"/>
    <w:rsid w:val="00E11D7A"/>
    <w:rsid w:val="00E11EEB"/>
    <w:rsid w:val="00E128F2"/>
    <w:rsid w:val="00E129DE"/>
    <w:rsid w:val="00E13E5A"/>
    <w:rsid w:val="00E13EE4"/>
    <w:rsid w:val="00E16463"/>
    <w:rsid w:val="00E16EEA"/>
    <w:rsid w:val="00E16F82"/>
    <w:rsid w:val="00E17F6F"/>
    <w:rsid w:val="00E20B20"/>
    <w:rsid w:val="00E239D1"/>
    <w:rsid w:val="00E246B9"/>
    <w:rsid w:val="00E24BF6"/>
    <w:rsid w:val="00E250C5"/>
    <w:rsid w:val="00E262AE"/>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55FE"/>
    <w:rsid w:val="00E564C4"/>
    <w:rsid w:val="00E567C9"/>
    <w:rsid w:val="00E57E1A"/>
    <w:rsid w:val="00E604C4"/>
    <w:rsid w:val="00E6056F"/>
    <w:rsid w:val="00E60809"/>
    <w:rsid w:val="00E61300"/>
    <w:rsid w:val="00E61A5D"/>
    <w:rsid w:val="00E635B9"/>
    <w:rsid w:val="00E659BF"/>
    <w:rsid w:val="00E65D15"/>
    <w:rsid w:val="00E66CD8"/>
    <w:rsid w:val="00E67802"/>
    <w:rsid w:val="00E67EE5"/>
    <w:rsid w:val="00E7013A"/>
    <w:rsid w:val="00E72C6B"/>
    <w:rsid w:val="00E73AB7"/>
    <w:rsid w:val="00E74F5D"/>
    <w:rsid w:val="00E76034"/>
    <w:rsid w:val="00E80440"/>
    <w:rsid w:val="00E817E0"/>
    <w:rsid w:val="00E82EE4"/>
    <w:rsid w:val="00E831E7"/>
    <w:rsid w:val="00E83F8C"/>
    <w:rsid w:val="00E843B5"/>
    <w:rsid w:val="00E84A3B"/>
    <w:rsid w:val="00E85307"/>
    <w:rsid w:val="00E85B0A"/>
    <w:rsid w:val="00E867C7"/>
    <w:rsid w:val="00E873D0"/>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CFC"/>
    <w:rsid w:val="00EA6FE4"/>
    <w:rsid w:val="00EA798D"/>
    <w:rsid w:val="00EA7BF9"/>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941"/>
    <w:rsid w:val="00ED6D4A"/>
    <w:rsid w:val="00ED721A"/>
    <w:rsid w:val="00ED738C"/>
    <w:rsid w:val="00ED7918"/>
    <w:rsid w:val="00ED7FD3"/>
    <w:rsid w:val="00EE0E5D"/>
    <w:rsid w:val="00EE11C2"/>
    <w:rsid w:val="00EE2183"/>
    <w:rsid w:val="00EE2A61"/>
    <w:rsid w:val="00EE3663"/>
    <w:rsid w:val="00EE41C4"/>
    <w:rsid w:val="00EE5A27"/>
    <w:rsid w:val="00EE6E77"/>
    <w:rsid w:val="00EE76A9"/>
    <w:rsid w:val="00EE799E"/>
    <w:rsid w:val="00EE7CA8"/>
    <w:rsid w:val="00EE7FA7"/>
    <w:rsid w:val="00EF0322"/>
    <w:rsid w:val="00EF1093"/>
    <w:rsid w:val="00EF1980"/>
    <w:rsid w:val="00EF1FCB"/>
    <w:rsid w:val="00EF21C3"/>
    <w:rsid w:val="00EF22AD"/>
    <w:rsid w:val="00EF22CF"/>
    <w:rsid w:val="00EF2C5B"/>
    <w:rsid w:val="00EF2E6B"/>
    <w:rsid w:val="00EF4056"/>
    <w:rsid w:val="00EF54D1"/>
    <w:rsid w:val="00EF67BB"/>
    <w:rsid w:val="00EF72F9"/>
    <w:rsid w:val="00F0021E"/>
    <w:rsid w:val="00F0030E"/>
    <w:rsid w:val="00F00516"/>
    <w:rsid w:val="00F00CD1"/>
    <w:rsid w:val="00F01E6B"/>
    <w:rsid w:val="00F0241C"/>
    <w:rsid w:val="00F031EE"/>
    <w:rsid w:val="00F05759"/>
    <w:rsid w:val="00F064EC"/>
    <w:rsid w:val="00F07F39"/>
    <w:rsid w:val="00F10CB9"/>
    <w:rsid w:val="00F110CD"/>
    <w:rsid w:val="00F110D5"/>
    <w:rsid w:val="00F11481"/>
    <w:rsid w:val="00F12351"/>
    <w:rsid w:val="00F15193"/>
    <w:rsid w:val="00F16739"/>
    <w:rsid w:val="00F16D34"/>
    <w:rsid w:val="00F16DE2"/>
    <w:rsid w:val="00F17338"/>
    <w:rsid w:val="00F2052B"/>
    <w:rsid w:val="00F22183"/>
    <w:rsid w:val="00F2260F"/>
    <w:rsid w:val="00F2352A"/>
    <w:rsid w:val="00F23670"/>
    <w:rsid w:val="00F242AD"/>
    <w:rsid w:val="00F247F2"/>
    <w:rsid w:val="00F2518F"/>
    <w:rsid w:val="00F252A8"/>
    <w:rsid w:val="00F25FDA"/>
    <w:rsid w:val="00F265F7"/>
    <w:rsid w:val="00F27FA6"/>
    <w:rsid w:val="00F31F86"/>
    <w:rsid w:val="00F33DC8"/>
    <w:rsid w:val="00F34444"/>
    <w:rsid w:val="00F36DC3"/>
    <w:rsid w:val="00F378F1"/>
    <w:rsid w:val="00F403A1"/>
    <w:rsid w:val="00F403DB"/>
    <w:rsid w:val="00F4065A"/>
    <w:rsid w:val="00F4275C"/>
    <w:rsid w:val="00F434B2"/>
    <w:rsid w:val="00F45693"/>
    <w:rsid w:val="00F52339"/>
    <w:rsid w:val="00F5277A"/>
    <w:rsid w:val="00F532E8"/>
    <w:rsid w:val="00F53533"/>
    <w:rsid w:val="00F537FF"/>
    <w:rsid w:val="00F545E4"/>
    <w:rsid w:val="00F54E36"/>
    <w:rsid w:val="00F560FE"/>
    <w:rsid w:val="00F60CD6"/>
    <w:rsid w:val="00F6111C"/>
    <w:rsid w:val="00F614C0"/>
    <w:rsid w:val="00F61647"/>
    <w:rsid w:val="00F6559B"/>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582E"/>
    <w:rsid w:val="00F87032"/>
    <w:rsid w:val="00F87094"/>
    <w:rsid w:val="00F879D0"/>
    <w:rsid w:val="00F87AB3"/>
    <w:rsid w:val="00F913DC"/>
    <w:rsid w:val="00F91DDA"/>
    <w:rsid w:val="00F9397A"/>
    <w:rsid w:val="00F93A37"/>
    <w:rsid w:val="00F94182"/>
    <w:rsid w:val="00F9431F"/>
    <w:rsid w:val="00F944D9"/>
    <w:rsid w:val="00F94DB3"/>
    <w:rsid w:val="00F96500"/>
    <w:rsid w:val="00FA31E7"/>
    <w:rsid w:val="00FA413A"/>
    <w:rsid w:val="00FA4144"/>
    <w:rsid w:val="00FA43D5"/>
    <w:rsid w:val="00FA4DDF"/>
    <w:rsid w:val="00FA5306"/>
    <w:rsid w:val="00FA5541"/>
    <w:rsid w:val="00FA645E"/>
    <w:rsid w:val="00FA6E7F"/>
    <w:rsid w:val="00FA7114"/>
    <w:rsid w:val="00FB052D"/>
    <w:rsid w:val="00FB22D7"/>
    <w:rsid w:val="00FB2379"/>
    <w:rsid w:val="00FB3CB7"/>
    <w:rsid w:val="00FB4B8A"/>
    <w:rsid w:val="00FB5152"/>
    <w:rsid w:val="00FB5AE8"/>
    <w:rsid w:val="00FB5F8F"/>
    <w:rsid w:val="00FB680E"/>
    <w:rsid w:val="00FB6B73"/>
    <w:rsid w:val="00FB71EA"/>
    <w:rsid w:val="00FB7A0B"/>
    <w:rsid w:val="00FC0065"/>
    <w:rsid w:val="00FC062F"/>
    <w:rsid w:val="00FC0754"/>
    <w:rsid w:val="00FC3AEE"/>
    <w:rsid w:val="00FC6238"/>
    <w:rsid w:val="00FC7951"/>
    <w:rsid w:val="00FC7EAE"/>
    <w:rsid w:val="00FD1702"/>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5A2DA7"/>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1037"/>
    <w:pPr>
      <w:spacing w:after="160" w:line="259" w:lineRule="auto"/>
    </w:pPr>
    <w:rPr>
      <w:rFonts w:asciiTheme="minorHAnsi" w:eastAsiaTheme="minorHAnsi" w:hAnsiTheme="minorHAnsi" w:cstheme="minorBidi"/>
      <w:sz w:val="22"/>
      <w:szCs w:val="22"/>
      <w:lang w:val="fi-FI" w:eastAsia="fi-FI"/>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0710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1037"/>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aliases w:val="left"/>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TFChar">
    <w:name w:val="TF Char"/>
    <w:link w:val="TF"/>
    <w:rsid w:val="00E61A5D"/>
    <w:rPr>
      <w:rFonts w:ascii="Arial" w:hAnsi="Arial"/>
      <w:b/>
      <w:lang w:val="en-GB"/>
    </w:rPr>
  </w:style>
  <w:style w:type="character" w:customStyle="1" w:styleId="TANChar">
    <w:name w:val="TAN Char"/>
    <w:link w:val="TAN"/>
    <w:locked/>
    <w:rsid w:val="00A17687"/>
    <w:rPr>
      <w:rFonts w:ascii="Arial" w:eastAsiaTheme="minorHAnsi" w:hAnsi="Arial" w:cstheme="minorBidi"/>
      <w:sz w:val="18"/>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25321937">
      <w:bodyDiv w:val="1"/>
      <w:marLeft w:val="0"/>
      <w:marRight w:val="0"/>
      <w:marTop w:val="0"/>
      <w:marBottom w:val="0"/>
      <w:divBdr>
        <w:top w:val="none" w:sz="0" w:space="0" w:color="auto"/>
        <w:left w:val="none" w:sz="0" w:space="0" w:color="auto"/>
        <w:bottom w:val="none" w:sz="0" w:space="0" w:color="auto"/>
        <w:right w:val="none" w:sz="0" w:space="0" w:color="auto"/>
      </w:divBdr>
    </w:div>
    <w:div w:id="33183848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010782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74787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03411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90819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431182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953004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349B1-0E8A-46FF-AEC0-27C55C000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2464</Words>
  <Characters>13679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2019-10-04T12:50:00Z</dcterms:created>
  <dcterms:modified xsi:type="dcterms:W3CDTF">2019-10-04T12:51:00Z</dcterms:modified>
</cp:coreProperties>
</file>