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898B2" w14:textId="5D4E95BD" w:rsidR="007F637A" w:rsidRPr="00FD3DDC" w:rsidRDefault="007F637A" w:rsidP="007F637A">
      <w:pPr>
        <w:tabs>
          <w:tab w:val="right" w:pos="10000"/>
        </w:tabs>
        <w:spacing w:after="0"/>
        <w:rPr>
          <w:rFonts w:ascii="Arial" w:hAnsi="Arial" w:cs="Arial"/>
          <w:b/>
          <w:sz w:val="24"/>
          <w:szCs w:val="24"/>
          <w:lang w:val="en-US"/>
        </w:rPr>
      </w:pPr>
      <w:r w:rsidRPr="000A64D8">
        <w:rPr>
          <w:rFonts w:ascii="Arial" w:hAnsi="Arial" w:cs="Arial"/>
          <w:b/>
          <w:sz w:val="24"/>
          <w:szCs w:val="24"/>
        </w:rPr>
        <w:t>3GPP TSG</w:t>
      </w:r>
      <w:r w:rsidRPr="00AD3FE3">
        <w:rPr>
          <w:rFonts w:ascii="Arial" w:hAnsi="Arial"/>
          <w:b/>
          <w:sz w:val="24"/>
          <w:lang w:eastAsia="zh-CN"/>
        </w:rPr>
        <w:t>-RAN</w:t>
      </w:r>
      <w:r w:rsidRPr="000A64D8">
        <w:rPr>
          <w:rFonts w:ascii="Arial" w:hAnsi="Arial" w:cs="Arial"/>
          <w:b/>
          <w:sz w:val="24"/>
          <w:szCs w:val="24"/>
        </w:rPr>
        <w:t xml:space="preserve"> WG1 #</w:t>
      </w:r>
      <w:r>
        <w:rPr>
          <w:rFonts w:ascii="Arial" w:hAnsi="Arial" w:cs="Arial"/>
          <w:b/>
          <w:sz w:val="24"/>
          <w:szCs w:val="24"/>
        </w:rPr>
        <w:t>9</w:t>
      </w:r>
      <w:r w:rsidR="009040EE">
        <w:rPr>
          <w:rFonts w:ascii="Arial" w:hAnsi="Arial" w:cs="Arial"/>
          <w:b/>
          <w:sz w:val="24"/>
          <w:szCs w:val="24"/>
        </w:rPr>
        <w:t>8</w:t>
      </w:r>
      <w:r w:rsidR="00C74CE7">
        <w:rPr>
          <w:rFonts w:ascii="Arial" w:hAnsi="Arial" w:cs="Arial"/>
          <w:b/>
          <w:sz w:val="24"/>
          <w:szCs w:val="24"/>
        </w:rPr>
        <w:t>bis</w:t>
      </w:r>
      <w:r w:rsidRPr="000A64D8">
        <w:rPr>
          <w:rFonts w:ascii="Arial" w:hAnsi="Arial" w:cs="Arial"/>
          <w:b/>
          <w:sz w:val="24"/>
          <w:szCs w:val="24"/>
        </w:rPr>
        <w:tab/>
      </w:r>
      <w:r w:rsidRPr="00961A61">
        <w:rPr>
          <w:rFonts w:ascii="Arial" w:hAnsi="Arial" w:cs="Arial"/>
          <w:b/>
          <w:sz w:val="24"/>
          <w:szCs w:val="24"/>
        </w:rPr>
        <w:t>R1-</w:t>
      </w:r>
      <w:r w:rsidR="002D3C0D">
        <w:rPr>
          <w:rFonts w:ascii="Arial" w:hAnsi="Arial" w:cs="Arial"/>
          <w:b/>
          <w:sz w:val="24"/>
          <w:szCs w:val="24"/>
        </w:rPr>
        <w:t>19</w:t>
      </w:r>
      <w:r w:rsidR="005F088A">
        <w:rPr>
          <w:rFonts w:ascii="Arial" w:hAnsi="Arial" w:cs="Arial"/>
          <w:b/>
          <w:sz w:val="24"/>
          <w:szCs w:val="24"/>
        </w:rPr>
        <w:t>1</w:t>
      </w:r>
      <w:r w:rsidR="0026343C">
        <w:rPr>
          <w:rFonts w:ascii="Arial" w:hAnsi="Arial" w:cs="Arial"/>
          <w:b/>
          <w:sz w:val="24"/>
          <w:szCs w:val="24"/>
        </w:rPr>
        <w:t>0</w:t>
      </w:r>
      <w:r w:rsidR="005F088A">
        <w:rPr>
          <w:rFonts w:ascii="Arial" w:hAnsi="Arial" w:cs="Arial"/>
          <w:b/>
          <w:sz w:val="24"/>
          <w:szCs w:val="24"/>
        </w:rPr>
        <w:t>723</w:t>
      </w:r>
    </w:p>
    <w:p w14:paraId="7B06AEC4" w14:textId="2BF3BDFE" w:rsidR="007F637A" w:rsidRDefault="00AB5B6D" w:rsidP="007F637A">
      <w:pPr>
        <w:tabs>
          <w:tab w:val="right" w:pos="9630"/>
        </w:tabs>
        <w:spacing w:after="0"/>
        <w:jc w:val="both"/>
        <w:rPr>
          <w:rFonts w:ascii="Arial" w:hAnsi="Arial" w:cs="Arial"/>
          <w:b/>
          <w:sz w:val="24"/>
          <w:szCs w:val="24"/>
        </w:rPr>
      </w:pPr>
      <w:r>
        <w:rPr>
          <w:rFonts w:ascii="Arial" w:hAnsi="Arial" w:cs="Arial"/>
          <w:b/>
          <w:sz w:val="24"/>
          <w:szCs w:val="24"/>
        </w:rPr>
        <w:t>14</w:t>
      </w:r>
      <w:r w:rsidR="002D3C0D" w:rsidRPr="00AD3FE3">
        <w:rPr>
          <w:rFonts w:ascii="Arial" w:hAnsi="Arial" w:cs="Arial"/>
          <w:b/>
          <w:sz w:val="24"/>
          <w:szCs w:val="24"/>
          <w:vertAlign w:val="superscript"/>
        </w:rPr>
        <w:t>th</w:t>
      </w:r>
      <w:r w:rsidR="002D3C0D">
        <w:rPr>
          <w:rFonts w:ascii="Arial" w:hAnsi="Arial" w:cs="Arial"/>
          <w:b/>
          <w:sz w:val="24"/>
          <w:szCs w:val="24"/>
        </w:rPr>
        <w:t xml:space="preserve"> </w:t>
      </w:r>
      <w:r w:rsidR="007F637A">
        <w:rPr>
          <w:rFonts w:ascii="Arial" w:hAnsi="Arial" w:cs="Arial"/>
          <w:b/>
          <w:sz w:val="24"/>
          <w:szCs w:val="24"/>
        </w:rPr>
        <w:t xml:space="preserve">– </w:t>
      </w:r>
      <w:r w:rsidR="00C67C90">
        <w:rPr>
          <w:rFonts w:ascii="Arial" w:hAnsi="Arial" w:cs="Arial"/>
          <w:b/>
          <w:sz w:val="24"/>
          <w:szCs w:val="24"/>
        </w:rPr>
        <w:t>20</w:t>
      </w:r>
      <w:r w:rsidR="002D3C0D" w:rsidRPr="00FD3DDC">
        <w:rPr>
          <w:rFonts w:ascii="Arial" w:hAnsi="Arial" w:cs="Arial"/>
          <w:b/>
          <w:sz w:val="24"/>
          <w:szCs w:val="24"/>
          <w:vertAlign w:val="superscript"/>
        </w:rPr>
        <w:t>t</w:t>
      </w:r>
      <w:r w:rsidR="00305026">
        <w:rPr>
          <w:rFonts w:ascii="Arial" w:hAnsi="Arial" w:cs="Arial"/>
          <w:b/>
          <w:sz w:val="24"/>
          <w:szCs w:val="24"/>
          <w:vertAlign w:val="superscript"/>
        </w:rPr>
        <w:t>h</w:t>
      </w:r>
      <w:r w:rsidR="002D3C0D">
        <w:rPr>
          <w:rFonts w:ascii="Arial" w:hAnsi="Arial" w:cs="Arial"/>
          <w:b/>
          <w:sz w:val="24"/>
          <w:szCs w:val="24"/>
        </w:rPr>
        <w:t xml:space="preserve"> </w:t>
      </w:r>
      <w:r>
        <w:rPr>
          <w:rFonts w:ascii="Arial" w:hAnsi="Arial" w:cs="Arial"/>
          <w:b/>
          <w:sz w:val="24"/>
          <w:szCs w:val="24"/>
        </w:rPr>
        <w:t>October</w:t>
      </w:r>
      <w:r w:rsidR="002D3C0D">
        <w:rPr>
          <w:rFonts w:ascii="Arial" w:hAnsi="Arial" w:cs="Arial"/>
          <w:b/>
          <w:sz w:val="24"/>
          <w:szCs w:val="24"/>
        </w:rPr>
        <w:t xml:space="preserve"> </w:t>
      </w:r>
      <w:r w:rsidR="00FD3DDC">
        <w:rPr>
          <w:rFonts w:ascii="Arial" w:hAnsi="Arial" w:cs="Arial"/>
          <w:b/>
          <w:sz w:val="24"/>
          <w:szCs w:val="24"/>
        </w:rPr>
        <w:t>2019</w:t>
      </w:r>
    </w:p>
    <w:p w14:paraId="4A6B87B1" w14:textId="4A63AFBF" w:rsidR="007F637A" w:rsidRPr="00FD021C" w:rsidRDefault="00AB5B6D" w:rsidP="007F637A">
      <w:pPr>
        <w:tabs>
          <w:tab w:val="right" w:pos="9630"/>
        </w:tabs>
        <w:spacing w:after="0"/>
        <w:jc w:val="both"/>
        <w:rPr>
          <w:rFonts w:ascii="Arial" w:hAnsi="Arial" w:cs="Arial"/>
          <w:b/>
          <w:sz w:val="24"/>
          <w:szCs w:val="24"/>
        </w:rPr>
      </w:pPr>
      <w:r>
        <w:rPr>
          <w:rFonts w:ascii="Arial" w:hAnsi="Arial"/>
          <w:b/>
          <w:sz w:val="24"/>
          <w:lang w:val="en-US" w:eastAsia="zh-CN"/>
        </w:rPr>
        <w:t>Chongqing</w:t>
      </w:r>
      <w:r w:rsidR="007F637A" w:rsidRPr="00AD3FE3">
        <w:rPr>
          <w:rFonts w:ascii="Arial" w:hAnsi="Arial"/>
          <w:b/>
          <w:sz w:val="24"/>
          <w:lang w:eastAsia="zh-CN"/>
        </w:rPr>
        <w:t xml:space="preserve">, </w:t>
      </w:r>
      <w:r>
        <w:rPr>
          <w:rFonts w:ascii="Arial" w:hAnsi="Arial"/>
          <w:b/>
          <w:sz w:val="24"/>
          <w:lang w:eastAsia="zh-CN"/>
        </w:rPr>
        <w:t>PRC</w:t>
      </w:r>
    </w:p>
    <w:p w14:paraId="64343616" w14:textId="77777777" w:rsidR="00E90E49" w:rsidRPr="007F637A" w:rsidRDefault="00E90E49" w:rsidP="00357380">
      <w:pPr>
        <w:pStyle w:val="3GPPHeader"/>
      </w:pPr>
    </w:p>
    <w:p w14:paraId="420BC6C1" w14:textId="3794458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C619A">
        <w:rPr>
          <w:sz w:val="22"/>
          <w:szCs w:val="22"/>
          <w:lang w:val="sv-FI"/>
        </w:rPr>
        <w:t>6.</w:t>
      </w:r>
      <w:r w:rsidR="00A21323">
        <w:rPr>
          <w:sz w:val="22"/>
          <w:szCs w:val="22"/>
          <w:lang w:val="sv-FI"/>
        </w:rPr>
        <w:t>2</w:t>
      </w:r>
      <w:r w:rsidR="007C619A">
        <w:rPr>
          <w:sz w:val="22"/>
          <w:szCs w:val="22"/>
          <w:lang w:val="sv-FI"/>
        </w:rPr>
        <w:t>.</w:t>
      </w:r>
      <w:r w:rsidR="00FD3120">
        <w:rPr>
          <w:sz w:val="22"/>
          <w:szCs w:val="22"/>
          <w:lang w:val="sv-FI"/>
        </w:rPr>
        <w:t>1</w:t>
      </w:r>
      <w:r w:rsidR="00A21323">
        <w:rPr>
          <w:sz w:val="22"/>
          <w:szCs w:val="22"/>
          <w:lang w:val="sv-FI"/>
        </w:rPr>
        <w:t>.</w:t>
      </w:r>
      <w:r w:rsidR="00BA445D">
        <w:rPr>
          <w:sz w:val="22"/>
          <w:szCs w:val="22"/>
          <w:lang w:val="sv-FI"/>
        </w:rPr>
        <w:t>8</w:t>
      </w:r>
    </w:p>
    <w:p w14:paraId="58D4AF01" w14:textId="5A435633" w:rsidR="00E90E49" w:rsidRPr="000F360A" w:rsidRDefault="003D3C45" w:rsidP="00F64C2B">
      <w:pPr>
        <w:pStyle w:val="3GPPHeader"/>
        <w:rPr>
          <w:sz w:val="22"/>
          <w:szCs w:val="22"/>
        </w:rPr>
      </w:pPr>
      <w:r w:rsidRPr="000F360A">
        <w:rPr>
          <w:sz w:val="22"/>
          <w:szCs w:val="22"/>
        </w:rPr>
        <w:t>Source:</w:t>
      </w:r>
      <w:r w:rsidR="00E90E49" w:rsidRPr="000F360A">
        <w:rPr>
          <w:sz w:val="22"/>
          <w:szCs w:val="22"/>
        </w:rPr>
        <w:tab/>
      </w:r>
      <w:r w:rsidR="001733C3">
        <w:rPr>
          <w:sz w:val="22"/>
          <w:szCs w:val="22"/>
        </w:rPr>
        <w:t>Qualcomm</w:t>
      </w:r>
      <w:r w:rsidR="00C464AA">
        <w:rPr>
          <w:sz w:val="22"/>
          <w:szCs w:val="22"/>
        </w:rPr>
        <w:t xml:space="preserve"> Incorporated</w:t>
      </w:r>
    </w:p>
    <w:p w14:paraId="724AB1D8" w14:textId="12B06C67" w:rsidR="00E90E49" w:rsidRPr="000F360A" w:rsidRDefault="003D3C45" w:rsidP="00311702">
      <w:pPr>
        <w:pStyle w:val="3GPPHeader"/>
        <w:rPr>
          <w:sz w:val="22"/>
          <w:szCs w:val="22"/>
        </w:rPr>
      </w:pPr>
      <w:r w:rsidRPr="000F360A">
        <w:rPr>
          <w:sz w:val="22"/>
          <w:szCs w:val="22"/>
        </w:rPr>
        <w:t>Title:</w:t>
      </w:r>
      <w:r w:rsidR="00E90E49" w:rsidRPr="000F360A">
        <w:rPr>
          <w:sz w:val="22"/>
          <w:szCs w:val="22"/>
        </w:rPr>
        <w:tab/>
      </w:r>
      <w:r w:rsidR="00D056D0">
        <w:rPr>
          <w:sz w:val="22"/>
          <w:szCs w:val="22"/>
        </w:rPr>
        <w:t>Use of control region</w:t>
      </w:r>
      <w:r w:rsidR="00FA0631" w:rsidRPr="00FA0631">
        <w:rPr>
          <w:sz w:val="22"/>
          <w:szCs w:val="22"/>
        </w:rPr>
        <w:t xml:space="preserve"> </w:t>
      </w:r>
      <w:r w:rsidR="00D056D0">
        <w:rPr>
          <w:sz w:val="22"/>
          <w:szCs w:val="22"/>
        </w:rPr>
        <w:t xml:space="preserve">for </w:t>
      </w:r>
      <w:proofErr w:type="spellStart"/>
      <w:r w:rsidR="00D056D0">
        <w:rPr>
          <w:sz w:val="22"/>
          <w:szCs w:val="22"/>
        </w:rPr>
        <w:t>eMTC</w:t>
      </w:r>
      <w:proofErr w:type="spellEnd"/>
      <w:r w:rsidR="00D056D0">
        <w:rPr>
          <w:sz w:val="22"/>
          <w:szCs w:val="22"/>
        </w:rPr>
        <w:t xml:space="preserve"> UEs</w:t>
      </w:r>
    </w:p>
    <w:p w14:paraId="3695AEAB" w14:textId="27F03C32" w:rsidR="00E90E49" w:rsidRPr="00CE0424" w:rsidRDefault="00E90E49" w:rsidP="00D546FF">
      <w:pPr>
        <w:pStyle w:val="3GPPHeader"/>
        <w:rPr>
          <w:sz w:val="22"/>
          <w:szCs w:val="22"/>
        </w:rPr>
      </w:pPr>
      <w:r w:rsidRPr="000F360A">
        <w:rPr>
          <w:sz w:val="22"/>
          <w:szCs w:val="22"/>
        </w:rPr>
        <w:t>Document for:</w:t>
      </w:r>
      <w:r w:rsidRPr="000F360A">
        <w:rPr>
          <w:sz w:val="22"/>
          <w:szCs w:val="22"/>
        </w:rPr>
        <w:tab/>
        <w:t>D</w:t>
      </w:r>
      <w:r w:rsidR="007C619A">
        <w:rPr>
          <w:sz w:val="22"/>
          <w:szCs w:val="22"/>
        </w:rPr>
        <w:t>iscussion and D</w:t>
      </w:r>
      <w:r w:rsidRPr="000F360A">
        <w:rPr>
          <w:sz w:val="22"/>
          <w:szCs w:val="22"/>
        </w:rPr>
        <w:t>ecision</w:t>
      </w:r>
    </w:p>
    <w:p w14:paraId="5D6DBE6B" w14:textId="77777777" w:rsidR="00E90E49" w:rsidRPr="00CE0424" w:rsidRDefault="00230D18" w:rsidP="00CE0424">
      <w:pPr>
        <w:pStyle w:val="Heading1"/>
      </w:pPr>
      <w:r>
        <w:t>1</w:t>
      </w:r>
      <w:r>
        <w:tab/>
      </w:r>
      <w:r w:rsidR="00E90E49" w:rsidRPr="00CE0424">
        <w:t>Introduction</w:t>
      </w:r>
    </w:p>
    <w:p w14:paraId="12D986EB" w14:textId="78027A6D" w:rsidR="00051CEA" w:rsidRDefault="003C43C6" w:rsidP="00051CEA">
      <w:pPr>
        <w:widowControl w:val="0"/>
        <w:wordWrap w:val="0"/>
        <w:spacing w:after="120"/>
        <w:contextualSpacing/>
        <w:jc w:val="both"/>
        <w:rPr>
          <w:rFonts w:eastAsia="Batang"/>
          <w:snapToGrid w:val="0"/>
          <w:kern w:val="2"/>
          <w:sz w:val="22"/>
          <w:szCs w:val="22"/>
          <w:lang w:eastAsia="ko-KR"/>
        </w:rPr>
      </w:pPr>
      <w:r w:rsidRPr="00FA0631">
        <w:rPr>
          <w:rFonts w:eastAsia="Batang"/>
          <w:snapToGrid w:val="0"/>
          <w:kern w:val="2"/>
          <w:sz w:val="22"/>
          <w:szCs w:val="22"/>
          <w:lang w:eastAsia="ko-KR"/>
        </w:rPr>
        <w:t>In RAN</w:t>
      </w:r>
      <w:r>
        <w:rPr>
          <w:rFonts w:eastAsia="Batang"/>
          <w:snapToGrid w:val="0"/>
          <w:kern w:val="2"/>
          <w:sz w:val="22"/>
          <w:szCs w:val="22"/>
          <w:lang w:eastAsia="ko-KR"/>
        </w:rPr>
        <w:t>1</w:t>
      </w:r>
      <w:r w:rsidRPr="00FA0631">
        <w:rPr>
          <w:rFonts w:eastAsia="Batang"/>
          <w:snapToGrid w:val="0"/>
          <w:kern w:val="2"/>
          <w:sz w:val="22"/>
          <w:szCs w:val="22"/>
          <w:lang w:eastAsia="ko-KR"/>
        </w:rPr>
        <w:t>#</w:t>
      </w:r>
      <w:r w:rsidR="002D3C0D">
        <w:rPr>
          <w:rFonts w:eastAsia="Batang"/>
          <w:snapToGrid w:val="0"/>
          <w:kern w:val="2"/>
          <w:sz w:val="22"/>
          <w:szCs w:val="22"/>
          <w:lang w:eastAsia="ko-KR"/>
        </w:rPr>
        <w:t>9</w:t>
      </w:r>
      <w:r w:rsidR="00AB14D8">
        <w:rPr>
          <w:rFonts w:eastAsia="Batang"/>
          <w:snapToGrid w:val="0"/>
          <w:kern w:val="2"/>
          <w:sz w:val="22"/>
          <w:szCs w:val="22"/>
          <w:lang w:eastAsia="ko-KR"/>
        </w:rPr>
        <w:t>8</w:t>
      </w:r>
      <w:r w:rsidR="002D3C0D">
        <w:rPr>
          <w:rFonts w:eastAsia="Batang"/>
          <w:snapToGrid w:val="0"/>
          <w:kern w:val="2"/>
          <w:sz w:val="22"/>
          <w:szCs w:val="22"/>
          <w:lang w:eastAsia="ko-KR"/>
        </w:rPr>
        <w:t xml:space="preserve"> </w:t>
      </w:r>
      <w:r>
        <w:rPr>
          <w:rFonts w:eastAsia="Batang"/>
          <w:snapToGrid w:val="0"/>
          <w:kern w:val="2"/>
          <w:sz w:val="22"/>
          <w:szCs w:val="22"/>
          <w:lang w:eastAsia="ko-KR"/>
        </w:rPr>
        <w:t>meeting, the following agreements for using LTE control region for DL transmission were achieved [</w:t>
      </w:r>
      <w:r w:rsidR="00A60814">
        <w:rPr>
          <w:rFonts w:eastAsia="Batang"/>
          <w:snapToGrid w:val="0"/>
          <w:kern w:val="2"/>
          <w:sz w:val="22"/>
          <w:szCs w:val="22"/>
          <w:lang w:eastAsia="ko-KR"/>
        </w:rPr>
        <w:t>1</w:t>
      </w:r>
      <w:r>
        <w:rPr>
          <w:rFonts w:eastAsia="Batang"/>
          <w:snapToGrid w:val="0"/>
          <w:kern w:val="2"/>
          <w:sz w:val="22"/>
          <w:szCs w:val="22"/>
          <w:lang w:eastAsia="ko-KR"/>
        </w:rPr>
        <w:t xml:space="preserve">]. </w:t>
      </w:r>
    </w:p>
    <w:p w14:paraId="4339D02F" w14:textId="77777777" w:rsidR="00051CEA" w:rsidRDefault="00051CEA" w:rsidP="00051CEA">
      <w:pPr>
        <w:widowControl w:val="0"/>
        <w:wordWrap w:val="0"/>
        <w:spacing w:after="120"/>
        <w:contextualSpacing/>
        <w:jc w:val="both"/>
        <w:rPr>
          <w:rFonts w:eastAsia="Batang"/>
          <w:snapToGrid w:val="0"/>
          <w:kern w:val="2"/>
          <w:lang w:eastAsia="ko-KR"/>
        </w:rPr>
      </w:pPr>
    </w:p>
    <w:p w14:paraId="5478661A" w14:textId="77777777" w:rsidR="008F6AB2" w:rsidRPr="008F6AB2" w:rsidRDefault="008F6AB2" w:rsidP="008F6AB2">
      <w:pPr>
        <w:rPr>
          <w:b/>
          <w:sz w:val="22"/>
          <w:szCs w:val="22"/>
          <w:highlight w:val="green"/>
          <w:lang w:eastAsia="x-none"/>
        </w:rPr>
      </w:pPr>
      <w:r w:rsidRPr="008F6AB2">
        <w:rPr>
          <w:b/>
          <w:sz w:val="22"/>
          <w:szCs w:val="22"/>
          <w:highlight w:val="green"/>
          <w:lang w:eastAsia="x-none"/>
        </w:rPr>
        <w:t>Agreement</w:t>
      </w:r>
    </w:p>
    <w:p w14:paraId="32F5D295" w14:textId="77777777" w:rsidR="00AB14D8" w:rsidRPr="00AB14D8" w:rsidRDefault="00AB14D8" w:rsidP="00AB14D8">
      <w:pPr>
        <w:jc w:val="both"/>
        <w:rPr>
          <w:noProof/>
          <w:sz w:val="22"/>
          <w:szCs w:val="22"/>
          <w:lang w:val="en-US" w:eastAsia="en-GB"/>
        </w:rPr>
      </w:pPr>
      <w:r w:rsidRPr="00AB14D8">
        <w:rPr>
          <w:noProof/>
          <w:sz w:val="22"/>
          <w:szCs w:val="22"/>
          <w:lang w:val="en-US" w:eastAsia="en-GB"/>
        </w:rPr>
        <w:t xml:space="preserve">For MPDCCH mapping for TDD special subframes, </w:t>
      </w:r>
    </w:p>
    <w:p w14:paraId="1B9C65FD" w14:textId="77777777" w:rsidR="00AB14D8" w:rsidRPr="00AB14D8" w:rsidRDefault="00AB14D8" w:rsidP="00AB14D8">
      <w:pPr>
        <w:numPr>
          <w:ilvl w:val="0"/>
          <w:numId w:val="49"/>
        </w:numPr>
        <w:overflowPunct/>
        <w:autoSpaceDE/>
        <w:autoSpaceDN/>
        <w:adjustRightInd/>
        <w:spacing w:after="0"/>
        <w:ind w:left="567" w:hanging="207"/>
        <w:jc w:val="both"/>
        <w:textAlignment w:val="auto"/>
        <w:rPr>
          <w:rFonts w:eastAsia="MS Mincho"/>
          <w:sz w:val="22"/>
          <w:szCs w:val="22"/>
          <w:lang w:val="en-US"/>
        </w:rPr>
      </w:pPr>
      <w:r w:rsidRPr="00AB14D8">
        <w:rPr>
          <w:rFonts w:eastAsia="MS Mincho"/>
          <w:sz w:val="22"/>
          <w:szCs w:val="22"/>
          <w:lang w:val="en-US"/>
        </w:rPr>
        <w:t xml:space="preserve">For special subframe configurations other than 9 and 10, </w:t>
      </w:r>
      <w:r w:rsidRPr="00AB14D8">
        <w:rPr>
          <w:sz w:val="22"/>
          <w:szCs w:val="22"/>
        </w:rPr>
        <w:t xml:space="preserve">the resource elements used for MPDCCH in the first </w:t>
      </w:r>
      <w:proofErr w:type="spellStart"/>
      <w:r w:rsidRPr="00AB14D8">
        <w:rPr>
          <w:i/>
          <w:sz w:val="22"/>
          <w:szCs w:val="22"/>
        </w:rPr>
        <w:t>l</w:t>
      </w:r>
      <w:r w:rsidRPr="00AB14D8">
        <w:rPr>
          <w:i/>
          <w:sz w:val="22"/>
          <w:szCs w:val="22"/>
          <w:vertAlign w:val="subscript"/>
        </w:rPr>
        <w:t>MPDCCHStart</w:t>
      </w:r>
      <w:proofErr w:type="spellEnd"/>
      <w:r w:rsidRPr="00AB14D8">
        <w:rPr>
          <w:sz w:val="22"/>
          <w:szCs w:val="22"/>
        </w:rPr>
        <w:t xml:space="preserve"> </w:t>
      </w:r>
      <w:r w:rsidRPr="00AB14D8">
        <w:rPr>
          <w:rFonts w:eastAsia="Times New Roman"/>
          <w:sz w:val="22"/>
          <w:szCs w:val="22"/>
        </w:rPr>
        <w:t>symbols in the second slot are copied into the first</w:t>
      </w:r>
      <w:r w:rsidRPr="00AB14D8">
        <w:rPr>
          <w:i/>
          <w:sz w:val="22"/>
          <w:szCs w:val="22"/>
        </w:rPr>
        <w:t xml:space="preserve"> </w:t>
      </w:r>
      <w:proofErr w:type="spellStart"/>
      <w:r w:rsidRPr="00AB14D8">
        <w:rPr>
          <w:i/>
          <w:sz w:val="22"/>
          <w:szCs w:val="22"/>
        </w:rPr>
        <w:t>l</w:t>
      </w:r>
      <w:r w:rsidRPr="00AB14D8">
        <w:rPr>
          <w:i/>
          <w:sz w:val="22"/>
          <w:szCs w:val="22"/>
          <w:vertAlign w:val="subscript"/>
        </w:rPr>
        <w:t>MPDCCHStart</w:t>
      </w:r>
      <w:proofErr w:type="spellEnd"/>
      <w:r w:rsidRPr="00AB14D8">
        <w:rPr>
          <w:sz w:val="22"/>
          <w:szCs w:val="22"/>
        </w:rPr>
        <w:t xml:space="preserve"> </w:t>
      </w:r>
      <w:r w:rsidRPr="00AB14D8">
        <w:rPr>
          <w:rFonts w:eastAsia="Times New Roman"/>
          <w:sz w:val="22"/>
          <w:szCs w:val="22"/>
        </w:rPr>
        <w:t>symbols in the first slot</w:t>
      </w:r>
      <w:r w:rsidRPr="00AB14D8">
        <w:rPr>
          <w:rFonts w:eastAsia="MS Mincho"/>
          <w:sz w:val="22"/>
          <w:szCs w:val="22"/>
          <w:lang w:val="en-US"/>
        </w:rPr>
        <w:t xml:space="preserve">. </w:t>
      </w:r>
    </w:p>
    <w:p w14:paraId="5A0155CD" w14:textId="77777777" w:rsidR="00AB14D8" w:rsidRPr="00AB14D8" w:rsidRDefault="00AB14D8" w:rsidP="00AB14D8">
      <w:pPr>
        <w:numPr>
          <w:ilvl w:val="1"/>
          <w:numId w:val="49"/>
        </w:numPr>
        <w:overflowPunct/>
        <w:autoSpaceDE/>
        <w:autoSpaceDN/>
        <w:adjustRightInd/>
        <w:spacing w:after="0"/>
        <w:jc w:val="both"/>
        <w:textAlignment w:val="auto"/>
        <w:rPr>
          <w:rFonts w:eastAsia="MS Mincho"/>
          <w:sz w:val="22"/>
          <w:szCs w:val="22"/>
          <w:lang w:val="en-US"/>
        </w:rPr>
      </w:pPr>
      <w:r w:rsidRPr="00AB14D8">
        <w:rPr>
          <w:rFonts w:eastAsia="MS Mincho"/>
          <w:sz w:val="22"/>
          <w:szCs w:val="22"/>
          <w:lang w:val="en-US"/>
        </w:rPr>
        <w:t>FFS: For subframe configurations 9 and 10</w:t>
      </w:r>
    </w:p>
    <w:p w14:paraId="5F50D64A" w14:textId="77777777" w:rsidR="00AB14D8" w:rsidRPr="00AB14D8" w:rsidRDefault="00AB14D8" w:rsidP="00662586">
      <w:pPr>
        <w:rPr>
          <w:b/>
          <w:highlight w:val="darkYellow"/>
          <w:lang w:val="en-US" w:eastAsia="x-none"/>
        </w:rPr>
      </w:pPr>
    </w:p>
    <w:p w14:paraId="56AAF8D4" w14:textId="1455BEA5" w:rsidR="00CB61F7" w:rsidRDefault="00FA0631" w:rsidP="00FA761F">
      <w:pPr>
        <w:widowControl w:val="0"/>
        <w:wordWrap w:val="0"/>
        <w:spacing w:after="120"/>
        <w:contextualSpacing/>
        <w:jc w:val="both"/>
        <w:rPr>
          <w:rFonts w:eastAsia="Batang"/>
          <w:snapToGrid w:val="0"/>
          <w:kern w:val="2"/>
          <w:sz w:val="22"/>
          <w:szCs w:val="22"/>
          <w:lang w:eastAsia="ko-KR"/>
        </w:rPr>
      </w:pPr>
      <w:bookmarkStart w:id="0" w:name="_Ref178064866"/>
      <w:r w:rsidRPr="00FA0631">
        <w:rPr>
          <w:rFonts w:eastAsia="Batang"/>
          <w:snapToGrid w:val="0"/>
          <w:kern w:val="2"/>
          <w:sz w:val="22"/>
          <w:szCs w:val="22"/>
          <w:lang w:eastAsia="ko-KR"/>
        </w:rPr>
        <w:t xml:space="preserve">In this contribution, we </w:t>
      </w:r>
      <w:r w:rsidR="003C43C6">
        <w:rPr>
          <w:rFonts w:eastAsia="Batang"/>
          <w:snapToGrid w:val="0"/>
          <w:kern w:val="2"/>
          <w:sz w:val="22"/>
          <w:szCs w:val="22"/>
          <w:lang w:eastAsia="ko-KR"/>
        </w:rPr>
        <w:t xml:space="preserve">continue to </w:t>
      </w:r>
      <w:r w:rsidR="00FA761F">
        <w:rPr>
          <w:rFonts w:eastAsia="Batang"/>
          <w:snapToGrid w:val="0"/>
          <w:kern w:val="2"/>
          <w:sz w:val="22"/>
          <w:szCs w:val="22"/>
          <w:lang w:eastAsia="ko-KR"/>
        </w:rPr>
        <w:t xml:space="preserve">discuss the </w:t>
      </w:r>
      <w:r w:rsidR="002D3C0D">
        <w:rPr>
          <w:rFonts w:eastAsia="Batang"/>
          <w:snapToGrid w:val="0"/>
          <w:kern w:val="2"/>
          <w:sz w:val="22"/>
          <w:szCs w:val="22"/>
          <w:lang w:eastAsia="ko-KR"/>
        </w:rPr>
        <w:t xml:space="preserve">remaining </w:t>
      </w:r>
      <w:r w:rsidR="00FA761F">
        <w:rPr>
          <w:rFonts w:eastAsia="Batang"/>
          <w:snapToGrid w:val="0"/>
          <w:kern w:val="2"/>
          <w:sz w:val="22"/>
          <w:szCs w:val="22"/>
          <w:lang w:eastAsia="ko-KR"/>
        </w:rPr>
        <w:t xml:space="preserve">aspects </w:t>
      </w:r>
      <w:r w:rsidRPr="00FA0631">
        <w:rPr>
          <w:rFonts w:eastAsia="Batang"/>
          <w:snapToGrid w:val="0"/>
          <w:kern w:val="2"/>
          <w:sz w:val="22"/>
          <w:szCs w:val="22"/>
          <w:lang w:eastAsia="ko-KR"/>
        </w:rPr>
        <w:t>f</w:t>
      </w:r>
      <w:r w:rsidR="00FA761F">
        <w:rPr>
          <w:rFonts w:eastAsia="Batang"/>
          <w:snapToGrid w:val="0"/>
          <w:kern w:val="2"/>
          <w:sz w:val="22"/>
          <w:szCs w:val="22"/>
          <w:lang w:eastAsia="ko-KR"/>
        </w:rPr>
        <w:t>or</w:t>
      </w:r>
      <w:r w:rsidRPr="00FA0631">
        <w:rPr>
          <w:rFonts w:eastAsia="Batang"/>
          <w:snapToGrid w:val="0"/>
          <w:kern w:val="2"/>
          <w:sz w:val="22"/>
          <w:szCs w:val="22"/>
          <w:lang w:eastAsia="ko-KR"/>
        </w:rPr>
        <w:t xml:space="preserve"> </w:t>
      </w:r>
      <w:r w:rsidR="00BA445D">
        <w:rPr>
          <w:rFonts w:eastAsia="Batang"/>
          <w:snapToGrid w:val="0"/>
          <w:kern w:val="2"/>
          <w:sz w:val="22"/>
          <w:szCs w:val="22"/>
          <w:lang w:eastAsia="ko-KR"/>
        </w:rPr>
        <w:t xml:space="preserve">using LTE control region for DL transmission for </w:t>
      </w:r>
      <w:r w:rsidR="00051CEA">
        <w:rPr>
          <w:rFonts w:eastAsia="Batang"/>
          <w:snapToGrid w:val="0"/>
          <w:kern w:val="2"/>
          <w:sz w:val="22"/>
          <w:szCs w:val="22"/>
          <w:lang w:eastAsia="ko-KR"/>
        </w:rPr>
        <w:t>LTE-</w:t>
      </w:r>
      <w:r w:rsidR="00BA445D">
        <w:rPr>
          <w:rFonts w:eastAsia="Batang"/>
          <w:snapToGrid w:val="0"/>
          <w:kern w:val="2"/>
          <w:sz w:val="22"/>
          <w:szCs w:val="22"/>
          <w:lang w:eastAsia="ko-KR"/>
        </w:rPr>
        <w:t>MTC</w:t>
      </w:r>
      <w:r w:rsidRPr="00FA0631">
        <w:rPr>
          <w:rFonts w:eastAsia="Batang"/>
          <w:snapToGrid w:val="0"/>
          <w:kern w:val="2"/>
          <w:sz w:val="22"/>
          <w:szCs w:val="22"/>
          <w:lang w:eastAsia="ko-KR"/>
        </w:rPr>
        <w:t xml:space="preserve">. </w:t>
      </w:r>
    </w:p>
    <w:bookmarkEnd w:id="0"/>
    <w:p w14:paraId="6085A115" w14:textId="59ECAA73" w:rsidR="004000E8" w:rsidRPr="00690821" w:rsidRDefault="00FA0631" w:rsidP="00690821">
      <w:pPr>
        <w:pStyle w:val="Heading1"/>
        <w:numPr>
          <w:ilvl w:val="0"/>
          <w:numId w:val="39"/>
        </w:numPr>
        <w:rPr>
          <w:rFonts w:eastAsia="宋体"/>
          <w:lang w:val="en-US" w:eastAsia="en-US"/>
        </w:rPr>
      </w:pPr>
      <w:r w:rsidRPr="00690821">
        <w:rPr>
          <w:rFonts w:eastAsia="宋体"/>
          <w:lang w:val="en-US" w:eastAsia="en-US"/>
        </w:rPr>
        <w:t>Discussion</w:t>
      </w:r>
    </w:p>
    <w:p w14:paraId="3B529463" w14:textId="00384766" w:rsidR="00F54278" w:rsidRPr="00F54278" w:rsidRDefault="00F54278" w:rsidP="00F54278">
      <w:pPr>
        <w:pStyle w:val="Heading2"/>
        <w:spacing w:before="120"/>
        <w:rPr>
          <w:sz w:val="28"/>
          <w:szCs w:val="28"/>
        </w:rPr>
      </w:pPr>
      <w:r w:rsidRPr="00F54278">
        <w:rPr>
          <w:sz w:val="28"/>
          <w:szCs w:val="28"/>
        </w:rPr>
        <w:t>2.</w:t>
      </w:r>
      <w:r w:rsidR="00A60814">
        <w:rPr>
          <w:sz w:val="28"/>
          <w:szCs w:val="28"/>
        </w:rPr>
        <w:t>1</w:t>
      </w:r>
      <w:r w:rsidR="00A60814" w:rsidRPr="00F54278">
        <w:rPr>
          <w:sz w:val="28"/>
          <w:szCs w:val="28"/>
        </w:rPr>
        <w:t xml:space="preserve"> </w:t>
      </w:r>
      <w:r w:rsidR="001B10FD">
        <w:rPr>
          <w:sz w:val="28"/>
          <w:szCs w:val="28"/>
          <w:lang w:val="en-US"/>
        </w:rPr>
        <w:t>TDD special subframe configurations 9 and 10</w:t>
      </w:r>
    </w:p>
    <w:p w14:paraId="55780023" w14:textId="5E222115" w:rsidR="002B2E54" w:rsidRDefault="005E3220" w:rsidP="000267C3">
      <w:pPr>
        <w:pStyle w:val="LGTdoc1"/>
        <w:spacing w:beforeLines="0" w:before="120" w:after="220" w:afterAutospacing="0"/>
        <w:rPr>
          <w:b w:val="0"/>
          <w:kern w:val="2"/>
          <w:sz w:val="22"/>
          <w:szCs w:val="22"/>
        </w:rPr>
      </w:pPr>
      <w:r>
        <w:rPr>
          <w:b w:val="0"/>
          <w:kern w:val="2"/>
          <w:sz w:val="22"/>
          <w:szCs w:val="22"/>
        </w:rPr>
        <w:t xml:space="preserve">For special subframe configurations 9 and 10 (i.e. ssp9 and ssp10) the length of </w:t>
      </w:r>
      <w:proofErr w:type="spellStart"/>
      <w:r>
        <w:rPr>
          <w:b w:val="0"/>
          <w:kern w:val="2"/>
          <w:sz w:val="22"/>
          <w:szCs w:val="22"/>
        </w:rPr>
        <w:t>DwPTS</w:t>
      </w:r>
      <w:proofErr w:type="spellEnd"/>
      <w:r>
        <w:rPr>
          <w:b w:val="0"/>
          <w:kern w:val="2"/>
          <w:sz w:val="22"/>
          <w:szCs w:val="22"/>
        </w:rPr>
        <w:t xml:space="preserve"> is only 6 symbols and DL transmission is only allowed in the first slot of the subframe. Therefore, it is not possible to copy </w:t>
      </w:r>
      <w:r w:rsidR="00FA2787">
        <w:rPr>
          <w:b w:val="0"/>
          <w:kern w:val="2"/>
          <w:sz w:val="22"/>
          <w:szCs w:val="22"/>
        </w:rPr>
        <w:t xml:space="preserve">the first </w:t>
      </w:r>
      <w:proofErr w:type="spellStart"/>
      <w:r w:rsidR="00FA2787" w:rsidRPr="00D404F1">
        <w:rPr>
          <w:b w:val="0"/>
          <w:i/>
          <w:kern w:val="2"/>
          <w:sz w:val="22"/>
          <w:szCs w:val="22"/>
        </w:rPr>
        <w:t>l</w:t>
      </w:r>
      <w:r w:rsidR="00FA2787" w:rsidRPr="00D404F1">
        <w:rPr>
          <w:b w:val="0"/>
          <w:i/>
          <w:kern w:val="2"/>
          <w:sz w:val="22"/>
          <w:szCs w:val="22"/>
          <w:vertAlign w:val="subscript"/>
        </w:rPr>
        <w:t>MPDCCHStart</w:t>
      </w:r>
      <w:proofErr w:type="spellEnd"/>
      <w:r w:rsidR="00FA2787" w:rsidRPr="00D404F1">
        <w:rPr>
          <w:b w:val="0"/>
          <w:kern w:val="2"/>
          <w:sz w:val="22"/>
          <w:szCs w:val="22"/>
        </w:rPr>
        <w:t xml:space="preserve"> symbols in the second slot</w:t>
      </w:r>
      <w:r w:rsidR="00FA2787">
        <w:rPr>
          <w:b w:val="0"/>
          <w:kern w:val="2"/>
          <w:sz w:val="22"/>
          <w:szCs w:val="22"/>
        </w:rPr>
        <w:t xml:space="preserve"> to the control region</w:t>
      </w:r>
      <w:r>
        <w:rPr>
          <w:b w:val="0"/>
          <w:kern w:val="2"/>
          <w:sz w:val="22"/>
          <w:szCs w:val="22"/>
        </w:rPr>
        <w:t xml:space="preserve"> as </w:t>
      </w:r>
      <w:r w:rsidR="002B2E54">
        <w:rPr>
          <w:b w:val="0"/>
          <w:kern w:val="2"/>
          <w:sz w:val="22"/>
          <w:szCs w:val="22"/>
        </w:rPr>
        <w:t>in</w:t>
      </w:r>
      <w:r>
        <w:rPr>
          <w:b w:val="0"/>
          <w:kern w:val="2"/>
          <w:sz w:val="22"/>
          <w:szCs w:val="22"/>
        </w:rPr>
        <w:t xml:space="preserve"> normal DL subframe and other TDD special subframe configurations</w:t>
      </w:r>
      <w:r w:rsidR="00D404F1">
        <w:rPr>
          <w:b w:val="0"/>
          <w:kern w:val="2"/>
          <w:sz w:val="22"/>
          <w:szCs w:val="22"/>
        </w:rPr>
        <w:t xml:space="preserve">. </w:t>
      </w:r>
    </w:p>
    <w:p w14:paraId="5E5C01B6" w14:textId="5F32089F" w:rsidR="002B2E54" w:rsidRDefault="002B2E54" w:rsidP="000267C3">
      <w:pPr>
        <w:pStyle w:val="LGTdoc1"/>
        <w:spacing w:beforeLines="0" w:before="120" w:after="220" w:afterAutospacing="0"/>
        <w:rPr>
          <w:b w:val="0"/>
          <w:kern w:val="2"/>
          <w:sz w:val="22"/>
          <w:szCs w:val="22"/>
        </w:rPr>
      </w:pPr>
      <w:r>
        <w:rPr>
          <w:b w:val="0"/>
          <w:kern w:val="2"/>
          <w:sz w:val="22"/>
          <w:szCs w:val="22"/>
        </w:rPr>
        <w:t>As discussed in RAN1#98, the following options were proposed for special subframe configuration 9 and 10.</w:t>
      </w:r>
    </w:p>
    <w:p w14:paraId="28FCD824" w14:textId="7E4B15F7" w:rsidR="002B2E54" w:rsidRDefault="002B2E54" w:rsidP="002B2E54">
      <w:pPr>
        <w:pStyle w:val="LGTdoc1"/>
        <w:numPr>
          <w:ilvl w:val="0"/>
          <w:numId w:val="49"/>
        </w:numPr>
        <w:spacing w:beforeLines="0" w:before="120" w:after="220" w:afterAutospacing="0"/>
        <w:rPr>
          <w:b w:val="0"/>
          <w:kern w:val="2"/>
          <w:sz w:val="22"/>
          <w:szCs w:val="22"/>
        </w:rPr>
      </w:pPr>
      <w:r>
        <w:rPr>
          <w:b w:val="0"/>
          <w:kern w:val="2"/>
          <w:sz w:val="22"/>
          <w:szCs w:val="22"/>
        </w:rPr>
        <w:t xml:space="preserve">Option </w:t>
      </w:r>
      <w:r w:rsidR="00CA1703">
        <w:rPr>
          <w:b w:val="0"/>
          <w:kern w:val="2"/>
          <w:sz w:val="22"/>
          <w:szCs w:val="22"/>
        </w:rPr>
        <w:t>1</w:t>
      </w:r>
      <w:r>
        <w:rPr>
          <w:b w:val="0"/>
          <w:kern w:val="2"/>
          <w:sz w:val="22"/>
          <w:szCs w:val="22"/>
        </w:rPr>
        <w:t>: No support of MPDCCH transmission in LTE control region for TDD special subframe configurations 9 and 10 [</w:t>
      </w:r>
      <w:r w:rsidR="00CA1703">
        <w:rPr>
          <w:b w:val="0"/>
          <w:kern w:val="2"/>
          <w:sz w:val="22"/>
          <w:szCs w:val="22"/>
        </w:rPr>
        <w:t>2</w:t>
      </w:r>
      <w:r>
        <w:rPr>
          <w:b w:val="0"/>
          <w:kern w:val="2"/>
          <w:sz w:val="22"/>
          <w:szCs w:val="22"/>
        </w:rPr>
        <w:t xml:space="preserve">]. </w:t>
      </w:r>
    </w:p>
    <w:p w14:paraId="476A0973" w14:textId="2B5EF548" w:rsidR="00CA1703" w:rsidRDefault="00CA1703" w:rsidP="002B2E54">
      <w:pPr>
        <w:pStyle w:val="LGTdoc1"/>
        <w:numPr>
          <w:ilvl w:val="0"/>
          <w:numId w:val="49"/>
        </w:numPr>
        <w:spacing w:beforeLines="0" w:before="120" w:after="220" w:afterAutospacing="0"/>
        <w:rPr>
          <w:b w:val="0"/>
          <w:kern w:val="2"/>
          <w:sz w:val="22"/>
          <w:szCs w:val="22"/>
        </w:rPr>
      </w:pPr>
      <w:r>
        <w:rPr>
          <w:b w:val="0"/>
          <w:kern w:val="2"/>
          <w:sz w:val="22"/>
          <w:szCs w:val="22"/>
        </w:rPr>
        <w:t>Option 2: T</w:t>
      </w:r>
      <w:r w:rsidRPr="002B2E54">
        <w:rPr>
          <w:b w:val="0"/>
          <w:kern w:val="2"/>
          <w:sz w:val="22"/>
          <w:szCs w:val="22"/>
        </w:rPr>
        <w:t>he resource elements in the</w:t>
      </w:r>
      <w:r w:rsidRPr="00236856">
        <w:rPr>
          <w:rFonts w:ascii="Times" w:eastAsia="MS Mincho" w:hAnsi="Times"/>
          <w:szCs w:val="24"/>
          <w:lang w:eastAsia="ja-JP"/>
        </w:rPr>
        <w:t xml:space="preserve"> </w:t>
      </w:r>
      <w:r>
        <w:rPr>
          <w:b w:val="0"/>
          <w:kern w:val="2"/>
          <w:sz w:val="22"/>
          <w:szCs w:val="22"/>
        </w:rPr>
        <w:t xml:space="preserve">last </w:t>
      </w:r>
      <w:proofErr w:type="spellStart"/>
      <w:r w:rsidRPr="00D404F1">
        <w:rPr>
          <w:b w:val="0"/>
          <w:i/>
          <w:kern w:val="2"/>
          <w:sz w:val="22"/>
          <w:szCs w:val="22"/>
        </w:rPr>
        <w:t>l</w:t>
      </w:r>
      <w:r w:rsidRPr="00D404F1">
        <w:rPr>
          <w:b w:val="0"/>
          <w:i/>
          <w:kern w:val="2"/>
          <w:sz w:val="22"/>
          <w:szCs w:val="22"/>
          <w:vertAlign w:val="subscript"/>
        </w:rPr>
        <w:t>MPDCCHStart</w:t>
      </w:r>
      <w:proofErr w:type="spellEnd"/>
      <w:r w:rsidRPr="00D404F1">
        <w:rPr>
          <w:b w:val="0"/>
          <w:kern w:val="2"/>
          <w:sz w:val="22"/>
          <w:szCs w:val="22"/>
        </w:rPr>
        <w:t xml:space="preserve"> symbols</w:t>
      </w:r>
      <w:r>
        <w:rPr>
          <w:b w:val="0"/>
          <w:kern w:val="2"/>
          <w:sz w:val="22"/>
          <w:szCs w:val="22"/>
        </w:rPr>
        <w:t xml:space="preserve"> of MPDCCH transmission region are copied into the LTE control region if not colliding with CRS RE [3].</w:t>
      </w:r>
    </w:p>
    <w:p w14:paraId="03780CDC" w14:textId="5FE3EC76" w:rsidR="00CA1703" w:rsidRDefault="00CA1703" w:rsidP="00AD2ED5">
      <w:pPr>
        <w:pStyle w:val="LGTdoc1"/>
        <w:spacing w:beforeLines="0" w:before="120" w:after="220" w:afterAutospacing="0"/>
        <w:rPr>
          <w:b w:val="0"/>
          <w:kern w:val="2"/>
          <w:sz w:val="22"/>
          <w:szCs w:val="22"/>
        </w:rPr>
      </w:pPr>
      <w:r>
        <w:rPr>
          <w:b w:val="0"/>
          <w:kern w:val="2"/>
          <w:sz w:val="22"/>
          <w:szCs w:val="22"/>
        </w:rPr>
        <w:t xml:space="preserve">For option 1, there is potential waste of resources. The issue with Option 2 is that REs colliding with the CRS RE shall be punctured when copying the last </w:t>
      </w:r>
      <w:proofErr w:type="spellStart"/>
      <w:r w:rsidRPr="00D404F1">
        <w:rPr>
          <w:b w:val="0"/>
          <w:i/>
          <w:kern w:val="2"/>
          <w:sz w:val="22"/>
          <w:szCs w:val="22"/>
        </w:rPr>
        <w:t>l</w:t>
      </w:r>
      <w:r w:rsidRPr="00D404F1">
        <w:rPr>
          <w:b w:val="0"/>
          <w:i/>
          <w:kern w:val="2"/>
          <w:sz w:val="22"/>
          <w:szCs w:val="22"/>
          <w:vertAlign w:val="subscript"/>
        </w:rPr>
        <w:t>MPDCCHStart</w:t>
      </w:r>
      <w:proofErr w:type="spellEnd"/>
      <w:r w:rsidRPr="00D404F1">
        <w:rPr>
          <w:b w:val="0"/>
          <w:kern w:val="2"/>
          <w:sz w:val="22"/>
          <w:szCs w:val="22"/>
        </w:rPr>
        <w:t xml:space="preserve"> symbols</w:t>
      </w:r>
      <w:r>
        <w:rPr>
          <w:b w:val="0"/>
          <w:kern w:val="2"/>
          <w:sz w:val="22"/>
          <w:szCs w:val="22"/>
        </w:rPr>
        <w:t xml:space="preserve"> of MPDCCH transmission region to LTE control region. When the LTE control region has one symbol, the last symbol of MPDCCH region is copied to the LTE control region with puncturing on </w:t>
      </w:r>
      <w:r w:rsidR="00B93CCD">
        <w:rPr>
          <w:b w:val="0"/>
          <w:kern w:val="2"/>
          <w:sz w:val="22"/>
          <w:szCs w:val="22"/>
        </w:rPr>
        <w:t xml:space="preserve">the REs colliding with CRS. When the LTE control region has 2 </w:t>
      </w:r>
      <w:r w:rsidR="00B93CCD">
        <w:rPr>
          <w:b w:val="0"/>
          <w:kern w:val="2"/>
          <w:sz w:val="22"/>
          <w:szCs w:val="22"/>
        </w:rPr>
        <w:lastRenderedPageBreak/>
        <w:t xml:space="preserve">symbols, the second last symbol of MPDCCH region is copied to the first symbol of the LTE control region without puncturing on the REs colliding with CRS, and the last symbol of MPDCCH region is then copied to the second symbol of the LTE control region with or without puncturing dependent on the number of CRS ports. </w:t>
      </w:r>
      <w:r w:rsidR="00AD2ED5">
        <w:rPr>
          <w:b w:val="0"/>
          <w:kern w:val="2"/>
          <w:sz w:val="22"/>
          <w:szCs w:val="22"/>
        </w:rPr>
        <w:t xml:space="preserve">It can be seen </w:t>
      </w:r>
      <w:r>
        <w:rPr>
          <w:b w:val="0"/>
          <w:kern w:val="2"/>
          <w:sz w:val="22"/>
          <w:szCs w:val="22"/>
        </w:rPr>
        <w:t xml:space="preserve">different </w:t>
      </w:r>
      <w:r w:rsidR="00AD2ED5">
        <w:rPr>
          <w:b w:val="0"/>
          <w:kern w:val="2"/>
          <w:sz w:val="22"/>
          <w:szCs w:val="22"/>
        </w:rPr>
        <w:t xml:space="preserve">symbols are copied to the first symbol of LTE control region </w:t>
      </w:r>
      <w:r w:rsidR="00EB331D">
        <w:rPr>
          <w:b w:val="0"/>
          <w:kern w:val="2"/>
          <w:sz w:val="22"/>
          <w:szCs w:val="22"/>
        </w:rPr>
        <w:t xml:space="preserve">dependent on the size of LTE control region and </w:t>
      </w:r>
      <w:r w:rsidR="00AD2ED5">
        <w:rPr>
          <w:b w:val="0"/>
          <w:kern w:val="2"/>
          <w:sz w:val="22"/>
          <w:szCs w:val="22"/>
        </w:rPr>
        <w:t xml:space="preserve">puncturing is used also based on </w:t>
      </w:r>
      <w:r w:rsidR="00EB331D">
        <w:rPr>
          <w:b w:val="0"/>
          <w:kern w:val="2"/>
          <w:sz w:val="22"/>
          <w:szCs w:val="22"/>
        </w:rPr>
        <w:t>the number of CRS ports</w:t>
      </w:r>
      <w:r>
        <w:rPr>
          <w:b w:val="0"/>
          <w:kern w:val="2"/>
          <w:sz w:val="22"/>
          <w:szCs w:val="22"/>
        </w:rPr>
        <w:t>.</w:t>
      </w:r>
      <w:r w:rsidR="00AD2ED5">
        <w:rPr>
          <w:b w:val="0"/>
          <w:kern w:val="2"/>
          <w:sz w:val="22"/>
          <w:szCs w:val="22"/>
        </w:rPr>
        <w:t xml:space="preserve"> </w:t>
      </w:r>
      <w:r w:rsidR="00AD2ED5">
        <w:rPr>
          <w:b w:val="0"/>
          <w:kern w:val="2"/>
          <w:sz w:val="22"/>
          <w:szCs w:val="22"/>
        </w:rPr>
        <w:t>This would increase UE implementation complexity</w:t>
      </w:r>
      <w:r w:rsidR="00AD2ED5">
        <w:rPr>
          <w:b w:val="0"/>
          <w:kern w:val="2"/>
          <w:sz w:val="22"/>
          <w:szCs w:val="22"/>
        </w:rPr>
        <w:t>.</w:t>
      </w:r>
    </w:p>
    <w:p w14:paraId="5C307E3A" w14:textId="45F34E4C" w:rsidR="00EB331D" w:rsidRDefault="00E738A1" w:rsidP="00AD2ED5">
      <w:pPr>
        <w:pStyle w:val="LGTdoc1"/>
        <w:spacing w:beforeLines="0" w:before="120" w:after="220" w:afterAutospacing="0"/>
        <w:rPr>
          <w:b w:val="0"/>
          <w:kern w:val="2"/>
          <w:sz w:val="22"/>
          <w:szCs w:val="22"/>
        </w:rPr>
      </w:pPr>
      <w:r>
        <w:rPr>
          <w:b w:val="0"/>
          <w:kern w:val="2"/>
          <w:sz w:val="22"/>
          <w:szCs w:val="22"/>
        </w:rPr>
        <w:t>A</w:t>
      </w:r>
      <w:r w:rsidR="00EB331D">
        <w:rPr>
          <w:b w:val="0"/>
          <w:kern w:val="2"/>
          <w:sz w:val="22"/>
          <w:szCs w:val="22"/>
        </w:rPr>
        <w:t xml:space="preserve"> </w:t>
      </w:r>
      <w:r>
        <w:rPr>
          <w:b w:val="0"/>
          <w:kern w:val="2"/>
          <w:sz w:val="22"/>
          <w:szCs w:val="22"/>
        </w:rPr>
        <w:t>potential</w:t>
      </w:r>
      <w:r w:rsidR="00EB331D">
        <w:rPr>
          <w:b w:val="0"/>
          <w:kern w:val="2"/>
          <w:sz w:val="22"/>
          <w:szCs w:val="22"/>
        </w:rPr>
        <w:t xml:space="preserve"> </w:t>
      </w:r>
      <w:r>
        <w:rPr>
          <w:b w:val="0"/>
          <w:kern w:val="2"/>
          <w:sz w:val="22"/>
          <w:szCs w:val="22"/>
        </w:rPr>
        <w:t xml:space="preserve">enhancement to Option 2 </w:t>
      </w:r>
      <w:r w:rsidR="00EB331D">
        <w:rPr>
          <w:b w:val="0"/>
          <w:kern w:val="2"/>
          <w:sz w:val="22"/>
          <w:szCs w:val="22"/>
        </w:rPr>
        <w:t>is to fix MPDCCH symbol</w:t>
      </w:r>
      <w:r w:rsidR="00C8077E">
        <w:rPr>
          <w:b w:val="0"/>
          <w:kern w:val="2"/>
          <w:sz w:val="22"/>
          <w:szCs w:val="22"/>
        </w:rPr>
        <w:t>s</w:t>
      </w:r>
      <w:r w:rsidR="00EB331D">
        <w:rPr>
          <w:b w:val="0"/>
          <w:kern w:val="2"/>
          <w:sz w:val="22"/>
          <w:szCs w:val="22"/>
        </w:rPr>
        <w:t xml:space="preserve"> </w:t>
      </w:r>
      <w:r>
        <w:rPr>
          <w:b w:val="0"/>
          <w:kern w:val="2"/>
          <w:sz w:val="22"/>
          <w:szCs w:val="22"/>
        </w:rPr>
        <w:t>copied</w:t>
      </w:r>
      <w:r w:rsidR="00EB331D">
        <w:rPr>
          <w:b w:val="0"/>
          <w:kern w:val="2"/>
          <w:sz w:val="22"/>
          <w:szCs w:val="22"/>
        </w:rPr>
        <w:t xml:space="preserve"> to the LTE control region. That is, the second last symbol of MPDCCH transmission region (i.e. symbol #4</w:t>
      </w:r>
      <w:r w:rsidR="00C8077E">
        <w:rPr>
          <w:b w:val="0"/>
          <w:kern w:val="2"/>
          <w:sz w:val="22"/>
          <w:szCs w:val="22"/>
        </w:rPr>
        <w:t xml:space="preserve"> that has same CRS RE mapping as symbol #0</w:t>
      </w:r>
      <w:r w:rsidR="00EB331D">
        <w:rPr>
          <w:b w:val="0"/>
          <w:kern w:val="2"/>
          <w:sz w:val="22"/>
          <w:szCs w:val="22"/>
        </w:rPr>
        <w:t xml:space="preserve">) is copied to the first symbol of the LTE control region, and if LTE control region has 2 symbols then the last symbol of MPDCCH transmission region (i.e. symbol #5) is then copied to the second symbol of the LTE control region. Compared to Option 2, it can </w:t>
      </w:r>
      <w:r w:rsidR="00C8077E">
        <w:rPr>
          <w:b w:val="0"/>
          <w:kern w:val="2"/>
          <w:sz w:val="22"/>
          <w:szCs w:val="22"/>
        </w:rPr>
        <w:t>avoid</w:t>
      </w:r>
      <w:r w:rsidR="00EB331D">
        <w:rPr>
          <w:b w:val="0"/>
          <w:kern w:val="2"/>
          <w:sz w:val="22"/>
          <w:szCs w:val="22"/>
        </w:rPr>
        <w:t xml:space="preserve"> puncturing operation when the LTE control region has only one symbol. </w:t>
      </w:r>
    </w:p>
    <w:p w14:paraId="06FC9880" w14:textId="58CCF8A8" w:rsidR="002B2E54" w:rsidRDefault="00AB2493" w:rsidP="002B2E54">
      <w:pPr>
        <w:pStyle w:val="LGTdoc1"/>
        <w:spacing w:beforeLines="0" w:before="120" w:after="0" w:afterAutospacing="0"/>
        <w:jc w:val="center"/>
        <w:rPr>
          <w:b w:val="0"/>
          <w:kern w:val="2"/>
          <w:sz w:val="22"/>
          <w:szCs w:val="22"/>
        </w:rPr>
      </w:pPr>
      <w:r>
        <w:rPr>
          <w:noProof/>
          <w:snapToGrid/>
        </w:rPr>
        <mc:AlternateContent>
          <mc:Choice Requires="wps">
            <w:drawing>
              <wp:anchor distT="0" distB="0" distL="114300" distR="114300" simplePos="0" relativeHeight="251659264" behindDoc="0" locked="0" layoutInCell="1" allowOverlap="1" wp14:anchorId="655F3B8A" wp14:editId="79D71995">
                <wp:simplePos x="0" y="0"/>
                <wp:positionH relativeFrom="column">
                  <wp:posOffset>2080671</wp:posOffset>
                </wp:positionH>
                <wp:positionV relativeFrom="paragraph">
                  <wp:posOffset>334456</wp:posOffset>
                </wp:positionV>
                <wp:extent cx="594360" cy="130175"/>
                <wp:effectExtent l="38100" t="0" r="15240" b="60325"/>
                <wp:wrapNone/>
                <wp:docPr id="9" name="Freeform: Shape 9"/>
                <wp:cNvGraphicFramePr/>
                <a:graphic xmlns:a="http://schemas.openxmlformats.org/drawingml/2006/main">
                  <a:graphicData uri="http://schemas.microsoft.com/office/word/2010/wordprocessingShape">
                    <wps:wsp>
                      <wps:cNvSpPr/>
                      <wps:spPr>
                        <a:xfrm>
                          <a:off x="0" y="0"/>
                          <a:ext cx="594360" cy="130175"/>
                        </a:xfrm>
                        <a:custGeom>
                          <a:avLst/>
                          <a:gdLst>
                            <a:gd name="connsiteX0" fmla="*/ 542611 w 542611"/>
                            <a:gd name="connsiteY0" fmla="*/ 241164 h 246188"/>
                            <a:gd name="connsiteX1" fmla="*/ 281353 w 542611"/>
                            <a:gd name="connsiteY1" fmla="*/ 4 h 246188"/>
                            <a:gd name="connsiteX2" fmla="*/ 0 w 542611"/>
                            <a:gd name="connsiteY2" fmla="*/ 246188 h 246188"/>
                          </a:gdLst>
                          <a:ahLst/>
                          <a:cxnLst>
                            <a:cxn ang="0">
                              <a:pos x="connsiteX0" y="connsiteY0"/>
                            </a:cxn>
                            <a:cxn ang="0">
                              <a:pos x="connsiteX1" y="connsiteY1"/>
                            </a:cxn>
                            <a:cxn ang="0">
                              <a:pos x="connsiteX2" y="connsiteY2"/>
                            </a:cxn>
                          </a:cxnLst>
                          <a:rect l="l" t="t" r="r" b="b"/>
                          <a:pathLst>
                            <a:path w="542611" h="246188">
                              <a:moveTo>
                                <a:pt x="542611" y="241164"/>
                              </a:moveTo>
                              <a:cubicBezTo>
                                <a:pt x="457199" y="120165"/>
                                <a:pt x="371788" y="-833"/>
                                <a:pt x="281353" y="4"/>
                              </a:cubicBezTo>
                              <a:cubicBezTo>
                                <a:pt x="190918" y="841"/>
                                <a:pt x="58615" y="190085"/>
                                <a:pt x="0" y="246188"/>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A988C9" id="Freeform: Shape 9" o:spid="_x0000_s1026" style="position:absolute;margin-left:163.85pt;margin-top:26.35pt;width:46.8pt;height: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611,246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" path="m542611,241164c457199,120165,371788,-833,281353,4,190918,841,58615,190085,,246188e" filled="f" strokecolor="#1f3763 [1604]" strokeweight="1pt">
                <v:stroke endarrow="block" joinstyle="miter"/>
                <v:path arrowok="t" o:connecttype="custom" o:connectlocs="594360,127518;308186,2;0,130175" o:connectangles="0,0,0"/>
              </v:shape>
            </w:pict>
          </mc:Fallback>
        </mc:AlternateContent>
      </w:r>
      <w:r w:rsidRPr="00AB2493">
        <w:rPr>
          <w:noProof/>
          <w:snapToGrid/>
          <w:color w:val="FF0000"/>
        </w:rPr>
        <mc:AlternateContent>
          <mc:Choice Requires="wps">
            <w:drawing>
              <wp:anchor distT="0" distB="0" distL="114300" distR="114300" simplePos="0" relativeHeight="251661312" behindDoc="0" locked="0" layoutInCell="1" allowOverlap="1" wp14:anchorId="1AED4963" wp14:editId="4E41A2F5">
                <wp:simplePos x="0" y="0"/>
                <wp:positionH relativeFrom="column">
                  <wp:posOffset>2208697</wp:posOffset>
                </wp:positionH>
                <wp:positionV relativeFrom="paragraph">
                  <wp:posOffset>482600</wp:posOffset>
                </wp:positionV>
                <wp:extent cx="607339" cy="125605"/>
                <wp:effectExtent l="38100" t="0" r="21590" b="65405"/>
                <wp:wrapNone/>
                <wp:docPr id="10" name="Freeform: Shape 10"/>
                <wp:cNvGraphicFramePr/>
                <a:graphic xmlns:a="http://schemas.openxmlformats.org/drawingml/2006/main">
                  <a:graphicData uri="http://schemas.microsoft.com/office/word/2010/wordprocessingShape">
                    <wps:wsp>
                      <wps:cNvSpPr/>
                      <wps:spPr>
                        <a:xfrm>
                          <a:off x="0" y="0"/>
                          <a:ext cx="607339" cy="125605"/>
                        </a:xfrm>
                        <a:custGeom>
                          <a:avLst/>
                          <a:gdLst>
                            <a:gd name="connsiteX0" fmla="*/ 542611 w 542611"/>
                            <a:gd name="connsiteY0" fmla="*/ 241164 h 246188"/>
                            <a:gd name="connsiteX1" fmla="*/ 281353 w 542611"/>
                            <a:gd name="connsiteY1" fmla="*/ 4 h 246188"/>
                            <a:gd name="connsiteX2" fmla="*/ 0 w 542611"/>
                            <a:gd name="connsiteY2" fmla="*/ 246188 h 246188"/>
                          </a:gdLst>
                          <a:ahLst/>
                          <a:cxnLst>
                            <a:cxn ang="0">
                              <a:pos x="connsiteX0" y="connsiteY0"/>
                            </a:cxn>
                            <a:cxn ang="0">
                              <a:pos x="connsiteX1" y="connsiteY1"/>
                            </a:cxn>
                            <a:cxn ang="0">
                              <a:pos x="connsiteX2" y="connsiteY2"/>
                            </a:cxn>
                          </a:cxnLst>
                          <a:rect l="l" t="t" r="r" b="b"/>
                          <a:pathLst>
                            <a:path w="542611" h="246188">
                              <a:moveTo>
                                <a:pt x="542611" y="241164"/>
                              </a:moveTo>
                              <a:cubicBezTo>
                                <a:pt x="457199" y="120165"/>
                                <a:pt x="371788" y="-833"/>
                                <a:pt x="281353" y="4"/>
                              </a:cubicBezTo>
                              <a:cubicBezTo>
                                <a:pt x="190918" y="841"/>
                                <a:pt x="58615" y="190085"/>
                                <a:pt x="0" y="246188"/>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B099A" id="Freeform: Shape 10" o:spid="_x0000_s1026" style="position:absolute;margin-left:173.9pt;margin-top:38pt;width:47.8pt;height:9.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42611,246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" path="m542611,241164c457199,120165,371788,-833,281353,4,190918,841,58615,190085,,246188e" filled="f" strokecolor="#1f3763 [1604]" strokeweight="1pt">
                <v:stroke endarrow="block" joinstyle="miter"/>
                <v:path arrowok="t" o:connecttype="custom" o:connectlocs="607339,123042;314916,2;0,125605" o:connectangles="0,0,0"/>
              </v:shape>
            </w:pict>
          </mc:Fallback>
        </mc:AlternateContent>
      </w:r>
      <w:r w:rsidRPr="00AB2493">
        <w:rPr>
          <w:noProof/>
        </w:rPr>
        <w:drawing>
          <wp:inline distT="0" distB="0" distL="0" distR="0" wp14:anchorId="76A4375E" wp14:editId="4516B610">
            <wp:extent cx="2124710" cy="2092146"/>
            <wp:effectExtent l="0" t="0" r="889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2648" cy="2109809"/>
                    </a:xfrm>
                    <a:prstGeom prst="rect">
                      <a:avLst/>
                    </a:prstGeom>
                    <a:noFill/>
                    <a:ln>
                      <a:noFill/>
                    </a:ln>
                  </pic:spPr>
                </pic:pic>
              </a:graphicData>
            </a:graphic>
          </wp:inline>
        </w:drawing>
      </w:r>
    </w:p>
    <w:p w14:paraId="23731B8D" w14:textId="40098EB3" w:rsidR="002B2E54" w:rsidRDefault="002B2E54" w:rsidP="002B2E54">
      <w:pPr>
        <w:pStyle w:val="LGTdoc1"/>
        <w:spacing w:beforeLines="0" w:before="120" w:after="220" w:afterAutospacing="0"/>
        <w:jc w:val="center"/>
        <w:rPr>
          <w:b w:val="0"/>
          <w:kern w:val="2"/>
          <w:sz w:val="22"/>
          <w:szCs w:val="22"/>
        </w:rPr>
      </w:pPr>
      <w:r>
        <w:rPr>
          <w:sz w:val="20"/>
        </w:rPr>
        <w:t>Figure 1 MPDCCH RE mapping for special subframe configuration 9/10</w:t>
      </w:r>
    </w:p>
    <w:p w14:paraId="5BB333D9" w14:textId="7A0C1E63" w:rsidR="00AA43DD" w:rsidRDefault="00EB331D" w:rsidP="00AA43DD">
      <w:pPr>
        <w:pStyle w:val="LGTdoc1"/>
        <w:spacing w:beforeLines="0" w:before="240" w:after="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Pr="00A92B03">
        <w:rPr>
          <w:sz w:val="22"/>
          <w:szCs w:val="22"/>
        </w:rPr>
        <w:t xml:space="preserve">For TDD special subframe configurations </w:t>
      </w:r>
      <w:r>
        <w:rPr>
          <w:sz w:val="22"/>
          <w:szCs w:val="22"/>
        </w:rPr>
        <w:t xml:space="preserve">9 and 10, </w:t>
      </w:r>
      <w:r w:rsidR="00AA43DD">
        <w:rPr>
          <w:sz w:val="22"/>
          <w:szCs w:val="22"/>
        </w:rPr>
        <w:t>a fixed symbol mapping is used, i.e.</w:t>
      </w:r>
    </w:p>
    <w:p w14:paraId="2D037DFB" w14:textId="77777777" w:rsidR="00AA43DD" w:rsidRDefault="00AA43DD" w:rsidP="00AA43DD">
      <w:pPr>
        <w:pStyle w:val="LGTdoc1"/>
        <w:numPr>
          <w:ilvl w:val="0"/>
          <w:numId w:val="50"/>
        </w:numPr>
        <w:spacing w:beforeLines="0" w:before="240" w:after="0" w:afterAutospacing="0"/>
        <w:rPr>
          <w:sz w:val="22"/>
          <w:szCs w:val="22"/>
        </w:rPr>
      </w:pPr>
      <w:r>
        <w:rPr>
          <w:sz w:val="22"/>
          <w:szCs w:val="22"/>
        </w:rPr>
        <w:t>S</w:t>
      </w:r>
      <w:r w:rsidR="00EB331D">
        <w:rPr>
          <w:sz w:val="22"/>
          <w:szCs w:val="22"/>
        </w:rPr>
        <w:t xml:space="preserve">ymbol #4 is copied to the first symbol of LTE control region </w:t>
      </w:r>
    </w:p>
    <w:p w14:paraId="323B5371" w14:textId="67AF6DC3" w:rsidR="002B2E54" w:rsidRPr="00AA43DD" w:rsidRDefault="00AA43DD" w:rsidP="00AA43DD">
      <w:pPr>
        <w:pStyle w:val="LGTdoc1"/>
        <w:numPr>
          <w:ilvl w:val="0"/>
          <w:numId w:val="50"/>
        </w:numPr>
        <w:spacing w:beforeLines="0" w:before="120" w:after="0" w:afterAutospacing="0"/>
        <w:rPr>
          <w:b w:val="0"/>
          <w:kern w:val="2"/>
          <w:sz w:val="22"/>
          <w:szCs w:val="22"/>
        </w:rPr>
      </w:pPr>
      <w:r w:rsidRPr="00AA43DD">
        <w:rPr>
          <w:sz w:val="22"/>
          <w:szCs w:val="22"/>
        </w:rPr>
        <w:t>S</w:t>
      </w:r>
      <w:r w:rsidR="00EB331D" w:rsidRPr="00AA43DD">
        <w:rPr>
          <w:sz w:val="22"/>
          <w:szCs w:val="22"/>
        </w:rPr>
        <w:t xml:space="preserve">ymbol #5 is </w:t>
      </w:r>
      <w:r w:rsidRPr="00AA43DD">
        <w:rPr>
          <w:sz w:val="22"/>
          <w:szCs w:val="22"/>
        </w:rPr>
        <w:t>copied</w:t>
      </w:r>
      <w:r w:rsidR="00EB331D" w:rsidRPr="00AA43DD">
        <w:rPr>
          <w:sz w:val="22"/>
          <w:szCs w:val="22"/>
        </w:rPr>
        <w:t xml:space="preserve"> to the second symbol </w:t>
      </w:r>
      <w:r w:rsidRPr="00AA43DD">
        <w:rPr>
          <w:sz w:val="22"/>
          <w:szCs w:val="22"/>
        </w:rPr>
        <w:t>if LTE control region has 2 symbo</w:t>
      </w:r>
      <w:r>
        <w:rPr>
          <w:sz w:val="22"/>
          <w:szCs w:val="22"/>
        </w:rPr>
        <w:t>l</w:t>
      </w:r>
      <w:r w:rsidRPr="00AA43DD">
        <w:rPr>
          <w:sz w:val="22"/>
          <w:szCs w:val="22"/>
        </w:rPr>
        <w:t>s</w:t>
      </w:r>
    </w:p>
    <w:p w14:paraId="5012BF02" w14:textId="77777777" w:rsidR="00AA43DD" w:rsidRPr="00AA43DD" w:rsidRDefault="00AA43DD" w:rsidP="00AA43DD">
      <w:pPr>
        <w:pStyle w:val="LGTdoc1"/>
        <w:spacing w:beforeLines="0" w:before="120" w:after="0" w:afterAutospacing="0"/>
        <w:ind w:left="1287"/>
        <w:rPr>
          <w:b w:val="0"/>
          <w:kern w:val="2"/>
          <w:sz w:val="22"/>
          <w:szCs w:val="22"/>
        </w:rPr>
      </w:pPr>
    </w:p>
    <w:p w14:paraId="13358FEF" w14:textId="4B8E275B" w:rsidR="00986EE2" w:rsidRDefault="00986EE2" w:rsidP="000267C3">
      <w:pPr>
        <w:pStyle w:val="LGTdoc1"/>
        <w:spacing w:beforeLines="0" w:before="120" w:after="220" w:afterAutospacing="0"/>
        <w:rPr>
          <w:b w:val="0"/>
          <w:kern w:val="2"/>
          <w:sz w:val="22"/>
          <w:szCs w:val="22"/>
        </w:rPr>
      </w:pPr>
      <w:r>
        <w:rPr>
          <w:b w:val="0"/>
          <w:kern w:val="2"/>
          <w:sz w:val="22"/>
          <w:szCs w:val="22"/>
        </w:rPr>
        <w:t xml:space="preserve">Another issue discussed in [4] is how to handle the REs </w:t>
      </w:r>
      <w:r w:rsidRPr="00986EE2">
        <w:rPr>
          <w:b w:val="0"/>
          <w:kern w:val="2"/>
          <w:sz w:val="22"/>
          <w:szCs w:val="22"/>
        </w:rPr>
        <w:t>that belong to MPDCCH PRBs but are punctured by some reference or sync signals</w:t>
      </w:r>
      <w:r>
        <w:rPr>
          <w:b w:val="0"/>
          <w:kern w:val="2"/>
          <w:sz w:val="22"/>
          <w:szCs w:val="22"/>
        </w:rPr>
        <w:t xml:space="preserve">, e.g. </w:t>
      </w:r>
      <w:r w:rsidRPr="00986EE2">
        <w:rPr>
          <w:b w:val="0"/>
          <w:kern w:val="2"/>
          <w:sz w:val="22"/>
          <w:szCs w:val="22"/>
        </w:rPr>
        <w:t xml:space="preserve">MPDCCH DMRS REs </w:t>
      </w:r>
      <w:r>
        <w:rPr>
          <w:b w:val="0"/>
          <w:kern w:val="2"/>
          <w:sz w:val="22"/>
          <w:szCs w:val="22"/>
        </w:rPr>
        <w:t xml:space="preserve">and CSI-RS </w:t>
      </w:r>
      <w:proofErr w:type="spellStart"/>
      <w:r>
        <w:rPr>
          <w:b w:val="0"/>
          <w:kern w:val="2"/>
          <w:sz w:val="22"/>
          <w:szCs w:val="22"/>
        </w:rPr>
        <w:t>REs.</w:t>
      </w:r>
      <w:proofErr w:type="spellEnd"/>
      <w:r>
        <w:rPr>
          <w:b w:val="0"/>
          <w:kern w:val="2"/>
          <w:sz w:val="22"/>
          <w:szCs w:val="22"/>
        </w:rPr>
        <w:t xml:space="preserve"> </w:t>
      </w:r>
      <w:r w:rsidR="00AB2493">
        <w:rPr>
          <w:b w:val="0"/>
          <w:kern w:val="2"/>
          <w:sz w:val="22"/>
          <w:szCs w:val="22"/>
        </w:rPr>
        <w:t xml:space="preserve">As shown in Figure 2 below, the DMRS and CSI-RS RE mapping are dependent on the length of </w:t>
      </w:r>
      <w:proofErr w:type="spellStart"/>
      <w:r w:rsidR="00AB2493">
        <w:rPr>
          <w:b w:val="0"/>
          <w:kern w:val="2"/>
          <w:sz w:val="22"/>
          <w:szCs w:val="22"/>
        </w:rPr>
        <w:t>DwPTS</w:t>
      </w:r>
      <w:proofErr w:type="spellEnd"/>
      <w:r w:rsidR="00AB2493">
        <w:rPr>
          <w:b w:val="0"/>
          <w:kern w:val="2"/>
          <w:sz w:val="22"/>
          <w:szCs w:val="22"/>
        </w:rPr>
        <w:t xml:space="preserve">. With the proposed RE mapping for MPDCCH transmission in LTE control region, the symbols that are copied to LTE control region </w:t>
      </w:r>
      <w:r w:rsidR="00B56AA5">
        <w:rPr>
          <w:b w:val="0"/>
          <w:kern w:val="2"/>
          <w:sz w:val="22"/>
          <w:szCs w:val="22"/>
        </w:rPr>
        <w:t>do</w:t>
      </w:r>
      <w:r w:rsidR="00AB2493">
        <w:rPr>
          <w:b w:val="0"/>
          <w:kern w:val="2"/>
          <w:sz w:val="22"/>
          <w:szCs w:val="22"/>
        </w:rPr>
        <w:t xml:space="preserve"> not </w:t>
      </w:r>
      <w:r w:rsidR="00B56AA5">
        <w:rPr>
          <w:b w:val="0"/>
          <w:kern w:val="2"/>
          <w:sz w:val="22"/>
          <w:szCs w:val="22"/>
        </w:rPr>
        <w:t xml:space="preserve">contain </w:t>
      </w:r>
      <w:r w:rsidR="00AB2493">
        <w:rPr>
          <w:b w:val="0"/>
          <w:kern w:val="2"/>
          <w:sz w:val="22"/>
          <w:szCs w:val="22"/>
        </w:rPr>
        <w:t xml:space="preserve">DMRS or CSI-RS. </w:t>
      </w:r>
      <w:r w:rsidR="00B56AA5">
        <w:rPr>
          <w:b w:val="0"/>
          <w:kern w:val="2"/>
          <w:sz w:val="22"/>
          <w:szCs w:val="22"/>
        </w:rPr>
        <w:t>Therefore, we don’t see any issue.</w:t>
      </w:r>
    </w:p>
    <w:p w14:paraId="5A8B348B" w14:textId="629493E3" w:rsidR="00B56AA5" w:rsidRDefault="00B56AA5" w:rsidP="00B56AA5">
      <w:pPr>
        <w:pStyle w:val="LGTdoc1"/>
        <w:spacing w:beforeLines="0" w:before="240" w:after="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sidRPr="00B56AA5">
        <w:rPr>
          <w:sz w:val="22"/>
          <w:szCs w:val="22"/>
        </w:rPr>
        <w:t xml:space="preserve">The resource elements used for MPDCCH and </w:t>
      </w:r>
      <w:r w:rsidR="00AD2ED5">
        <w:rPr>
          <w:sz w:val="22"/>
          <w:szCs w:val="22"/>
        </w:rPr>
        <w:t>copied</w:t>
      </w:r>
      <w:r w:rsidRPr="00B56AA5">
        <w:rPr>
          <w:sz w:val="22"/>
          <w:szCs w:val="22"/>
        </w:rPr>
        <w:t xml:space="preserve"> </w:t>
      </w:r>
      <w:r w:rsidR="00AD2ED5">
        <w:rPr>
          <w:sz w:val="22"/>
          <w:szCs w:val="22"/>
        </w:rPr>
        <w:t xml:space="preserve">to </w:t>
      </w:r>
      <w:r w:rsidRPr="00B56AA5">
        <w:rPr>
          <w:sz w:val="22"/>
          <w:szCs w:val="22"/>
        </w:rPr>
        <w:t>LTE control region</w:t>
      </w:r>
      <w:r>
        <w:rPr>
          <w:sz w:val="22"/>
          <w:szCs w:val="22"/>
        </w:rPr>
        <w:t xml:space="preserve"> do not contain DMRS or CSI-R.</w:t>
      </w:r>
    </w:p>
    <w:p w14:paraId="7E533E55" w14:textId="77777777" w:rsidR="00B56AA5" w:rsidRDefault="00B56AA5" w:rsidP="000267C3">
      <w:pPr>
        <w:pStyle w:val="LGTdoc1"/>
        <w:spacing w:beforeLines="0" w:before="120" w:after="220" w:afterAutospacing="0"/>
        <w:rPr>
          <w:b w:val="0"/>
          <w:kern w:val="2"/>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AB2493" w14:paraId="1617E6F2" w14:textId="77777777" w:rsidTr="00AB2493">
        <w:tc>
          <w:tcPr>
            <w:tcW w:w="3209" w:type="dxa"/>
          </w:tcPr>
          <w:p w14:paraId="681002FC" w14:textId="273478F4" w:rsidR="00986EE2" w:rsidRDefault="00AB2493" w:rsidP="00AB2493">
            <w:pPr>
              <w:pStyle w:val="LGTdoc1"/>
              <w:spacing w:beforeLines="0" w:before="120" w:after="0" w:afterAutospacing="0"/>
              <w:jc w:val="center"/>
              <w:rPr>
                <w:b w:val="0"/>
                <w:kern w:val="2"/>
                <w:sz w:val="22"/>
              </w:rPr>
            </w:pPr>
            <w:bookmarkStart w:id="1" w:name="_GoBack"/>
            <w:r w:rsidRPr="00AB2493">
              <w:rPr>
                <w:b w:val="0"/>
                <w:noProof/>
                <w:kern w:val="2"/>
                <w:sz w:val="22"/>
              </w:rPr>
              <w:lastRenderedPageBreak/>
              <w:drawing>
                <wp:inline distT="0" distB="0" distL="0" distR="0" wp14:anchorId="55962328" wp14:editId="6ED449CB">
                  <wp:extent cx="1708220" cy="2166984"/>
                  <wp:effectExtent l="0" t="0" r="635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8972" cy="2205995"/>
                          </a:xfrm>
                          <a:prstGeom prst="rect">
                            <a:avLst/>
                          </a:prstGeom>
                          <a:noFill/>
                          <a:ln>
                            <a:noFill/>
                          </a:ln>
                        </pic:spPr>
                      </pic:pic>
                    </a:graphicData>
                  </a:graphic>
                </wp:inline>
              </w:drawing>
            </w:r>
            <w:bookmarkEnd w:id="1"/>
          </w:p>
        </w:tc>
        <w:tc>
          <w:tcPr>
            <w:tcW w:w="3210" w:type="dxa"/>
          </w:tcPr>
          <w:p w14:paraId="494F6A58" w14:textId="0446CC5B" w:rsidR="00986EE2" w:rsidRDefault="00AB2493" w:rsidP="00AB2493">
            <w:pPr>
              <w:pStyle w:val="LGTdoc1"/>
              <w:spacing w:beforeLines="0" w:before="120" w:after="0" w:afterAutospacing="0"/>
              <w:jc w:val="center"/>
              <w:rPr>
                <w:b w:val="0"/>
                <w:kern w:val="2"/>
                <w:sz w:val="22"/>
              </w:rPr>
            </w:pPr>
            <w:r w:rsidRPr="00AB2493">
              <w:rPr>
                <w:b w:val="0"/>
                <w:noProof/>
                <w:kern w:val="2"/>
                <w:sz w:val="22"/>
              </w:rPr>
              <w:drawing>
                <wp:inline distT="0" distB="0" distL="0" distR="0" wp14:anchorId="17B388F3" wp14:editId="3D91418C">
                  <wp:extent cx="1708219" cy="2166982"/>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41841" cy="2209634"/>
                          </a:xfrm>
                          <a:prstGeom prst="rect">
                            <a:avLst/>
                          </a:prstGeom>
                          <a:noFill/>
                          <a:ln>
                            <a:noFill/>
                          </a:ln>
                        </pic:spPr>
                      </pic:pic>
                    </a:graphicData>
                  </a:graphic>
                </wp:inline>
              </w:drawing>
            </w:r>
          </w:p>
        </w:tc>
        <w:tc>
          <w:tcPr>
            <w:tcW w:w="3210" w:type="dxa"/>
          </w:tcPr>
          <w:p w14:paraId="06AF81EC" w14:textId="3AC69142" w:rsidR="00986EE2" w:rsidRDefault="00AB2493" w:rsidP="00AB2493">
            <w:pPr>
              <w:pStyle w:val="LGTdoc1"/>
              <w:spacing w:beforeLines="0" w:before="120" w:after="0" w:afterAutospacing="0"/>
              <w:jc w:val="center"/>
              <w:rPr>
                <w:b w:val="0"/>
                <w:kern w:val="2"/>
                <w:sz w:val="22"/>
              </w:rPr>
            </w:pPr>
            <w:r w:rsidRPr="00AB2493">
              <w:rPr>
                <w:b w:val="0"/>
                <w:noProof/>
                <w:kern w:val="2"/>
                <w:sz w:val="22"/>
              </w:rPr>
              <w:drawing>
                <wp:inline distT="0" distB="0" distL="0" distR="0" wp14:anchorId="67051727" wp14:editId="2DE087B8">
                  <wp:extent cx="1709928" cy="2167128"/>
                  <wp:effectExtent l="0" t="0" r="508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9928" cy="2167128"/>
                          </a:xfrm>
                          <a:prstGeom prst="rect">
                            <a:avLst/>
                          </a:prstGeom>
                          <a:noFill/>
                          <a:ln>
                            <a:noFill/>
                          </a:ln>
                        </pic:spPr>
                      </pic:pic>
                    </a:graphicData>
                  </a:graphic>
                </wp:inline>
              </w:drawing>
            </w:r>
          </w:p>
        </w:tc>
      </w:tr>
    </w:tbl>
    <w:p w14:paraId="7BE278E3" w14:textId="5A9C8079" w:rsidR="00AB2493" w:rsidRDefault="00AB2493" w:rsidP="00AB2493">
      <w:pPr>
        <w:pStyle w:val="LGTdoc1"/>
        <w:spacing w:beforeLines="0" w:before="120" w:after="220" w:afterAutospacing="0"/>
        <w:jc w:val="center"/>
        <w:rPr>
          <w:b w:val="0"/>
          <w:kern w:val="2"/>
          <w:sz w:val="22"/>
          <w:szCs w:val="22"/>
        </w:rPr>
      </w:pPr>
      <w:r>
        <w:rPr>
          <w:sz w:val="20"/>
        </w:rPr>
        <w:t xml:space="preserve">Figure 2 DMRS and CSI-RS RE mapping in TDD special subframe </w:t>
      </w:r>
    </w:p>
    <w:p w14:paraId="29DD28D1" w14:textId="79BC3FDF" w:rsidR="00AB4372" w:rsidRPr="00F54278" w:rsidRDefault="001A2AF4" w:rsidP="00AB4372">
      <w:pPr>
        <w:pStyle w:val="Heading2"/>
        <w:spacing w:before="120"/>
        <w:rPr>
          <w:sz w:val="28"/>
          <w:szCs w:val="28"/>
        </w:rPr>
      </w:pPr>
      <w:r w:rsidRPr="00F54278">
        <w:rPr>
          <w:sz w:val="28"/>
          <w:szCs w:val="28"/>
        </w:rPr>
        <w:t>2.</w:t>
      </w:r>
      <w:r>
        <w:rPr>
          <w:sz w:val="28"/>
          <w:szCs w:val="28"/>
        </w:rPr>
        <w:t>2</w:t>
      </w:r>
      <w:r w:rsidRPr="00F54278">
        <w:rPr>
          <w:sz w:val="28"/>
          <w:szCs w:val="28"/>
        </w:rPr>
        <w:t xml:space="preserve"> </w:t>
      </w:r>
      <w:r w:rsidR="00AB4372">
        <w:rPr>
          <w:sz w:val="28"/>
          <w:szCs w:val="28"/>
        </w:rPr>
        <w:t>Configuration</w:t>
      </w:r>
    </w:p>
    <w:p w14:paraId="042EC6E0" w14:textId="3670CECF" w:rsidR="00690821" w:rsidRDefault="00C47A26" w:rsidP="00690821">
      <w:pPr>
        <w:widowControl w:val="0"/>
        <w:wordWrap w:val="0"/>
        <w:spacing w:after="120"/>
        <w:contextualSpacing/>
        <w:jc w:val="both"/>
        <w:rPr>
          <w:rFonts w:eastAsia="Batang"/>
          <w:snapToGrid w:val="0"/>
          <w:kern w:val="2"/>
          <w:sz w:val="22"/>
          <w:szCs w:val="22"/>
          <w:lang w:eastAsia="ko-KR"/>
        </w:rPr>
      </w:pPr>
      <w:r>
        <w:rPr>
          <w:rFonts w:eastAsia="Batang"/>
          <w:snapToGrid w:val="0"/>
          <w:kern w:val="2"/>
          <w:sz w:val="22"/>
          <w:szCs w:val="22"/>
          <w:lang w:eastAsia="ko-KR"/>
        </w:rPr>
        <w:t>It was agreed that</w:t>
      </w:r>
      <w:r w:rsidR="00FA1D0C">
        <w:rPr>
          <w:rFonts w:eastAsia="Batang"/>
          <w:snapToGrid w:val="0"/>
          <w:kern w:val="2"/>
          <w:sz w:val="22"/>
          <w:szCs w:val="22"/>
          <w:lang w:eastAsia="ko-KR"/>
        </w:rPr>
        <w:t xml:space="preserve"> </w:t>
      </w:r>
      <w:r w:rsidR="000D6251">
        <w:rPr>
          <w:rFonts w:eastAsia="Batang"/>
          <w:snapToGrid w:val="0"/>
          <w:kern w:val="2"/>
          <w:sz w:val="22"/>
          <w:szCs w:val="22"/>
          <w:lang w:eastAsia="ko-KR"/>
        </w:rPr>
        <w:t>the usage</w:t>
      </w:r>
      <w:r w:rsidR="005A06CE">
        <w:rPr>
          <w:rFonts w:eastAsia="Batang"/>
          <w:snapToGrid w:val="0"/>
          <w:kern w:val="2"/>
          <w:sz w:val="22"/>
          <w:szCs w:val="22"/>
          <w:lang w:eastAsia="ko-KR"/>
        </w:rPr>
        <w:t xml:space="preserve"> </w:t>
      </w:r>
      <w:r w:rsidR="000D6251">
        <w:rPr>
          <w:rFonts w:eastAsia="Batang"/>
          <w:snapToGrid w:val="0"/>
          <w:kern w:val="2"/>
          <w:sz w:val="22"/>
          <w:szCs w:val="22"/>
          <w:lang w:eastAsia="ko-KR"/>
        </w:rPr>
        <w:t xml:space="preserve">of </w:t>
      </w:r>
      <w:r w:rsidR="005A06CE">
        <w:rPr>
          <w:rFonts w:eastAsia="Batang"/>
          <w:snapToGrid w:val="0"/>
          <w:kern w:val="2"/>
          <w:sz w:val="22"/>
          <w:szCs w:val="22"/>
          <w:lang w:eastAsia="ko-KR"/>
        </w:rPr>
        <w:t xml:space="preserve">LTE control region for MPDCCH/PDSCH </w:t>
      </w:r>
      <w:r>
        <w:rPr>
          <w:rFonts w:eastAsia="Batang"/>
          <w:snapToGrid w:val="0"/>
          <w:kern w:val="2"/>
          <w:sz w:val="22"/>
          <w:szCs w:val="22"/>
          <w:lang w:eastAsia="ko-KR"/>
        </w:rPr>
        <w:t>wa</w:t>
      </w:r>
      <w:r w:rsidR="005A06CE">
        <w:rPr>
          <w:rFonts w:eastAsia="Batang"/>
          <w:snapToGrid w:val="0"/>
          <w:kern w:val="2"/>
          <w:sz w:val="22"/>
          <w:szCs w:val="22"/>
          <w:lang w:eastAsia="ko-KR"/>
        </w:rPr>
        <w:t xml:space="preserve">s </w:t>
      </w:r>
      <w:r w:rsidR="000D6251">
        <w:rPr>
          <w:rFonts w:eastAsia="Batang"/>
          <w:snapToGrid w:val="0"/>
          <w:kern w:val="2"/>
          <w:sz w:val="22"/>
          <w:szCs w:val="22"/>
          <w:lang w:eastAsia="ko-KR"/>
        </w:rPr>
        <w:t xml:space="preserve">supported </w:t>
      </w:r>
      <w:r>
        <w:rPr>
          <w:rFonts w:eastAsia="Batang"/>
          <w:snapToGrid w:val="0"/>
          <w:kern w:val="2"/>
          <w:sz w:val="22"/>
          <w:szCs w:val="22"/>
          <w:lang w:eastAsia="ko-KR"/>
        </w:rPr>
        <w:t xml:space="preserve">also </w:t>
      </w:r>
      <w:r w:rsidR="005A06CE">
        <w:rPr>
          <w:rFonts w:eastAsia="Batang"/>
          <w:snapToGrid w:val="0"/>
          <w:kern w:val="2"/>
          <w:sz w:val="22"/>
          <w:szCs w:val="22"/>
          <w:lang w:eastAsia="ko-KR"/>
        </w:rPr>
        <w:t xml:space="preserve">for </w:t>
      </w:r>
      <w:proofErr w:type="spellStart"/>
      <w:r w:rsidR="000D6251">
        <w:rPr>
          <w:rFonts w:eastAsia="Batang"/>
          <w:snapToGrid w:val="0"/>
          <w:kern w:val="2"/>
          <w:sz w:val="22"/>
          <w:szCs w:val="22"/>
          <w:lang w:eastAsia="ko-KR"/>
        </w:rPr>
        <w:t>inband</w:t>
      </w:r>
      <w:proofErr w:type="spellEnd"/>
      <w:r w:rsidR="000D6251">
        <w:rPr>
          <w:rFonts w:eastAsia="Batang"/>
          <w:snapToGrid w:val="0"/>
          <w:kern w:val="2"/>
          <w:sz w:val="22"/>
          <w:szCs w:val="22"/>
          <w:lang w:eastAsia="ko-KR"/>
        </w:rPr>
        <w:t xml:space="preserve"> deployment w</w:t>
      </w:r>
      <w:r w:rsidR="005A06CE">
        <w:rPr>
          <w:rFonts w:eastAsia="Batang"/>
          <w:snapToGrid w:val="0"/>
          <w:kern w:val="2"/>
          <w:sz w:val="22"/>
          <w:szCs w:val="22"/>
          <w:lang w:eastAsia="ko-KR"/>
        </w:rPr>
        <w:t>ith NR. Differe</w:t>
      </w:r>
      <w:r w:rsidR="00AD43FB">
        <w:rPr>
          <w:rFonts w:eastAsia="Batang"/>
          <w:snapToGrid w:val="0"/>
          <w:kern w:val="2"/>
          <w:sz w:val="22"/>
          <w:szCs w:val="22"/>
          <w:lang w:eastAsia="ko-KR"/>
        </w:rPr>
        <w:t xml:space="preserve">nt from LTE, </w:t>
      </w:r>
      <w:r w:rsidR="000D6251">
        <w:rPr>
          <w:rFonts w:eastAsia="Batang"/>
          <w:snapToGrid w:val="0"/>
          <w:kern w:val="2"/>
          <w:sz w:val="22"/>
          <w:szCs w:val="22"/>
          <w:lang w:eastAsia="ko-KR"/>
        </w:rPr>
        <w:t xml:space="preserve">downlink </w:t>
      </w:r>
      <w:r w:rsidR="00AD43FB">
        <w:rPr>
          <w:rFonts w:eastAsia="Batang"/>
          <w:snapToGrid w:val="0"/>
          <w:kern w:val="2"/>
          <w:sz w:val="22"/>
          <w:szCs w:val="22"/>
          <w:lang w:eastAsia="ko-KR"/>
        </w:rPr>
        <w:t>control channel in NR is not wideband transmitted</w:t>
      </w:r>
      <w:r w:rsidR="000D6251">
        <w:rPr>
          <w:rFonts w:eastAsia="Batang"/>
          <w:snapToGrid w:val="0"/>
          <w:kern w:val="2"/>
          <w:sz w:val="22"/>
          <w:szCs w:val="22"/>
          <w:lang w:eastAsia="ko-KR"/>
        </w:rPr>
        <w:t xml:space="preserve"> but based on </w:t>
      </w:r>
      <w:r w:rsidR="00AD43FB">
        <w:rPr>
          <w:rFonts w:eastAsia="Batang"/>
          <w:snapToGrid w:val="0"/>
          <w:kern w:val="2"/>
          <w:sz w:val="22"/>
          <w:szCs w:val="22"/>
          <w:lang w:eastAsia="ko-KR"/>
        </w:rPr>
        <w:t>the CORESET (control resource set)</w:t>
      </w:r>
      <w:r w:rsidR="00A92B03">
        <w:rPr>
          <w:rFonts w:eastAsia="Batang"/>
          <w:snapToGrid w:val="0"/>
          <w:kern w:val="2"/>
          <w:sz w:val="22"/>
          <w:szCs w:val="22"/>
          <w:lang w:eastAsia="ko-KR"/>
        </w:rPr>
        <w:t xml:space="preserve"> </w:t>
      </w:r>
      <w:r w:rsidR="00B41ED3">
        <w:rPr>
          <w:rFonts w:eastAsia="Batang"/>
          <w:snapToGrid w:val="0"/>
          <w:kern w:val="2"/>
          <w:sz w:val="22"/>
          <w:szCs w:val="22"/>
          <w:lang w:eastAsia="ko-KR"/>
        </w:rPr>
        <w:t xml:space="preserve">configuration </w:t>
      </w:r>
      <w:r w:rsidR="00A92B03">
        <w:rPr>
          <w:rFonts w:eastAsia="Batang"/>
          <w:snapToGrid w:val="0"/>
          <w:kern w:val="2"/>
          <w:sz w:val="22"/>
          <w:szCs w:val="22"/>
          <w:lang w:eastAsia="ko-KR"/>
        </w:rPr>
        <w:t>which consist</w:t>
      </w:r>
      <w:r w:rsidR="00B41ED3">
        <w:rPr>
          <w:rFonts w:eastAsia="Batang"/>
          <w:snapToGrid w:val="0"/>
          <w:kern w:val="2"/>
          <w:sz w:val="22"/>
          <w:szCs w:val="22"/>
          <w:lang w:eastAsia="ko-KR"/>
        </w:rPr>
        <w:t>s</w:t>
      </w:r>
      <w:r w:rsidR="00A92B03">
        <w:rPr>
          <w:rFonts w:eastAsia="Batang"/>
          <w:snapToGrid w:val="0"/>
          <w:kern w:val="2"/>
          <w:sz w:val="22"/>
          <w:szCs w:val="22"/>
          <w:lang w:eastAsia="ko-KR"/>
        </w:rPr>
        <w:t xml:space="preserve"> of a set of RB groups distributed across the whole band</w:t>
      </w:r>
      <w:r w:rsidR="00AD43FB">
        <w:rPr>
          <w:rFonts w:eastAsia="Batang"/>
          <w:snapToGrid w:val="0"/>
          <w:kern w:val="2"/>
          <w:sz w:val="22"/>
          <w:szCs w:val="22"/>
          <w:lang w:eastAsia="ko-KR"/>
        </w:rPr>
        <w:t xml:space="preserve">. </w:t>
      </w:r>
      <w:r w:rsidR="00A92B03">
        <w:rPr>
          <w:rFonts w:eastAsia="Batang"/>
          <w:snapToGrid w:val="0"/>
          <w:kern w:val="2"/>
          <w:sz w:val="22"/>
          <w:szCs w:val="22"/>
          <w:lang w:eastAsia="ko-KR"/>
        </w:rPr>
        <w:t>F</w:t>
      </w:r>
      <w:r w:rsidR="00AD43FB">
        <w:rPr>
          <w:rFonts w:eastAsia="Batang"/>
          <w:snapToGrid w:val="0"/>
          <w:kern w:val="2"/>
          <w:sz w:val="22"/>
          <w:szCs w:val="22"/>
          <w:lang w:eastAsia="ko-KR"/>
        </w:rPr>
        <w:t xml:space="preserve">or </w:t>
      </w:r>
      <w:r w:rsidR="00FA1D0C">
        <w:rPr>
          <w:rFonts w:eastAsia="Batang"/>
          <w:snapToGrid w:val="0"/>
          <w:kern w:val="2"/>
          <w:sz w:val="22"/>
          <w:szCs w:val="22"/>
          <w:lang w:eastAsia="ko-KR"/>
        </w:rPr>
        <w:t>coexistence</w:t>
      </w:r>
      <w:r w:rsidR="00AD43FB">
        <w:rPr>
          <w:rFonts w:eastAsia="Batang"/>
          <w:snapToGrid w:val="0"/>
          <w:kern w:val="2"/>
          <w:sz w:val="22"/>
          <w:szCs w:val="22"/>
          <w:lang w:eastAsia="ko-KR"/>
        </w:rPr>
        <w:t xml:space="preserve"> </w:t>
      </w:r>
      <w:r w:rsidR="00FA1D0C">
        <w:rPr>
          <w:rFonts w:eastAsia="Batang"/>
          <w:snapToGrid w:val="0"/>
          <w:kern w:val="2"/>
          <w:sz w:val="22"/>
          <w:szCs w:val="22"/>
          <w:lang w:eastAsia="ko-KR"/>
        </w:rPr>
        <w:t>with</w:t>
      </w:r>
      <w:r w:rsidR="00AD43FB">
        <w:rPr>
          <w:rFonts w:eastAsia="Batang"/>
          <w:snapToGrid w:val="0"/>
          <w:kern w:val="2"/>
          <w:sz w:val="22"/>
          <w:szCs w:val="22"/>
          <w:lang w:eastAsia="ko-KR"/>
        </w:rPr>
        <w:t xml:space="preserve"> NR, the use of control region for </w:t>
      </w:r>
      <w:r>
        <w:rPr>
          <w:rFonts w:eastAsia="Batang"/>
          <w:snapToGrid w:val="0"/>
          <w:kern w:val="2"/>
          <w:sz w:val="22"/>
          <w:szCs w:val="22"/>
          <w:lang w:eastAsia="ko-KR"/>
        </w:rPr>
        <w:t xml:space="preserve">LTE-MTC </w:t>
      </w:r>
      <w:r w:rsidR="00AD43FB">
        <w:rPr>
          <w:rFonts w:eastAsia="Batang"/>
          <w:snapToGrid w:val="0"/>
          <w:kern w:val="2"/>
          <w:sz w:val="22"/>
          <w:szCs w:val="22"/>
          <w:lang w:eastAsia="ko-KR"/>
        </w:rPr>
        <w:t xml:space="preserve">transmission </w:t>
      </w:r>
      <w:r>
        <w:rPr>
          <w:rFonts w:eastAsia="Batang"/>
          <w:snapToGrid w:val="0"/>
          <w:kern w:val="2"/>
          <w:sz w:val="22"/>
          <w:szCs w:val="22"/>
          <w:lang w:eastAsia="ko-KR"/>
        </w:rPr>
        <w:t xml:space="preserve">shall be </w:t>
      </w:r>
      <w:r w:rsidR="00B41ED3">
        <w:rPr>
          <w:rFonts w:eastAsia="Batang"/>
          <w:snapToGrid w:val="0"/>
          <w:kern w:val="2"/>
          <w:sz w:val="22"/>
          <w:szCs w:val="22"/>
          <w:lang w:eastAsia="ko-KR"/>
        </w:rPr>
        <w:t xml:space="preserve">more </w:t>
      </w:r>
      <w:r>
        <w:rPr>
          <w:rFonts w:eastAsia="Batang"/>
          <w:snapToGrid w:val="0"/>
          <w:kern w:val="2"/>
          <w:sz w:val="22"/>
          <w:szCs w:val="22"/>
          <w:lang w:eastAsia="ko-KR"/>
        </w:rPr>
        <w:t xml:space="preserve">flexible </w:t>
      </w:r>
      <w:r w:rsidR="00B41ED3">
        <w:rPr>
          <w:rFonts w:eastAsia="Batang"/>
          <w:snapToGrid w:val="0"/>
          <w:kern w:val="2"/>
          <w:sz w:val="22"/>
          <w:szCs w:val="22"/>
          <w:lang w:eastAsia="ko-KR"/>
        </w:rPr>
        <w:t xml:space="preserve">to </w:t>
      </w:r>
      <w:r>
        <w:rPr>
          <w:rFonts w:eastAsia="Batang"/>
          <w:snapToGrid w:val="0"/>
          <w:kern w:val="2"/>
          <w:sz w:val="22"/>
          <w:szCs w:val="22"/>
          <w:lang w:eastAsia="ko-KR"/>
        </w:rPr>
        <w:t>support resource reservation for NR CORESET</w:t>
      </w:r>
      <w:r w:rsidR="000D6251">
        <w:rPr>
          <w:rFonts w:eastAsia="Batang"/>
          <w:snapToGrid w:val="0"/>
          <w:kern w:val="2"/>
          <w:sz w:val="22"/>
          <w:szCs w:val="22"/>
          <w:lang w:eastAsia="ko-KR"/>
        </w:rPr>
        <w:t xml:space="preserve">. </w:t>
      </w:r>
      <w:r w:rsidR="00B56AA5">
        <w:rPr>
          <w:rFonts w:eastAsia="Batang"/>
          <w:snapToGrid w:val="0"/>
          <w:kern w:val="2"/>
          <w:sz w:val="22"/>
          <w:szCs w:val="22"/>
          <w:lang w:eastAsia="ko-KR"/>
        </w:rPr>
        <w:t xml:space="preserve">Since </w:t>
      </w:r>
      <w:r>
        <w:rPr>
          <w:rFonts w:eastAsia="Batang"/>
          <w:snapToGrid w:val="0"/>
          <w:kern w:val="2"/>
          <w:sz w:val="22"/>
          <w:szCs w:val="22"/>
          <w:lang w:eastAsia="ko-KR"/>
        </w:rPr>
        <w:t xml:space="preserve">NR </w:t>
      </w:r>
      <w:r w:rsidR="00F33D50">
        <w:rPr>
          <w:rFonts w:eastAsia="Batang"/>
          <w:snapToGrid w:val="0"/>
          <w:kern w:val="2"/>
          <w:sz w:val="22"/>
          <w:szCs w:val="22"/>
          <w:lang w:eastAsia="ko-KR"/>
        </w:rPr>
        <w:t xml:space="preserve">CORESET </w:t>
      </w:r>
      <w:r w:rsidR="00B56AA5">
        <w:rPr>
          <w:rFonts w:eastAsia="Batang"/>
          <w:snapToGrid w:val="0"/>
          <w:kern w:val="2"/>
          <w:sz w:val="22"/>
          <w:szCs w:val="22"/>
          <w:lang w:eastAsia="ko-KR"/>
        </w:rPr>
        <w:t>is</w:t>
      </w:r>
      <w:r>
        <w:rPr>
          <w:rFonts w:eastAsia="Batang"/>
          <w:snapToGrid w:val="0"/>
          <w:kern w:val="2"/>
          <w:sz w:val="22"/>
          <w:szCs w:val="22"/>
          <w:lang w:eastAsia="ko-KR"/>
        </w:rPr>
        <w:t xml:space="preserve"> </w:t>
      </w:r>
      <w:r w:rsidR="00F33D50">
        <w:rPr>
          <w:rFonts w:eastAsia="Batang"/>
          <w:snapToGrid w:val="0"/>
          <w:kern w:val="2"/>
          <w:sz w:val="22"/>
          <w:szCs w:val="22"/>
          <w:lang w:eastAsia="ko-KR"/>
        </w:rPr>
        <w:t xml:space="preserve">configured </w:t>
      </w:r>
      <w:r w:rsidR="00B56AA5">
        <w:rPr>
          <w:rFonts w:eastAsia="Batang"/>
          <w:snapToGrid w:val="0"/>
          <w:kern w:val="2"/>
          <w:sz w:val="22"/>
          <w:szCs w:val="22"/>
          <w:lang w:eastAsia="ko-KR"/>
        </w:rPr>
        <w:t xml:space="preserve">only </w:t>
      </w:r>
      <w:r w:rsidR="00F33D50">
        <w:rPr>
          <w:rFonts w:eastAsia="Batang"/>
          <w:snapToGrid w:val="0"/>
          <w:kern w:val="2"/>
          <w:sz w:val="22"/>
          <w:szCs w:val="22"/>
          <w:lang w:eastAsia="ko-KR"/>
        </w:rPr>
        <w:t>in</w:t>
      </w:r>
      <w:r w:rsidR="00AD43FB">
        <w:rPr>
          <w:rFonts w:eastAsia="Batang"/>
          <w:snapToGrid w:val="0"/>
          <w:kern w:val="2"/>
          <w:sz w:val="22"/>
          <w:szCs w:val="22"/>
          <w:lang w:eastAsia="ko-KR"/>
        </w:rPr>
        <w:t xml:space="preserve"> some</w:t>
      </w:r>
      <w:r>
        <w:rPr>
          <w:rFonts w:eastAsia="Batang"/>
          <w:snapToGrid w:val="0"/>
          <w:kern w:val="2"/>
          <w:sz w:val="22"/>
          <w:szCs w:val="22"/>
          <w:lang w:eastAsia="ko-KR"/>
        </w:rPr>
        <w:t xml:space="preserve"> subframes in time domain and some </w:t>
      </w:r>
      <w:r w:rsidR="00B56AA5">
        <w:rPr>
          <w:rFonts w:eastAsia="Batang"/>
          <w:snapToGrid w:val="0"/>
          <w:kern w:val="2"/>
          <w:sz w:val="22"/>
          <w:szCs w:val="22"/>
          <w:lang w:eastAsia="ko-KR"/>
        </w:rPr>
        <w:t>RBs</w:t>
      </w:r>
      <w:r w:rsidR="00AD43FB">
        <w:rPr>
          <w:rFonts w:eastAsia="Batang"/>
          <w:snapToGrid w:val="0"/>
          <w:kern w:val="2"/>
          <w:sz w:val="22"/>
          <w:szCs w:val="22"/>
          <w:lang w:eastAsia="ko-KR"/>
        </w:rPr>
        <w:t xml:space="preserve"> </w:t>
      </w:r>
      <w:r>
        <w:rPr>
          <w:rFonts w:eastAsia="Batang"/>
          <w:snapToGrid w:val="0"/>
          <w:kern w:val="2"/>
          <w:sz w:val="22"/>
          <w:szCs w:val="22"/>
          <w:lang w:eastAsia="ko-KR"/>
        </w:rPr>
        <w:t>in frequency domain</w:t>
      </w:r>
      <w:r w:rsidR="00CC3B29">
        <w:rPr>
          <w:rFonts w:eastAsia="Batang"/>
          <w:snapToGrid w:val="0"/>
          <w:kern w:val="2"/>
          <w:sz w:val="22"/>
          <w:szCs w:val="22"/>
          <w:lang w:eastAsia="ko-KR"/>
        </w:rPr>
        <w:t xml:space="preserve">, </w:t>
      </w:r>
      <w:r w:rsidR="00B41ED3">
        <w:rPr>
          <w:rFonts w:eastAsia="Batang"/>
          <w:snapToGrid w:val="0"/>
          <w:kern w:val="2"/>
          <w:sz w:val="22"/>
          <w:szCs w:val="22"/>
          <w:lang w:eastAsia="ko-KR"/>
        </w:rPr>
        <w:t xml:space="preserve">the </w:t>
      </w:r>
      <w:r w:rsidR="00F33D50">
        <w:rPr>
          <w:rFonts w:eastAsia="Batang"/>
          <w:snapToGrid w:val="0"/>
          <w:kern w:val="2"/>
          <w:sz w:val="22"/>
          <w:szCs w:val="22"/>
          <w:lang w:eastAsia="ko-KR"/>
        </w:rPr>
        <w:t xml:space="preserve">configuration of using LTE control region for MPDCCH/PDSCH transmission </w:t>
      </w:r>
      <w:r w:rsidR="00B56AA5">
        <w:rPr>
          <w:rFonts w:eastAsia="Batang"/>
          <w:snapToGrid w:val="0"/>
          <w:kern w:val="2"/>
          <w:sz w:val="22"/>
          <w:szCs w:val="22"/>
          <w:lang w:eastAsia="ko-KR"/>
        </w:rPr>
        <w:t xml:space="preserve">is </w:t>
      </w:r>
      <w:r w:rsidR="00B41ED3">
        <w:rPr>
          <w:rFonts w:eastAsia="Batang"/>
          <w:snapToGrid w:val="0"/>
          <w:kern w:val="2"/>
          <w:sz w:val="22"/>
          <w:szCs w:val="22"/>
          <w:lang w:eastAsia="ko-KR"/>
        </w:rPr>
        <w:t xml:space="preserve">thus </w:t>
      </w:r>
      <w:r w:rsidR="00B56AA5">
        <w:rPr>
          <w:rFonts w:eastAsia="Batang"/>
          <w:snapToGrid w:val="0"/>
          <w:kern w:val="2"/>
          <w:sz w:val="22"/>
          <w:szCs w:val="22"/>
          <w:lang w:eastAsia="ko-KR"/>
        </w:rPr>
        <w:t xml:space="preserve">desirable to </w:t>
      </w:r>
      <w:r w:rsidR="00F33D50">
        <w:rPr>
          <w:rFonts w:eastAsia="Batang"/>
          <w:snapToGrid w:val="0"/>
          <w:kern w:val="2"/>
          <w:sz w:val="22"/>
          <w:szCs w:val="22"/>
          <w:lang w:eastAsia="ko-KR"/>
        </w:rPr>
        <w:t>be narrowband and subframe specific.</w:t>
      </w:r>
    </w:p>
    <w:p w14:paraId="4A2D56A5" w14:textId="6BA38E13" w:rsidR="00AD43FB" w:rsidRPr="0068319D" w:rsidRDefault="00AD43FB" w:rsidP="00AD43FB">
      <w:pPr>
        <w:pStyle w:val="LGTdoc1"/>
        <w:spacing w:beforeLines="0" w:before="120" w:after="220" w:afterAutospacing="0"/>
        <w:rPr>
          <w:sz w:val="22"/>
          <w:szCs w:val="22"/>
        </w:rPr>
      </w:pPr>
      <w:r>
        <w:rPr>
          <w:sz w:val="22"/>
          <w:szCs w:val="22"/>
          <w:u w:val="single"/>
        </w:rPr>
        <w:t xml:space="preserve">Proposal </w:t>
      </w:r>
      <w:r w:rsidR="00A92B03">
        <w:rPr>
          <w:sz w:val="22"/>
          <w:szCs w:val="22"/>
          <w:u w:val="single"/>
        </w:rPr>
        <w:t>2</w:t>
      </w:r>
      <w:r w:rsidRPr="0068319D">
        <w:rPr>
          <w:sz w:val="22"/>
          <w:szCs w:val="22"/>
          <w:u w:val="single"/>
        </w:rPr>
        <w:t>:</w:t>
      </w:r>
      <w:r w:rsidRPr="0068319D">
        <w:rPr>
          <w:sz w:val="22"/>
          <w:szCs w:val="22"/>
        </w:rPr>
        <w:t xml:space="preserve"> </w:t>
      </w:r>
      <w:r>
        <w:rPr>
          <w:sz w:val="22"/>
          <w:szCs w:val="22"/>
        </w:rPr>
        <w:t xml:space="preserve">The </w:t>
      </w:r>
      <w:r w:rsidR="00F33D50">
        <w:rPr>
          <w:sz w:val="22"/>
          <w:szCs w:val="22"/>
        </w:rPr>
        <w:t>configuration</w:t>
      </w:r>
      <w:r>
        <w:rPr>
          <w:sz w:val="22"/>
          <w:szCs w:val="22"/>
        </w:rPr>
        <w:t xml:space="preserve"> of </w:t>
      </w:r>
      <w:r w:rsidR="00F33D50">
        <w:rPr>
          <w:sz w:val="22"/>
          <w:szCs w:val="22"/>
        </w:rPr>
        <w:t xml:space="preserve">using </w:t>
      </w:r>
      <w:r>
        <w:rPr>
          <w:sz w:val="22"/>
          <w:szCs w:val="22"/>
        </w:rPr>
        <w:t xml:space="preserve">LTE control region </w:t>
      </w:r>
      <w:r w:rsidR="00F33D50">
        <w:rPr>
          <w:sz w:val="22"/>
          <w:szCs w:val="22"/>
        </w:rPr>
        <w:t xml:space="preserve">for MPDCCH/PDSCH </w:t>
      </w:r>
      <w:r>
        <w:rPr>
          <w:sz w:val="22"/>
          <w:szCs w:val="22"/>
        </w:rPr>
        <w:t xml:space="preserve">can be narrowband </w:t>
      </w:r>
      <w:r w:rsidR="00F33D50">
        <w:rPr>
          <w:sz w:val="22"/>
          <w:szCs w:val="22"/>
        </w:rPr>
        <w:t>and subframe</w:t>
      </w:r>
      <w:r>
        <w:rPr>
          <w:sz w:val="22"/>
          <w:szCs w:val="22"/>
        </w:rPr>
        <w:t xml:space="preserve"> specific </w:t>
      </w:r>
    </w:p>
    <w:p w14:paraId="527BA53C" w14:textId="19D4682F" w:rsidR="002037A4" w:rsidRDefault="00697EBC" w:rsidP="002037A4">
      <w:pPr>
        <w:pStyle w:val="Heading1"/>
      </w:pPr>
      <w:r>
        <w:t>3</w:t>
      </w:r>
      <w:r w:rsidR="002037A4">
        <w:tab/>
        <w:t>Summary</w:t>
      </w:r>
    </w:p>
    <w:p w14:paraId="3E18BF19" w14:textId="308D1C0E" w:rsidR="002037A4" w:rsidRDefault="002037A4" w:rsidP="00D165E7">
      <w:pPr>
        <w:widowControl w:val="0"/>
        <w:wordWrap w:val="0"/>
        <w:spacing w:after="120"/>
        <w:contextualSpacing/>
        <w:jc w:val="both"/>
        <w:rPr>
          <w:rFonts w:eastAsia="Batang"/>
          <w:snapToGrid w:val="0"/>
          <w:kern w:val="2"/>
          <w:sz w:val="22"/>
          <w:szCs w:val="22"/>
          <w:lang w:eastAsia="ko-KR"/>
        </w:rPr>
      </w:pPr>
      <w:r>
        <w:rPr>
          <w:rFonts w:eastAsia="Batang" w:hint="eastAsia"/>
          <w:snapToGrid w:val="0"/>
          <w:kern w:val="2"/>
          <w:sz w:val="22"/>
          <w:szCs w:val="22"/>
          <w:lang w:eastAsia="ko-KR"/>
        </w:rPr>
        <w:t xml:space="preserve">In this contribution, we </w:t>
      </w:r>
      <w:r w:rsidR="00697EBC">
        <w:rPr>
          <w:rFonts w:eastAsia="Batang"/>
          <w:snapToGrid w:val="0"/>
          <w:kern w:val="2"/>
          <w:sz w:val="22"/>
          <w:szCs w:val="22"/>
          <w:lang w:eastAsia="ko-KR"/>
        </w:rPr>
        <w:t xml:space="preserve">discuss the </w:t>
      </w:r>
      <w:r w:rsidR="00FD3DDC">
        <w:rPr>
          <w:rFonts w:eastAsia="Batang"/>
          <w:snapToGrid w:val="0"/>
          <w:kern w:val="2"/>
          <w:sz w:val="22"/>
          <w:szCs w:val="22"/>
          <w:lang w:eastAsia="ko-KR"/>
        </w:rPr>
        <w:t xml:space="preserve">remaining </w:t>
      </w:r>
      <w:r w:rsidR="00697EBC">
        <w:rPr>
          <w:rFonts w:eastAsia="Batang"/>
          <w:snapToGrid w:val="0"/>
          <w:kern w:val="2"/>
          <w:sz w:val="22"/>
          <w:szCs w:val="22"/>
          <w:lang w:eastAsia="ko-KR"/>
        </w:rPr>
        <w:t xml:space="preserve">aspects </w:t>
      </w:r>
      <w:r w:rsidR="00697EBC" w:rsidRPr="00FA0631">
        <w:rPr>
          <w:rFonts w:eastAsia="Batang"/>
          <w:snapToGrid w:val="0"/>
          <w:kern w:val="2"/>
          <w:sz w:val="22"/>
          <w:szCs w:val="22"/>
          <w:lang w:eastAsia="ko-KR"/>
        </w:rPr>
        <w:t>f</w:t>
      </w:r>
      <w:r w:rsidR="00697EBC">
        <w:rPr>
          <w:rFonts w:eastAsia="Batang"/>
          <w:snapToGrid w:val="0"/>
          <w:kern w:val="2"/>
          <w:sz w:val="22"/>
          <w:szCs w:val="22"/>
          <w:lang w:eastAsia="ko-KR"/>
        </w:rPr>
        <w:t>or</w:t>
      </w:r>
      <w:r w:rsidR="00697EBC" w:rsidRPr="00FA0631">
        <w:rPr>
          <w:rFonts w:eastAsia="Batang"/>
          <w:snapToGrid w:val="0"/>
          <w:kern w:val="2"/>
          <w:sz w:val="22"/>
          <w:szCs w:val="22"/>
          <w:lang w:eastAsia="ko-KR"/>
        </w:rPr>
        <w:t xml:space="preserve"> </w:t>
      </w:r>
      <w:r w:rsidR="00697EBC">
        <w:rPr>
          <w:rFonts w:eastAsia="Batang"/>
          <w:snapToGrid w:val="0"/>
          <w:kern w:val="2"/>
          <w:sz w:val="22"/>
          <w:szCs w:val="22"/>
          <w:lang w:eastAsia="ko-KR"/>
        </w:rPr>
        <w:t>using the control region for MPDCCH/PDSCH to the BL/CE UE</w:t>
      </w:r>
      <w:r>
        <w:rPr>
          <w:rFonts w:eastAsia="Batang"/>
          <w:snapToGrid w:val="0"/>
          <w:kern w:val="2"/>
          <w:sz w:val="22"/>
          <w:szCs w:val="22"/>
          <w:lang w:eastAsia="ko-KR"/>
        </w:rPr>
        <w:t>. We have the following</w:t>
      </w:r>
      <w:r w:rsidR="00B56AA5">
        <w:rPr>
          <w:rFonts w:eastAsia="Batang"/>
          <w:snapToGrid w:val="0"/>
          <w:kern w:val="2"/>
          <w:sz w:val="22"/>
          <w:szCs w:val="22"/>
          <w:lang w:eastAsia="ko-KR"/>
        </w:rPr>
        <w:t xml:space="preserve"> observations and</w:t>
      </w:r>
      <w:r>
        <w:rPr>
          <w:rFonts w:eastAsia="Batang"/>
          <w:snapToGrid w:val="0"/>
          <w:kern w:val="2"/>
          <w:sz w:val="22"/>
          <w:szCs w:val="22"/>
          <w:lang w:eastAsia="ko-KR"/>
        </w:rPr>
        <w:t xml:space="preserve"> </w:t>
      </w:r>
      <w:r w:rsidR="00697EBC">
        <w:rPr>
          <w:rFonts w:eastAsia="Batang"/>
          <w:snapToGrid w:val="0"/>
          <w:kern w:val="2"/>
          <w:sz w:val="22"/>
          <w:szCs w:val="22"/>
          <w:lang w:eastAsia="ko-KR"/>
        </w:rPr>
        <w:t>proposals</w:t>
      </w:r>
      <w:r>
        <w:rPr>
          <w:rFonts w:eastAsia="Batang"/>
          <w:snapToGrid w:val="0"/>
          <w:kern w:val="2"/>
          <w:sz w:val="22"/>
          <w:szCs w:val="22"/>
          <w:lang w:eastAsia="ko-KR"/>
        </w:rPr>
        <w:t>:</w:t>
      </w:r>
    </w:p>
    <w:p w14:paraId="5377F004" w14:textId="3D416892" w:rsidR="00B56AA5" w:rsidRDefault="00B56AA5" w:rsidP="003E22C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sidRPr="00B56AA5">
        <w:rPr>
          <w:sz w:val="22"/>
          <w:szCs w:val="22"/>
        </w:rPr>
        <w:t xml:space="preserve">The resource elements used for MPDCCH and </w:t>
      </w:r>
      <w:r w:rsidR="00AD2ED5">
        <w:rPr>
          <w:sz w:val="22"/>
          <w:szCs w:val="22"/>
        </w:rPr>
        <w:t>copied to</w:t>
      </w:r>
      <w:r w:rsidRPr="00B56AA5">
        <w:rPr>
          <w:sz w:val="22"/>
          <w:szCs w:val="22"/>
        </w:rPr>
        <w:t xml:space="preserve"> LTE control region</w:t>
      </w:r>
      <w:r>
        <w:rPr>
          <w:sz w:val="22"/>
          <w:szCs w:val="22"/>
        </w:rPr>
        <w:t xml:space="preserve"> do not contain DMRS or CSI-R.</w:t>
      </w:r>
    </w:p>
    <w:p w14:paraId="5DD50C36" w14:textId="77777777" w:rsidR="00B56AA5" w:rsidRDefault="00B56AA5" w:rsidP="003E22C5">
      <w:pPr>
        <w:pStyle w:val="LGTdoc1"/>
        <w:spacing w:beforeLines="0" w:before="120" w:after="0" w:afterAutospacing="0"/>
        <w:rPr>
          <w:sz w:val="22"/>
          <w:szCs w:val="22"/>
        </w:rPr>
      </w:pPr>
      <w:bookmarkStart w:id="2" w:name="_In-sequence_SDU_delivery"/>
      <w:bookmarkEnd w:id="2"/>
      <w:r>
        <w:rPr>
          <w:sz w:val="22"/>
          <w:szCs w:val="22"/>
          <w:u w:val="single"/>
        </w:rPr>
        <w:t>Proposal 1</w:t>
      </w:r>
      <w:r w:rsidRPr="0068319D">
        <w:rPr>
          <w:sz w:val="22"/>
          <w:szCs w:val="22"/>
          <w:u w:val="single"/>
        </w:rPr>
        <w:t>:</w:t>
      </w:r>
      <w:r w:rsidRPr="0068319D">
        <w:rPr>
          <w:sz w:val="22"/>
          <w:szCs w:val="22"/>
        </w:rPr>
        <w:t xml:space="preserve"> </w:t>
      </w:r>
      <w:r w:rsidRPr="00A92B03">
        <w:rPr>
          <w:sz w:val="22"/>
          <w:szCs w:val="22"/>
        </w:rPr>
        <w:t xml:space="preserve">For TDD special subframe configurations </w:t>
      </w:r>
      <w:r>
        <w:rPr>
          <w:sz w:val="22"/>
          <w:szCs w:val="22"/>
        </w:rPr>
        <w:t>9 and 10, a fixed symbol mapping is used, i.e.</w:t>
      </w:r>
    </w:p>
    <w:p w14:paraId="51425F23" w14:textId="77777777" w:rsidR="00B56AA5" w:rsidRDefault="00B56AA5" w:rsidP="00B56AA5">
      <w:pPr>
        <w:pStyle w:val="LGTdoc1"/>
        <w:numPr>
          <w:ilvl w:val="0"/>
          <w:numId w:val="50"/>
        </w:numPr>
        <w:spacing w:beforeLines="0" w:before="240" w:after="0" w:afterAutospacing="0"/>
        <w:rPr>
          <w:sz w:val="22"/>
          <w:szCs w:val="22"/>
        </w:rPr>
      </w:pPr>
      <w:r>
        <w:rPr>
          <w:sz w:val="22"/>
          <w:szCs w:val="22"/>
        </w:rPr>
        <w:t xml:space="preserve">Symbol #4 is copied to the first symbol of LTE control region </w:t>
      </w:r>
    </w:p>
    <w:p w14:paraId="7A48B4A7" w14:textId="77777777" w:rsidR="00B56AA5" w:rsidRPr="00AA43DD" w:rsidRDefault="00B56AA5" w:rsidP="003E22C5">
      <w:pPr>
        <w:pStyle w:val="LGTdoc1"/>
        <w:numPr>
          <w:ilvl w:val="0"/>
          <w:numId w:val="50"/>
        </w:numPr>
        <w:spacing w:beforeLines="0" w:before="120" w:after="220" w:afterAutospacing="0"/>
        <w:ind w:left="1282"/>
        <w:rPr>
          <w:b w:val="0"/>
          <w:kern w:val="2"/>
          <w:sz w:val="22"/>
          <w:szCs w:val="22"/>
        </w:rPr>
      </w:pPr>
      <w:r w:rsidRPr="00AA43DD">
        <w:rPr>
          <w:sz w:val="22"/>
          <w:szCs w:val="22"/>
        </w:rPr>
        <w:t>Symbol #5 is copied to the second symbol if LTE control region has 2 symbo</w:t>
      </w:r>
      <w:r>
        <w:rPr>
          <w:sz w:val="22"/>
          <w:szCs w:val="22"/>
        </w:rPr>
        <w:t>l</w:t>
      </w:r>
      <w:r w:rsidRPr="00AA43DD">
        <w:rPr>
          <w:sz w:val="22"/>
          <w:szCs w:val="22"/>
        </w:rPr>
        <w:t>s</w:t>
      </w:r>
    </w:p>
    <w:p w14:paraId="72BA5F48" w14:textId="6C75E91E" w:rsidR="00F33D50" w:rsidRPr="0068319D" w:rsidRDefault="00F33D50" w:rsidP="00F33D50">
      <w:pPr>
        <w:pStyle w:val="LGTdoc1"/>
        <w:spacing w:beforeLines="0" w:before="120" w:after="220" w:afterAutospacing="0"/>
        <w:rPr>
          <w:sz w:val="22"/>
          <w:szCs w:val="22"/>
        </w:rPr>
      </w:pPr>
      <w:r>
        <w:rPr>
          <w:sz w:val="22"/>
          <w:szCs w:val="22"/>
          <w:u w:val="single"/>
        </w:rPr>
        <w:t xml:space="preserve">Proposal </w:t>
      </w:r>
      <w:r w:rsidR="00CC3B29">
        <w:rPr>
          <w:sz w:val="22"/>
          <w:szCs w:val="22"/>
          <w:u w:val="single"/>
        </w:rPr>
        <w:t>2</w:t>
      </w:r>
      <w:r w:rsidRPr="0068319D">
        <w:rPr>
          <w:sz w:val="22"/>
          <w:szCs w:val="22"/>
          <w:u w:val="single"/>
        </w:rPr>
        <w:t>:</w:t>
      </w:r>
      <w:r w:rsidRPr="0068319D">
        <w:rPr>
          <w:sz w:val="22"/>
          <w:szCs w:val="22"/>
        </w:rPr>
        <w:t xml:space="preserve"> </w:t>
      </w:r>
      <w:r>
        <w:rPr>
          <w:sz w:val="22"/>
          <w:szCs w:val="22"/>
        </w:rPr>
        <w:t xml:space="preserve">The configuration of using LTE control region for MPDCCH/PDSCH can be narrowband and subframe specific </w:t>
      </w:r>
    </w:p>
    <w:p w14:paraId="13599CCC" w14:textId="77777777" w:rsidR="00F507D1" w:rsidRPr="00CE0424" w:rsidRDefault="00F507D1" w:rsidP="00CE0424">
      <w:pPr>
        <w:pStyle w:val="Heading1"/>
      </w:pPr>
      <w:r w:rsidRPr="00CE0424">
        <w:t>References</w:t>
      </w:r>
    </w:p>
    <w:p w14:paraId="3321CA24" w14:textId="3B68C0B2" w:rsidR="00E8205F" w:rsidRDefault="005A06CE" w:rsidP="005A06CE">
      <w:pPr>
        <w:pStyle w:val="Reference"/>
        <w:numPr>
          <w:ilvl w:val="0"/>
          <w:numId w:val="0"/>
        </w:numPr>
        <w:ind w:left="567" w:hanging="567"/>
        <w:rPr>
          <w:rFonts w:ascii="Times New Roman" w:hAnsi="Times New Roman"/>
          <w:snapToGrid w:val="0"/>
          <w:sz w:val="22"/>
          <w:szCs w:val="22"/>
        </w:rPr>
      </w:pPr>
      <w:r w:rsidRPr="00504EAE">
        <w:rPr>
          <w:rFonts w:ascii="Times New Roman" w:hAnsi="Times New Roman"/>
          <w:snapToGrid w:val="0"/>
          <w:sz w:val="22"/>
          <w:szCs w:val="22"/>
        </w:rPr>
        <w:t>[</w:t>
      </w:r>
      <w:r w:rsidR="00A60814">
        <w:rPr>
          <w:rFonts w:ascii="Times New Roman" w:hAnsi="Times New Roman"/>
          <w:snapToGrid w:val="0"/>
          <w:sz w:val="22"/>
          <w:szCs w:val="22"/>
        </w:rPr>
        <w:t>1</w:t>
      </w:r>
      <w:r w:rsidRPr="00504EAE">
        <w:rPr>
          <w:rFonts w:ascii="Times New Roman" w:hAnsi="Times New Roman"/>
          <w:snapToGrid w:val="0"/>
          <w:sz w:val="22"/>
          <w:szCs w:val="22"/>
        </w:rPr>
        <w:t>]</w:t>
      </w:r>
      <w:r w:rsidRPr="00504EAE">
        <w:rPr>
          <w:rFonts w:ascii="Times New Roman" w:hAnsi="Times New Roman"/>
          <w:snapToGrid w:val="0"/>
          <w:sz w:val="22"/>
          <w:szCs w:val="22"/>
        </w:rPr>
        <w:tab/>
      </w:r>
      <w:r>
        <w:rPr>
          <w:rFonts w:ascii="Times New Roman" w:hAnsi="Times New Roman"/>
          <w:snapToGrid w:val="0"/>
          <w:sz w:val="22"/>
          <w:szCs w:val="22"/>
        </w:rPr>
        <w:t>3GPP RAN1#</w:t>
      </w:r>
      <w:r w:rsidR="00A60814">
        <w:rPr>
          <w:rFonts w:ascii="Times New Roman" w:hAnsi="Times New Roman"/>
          <w:snapToGrid w:val="0"/>
          <w:sz w:val="22"/>
          <w:szCs w:val="22"/>
        </w:rPr>
        <w:t>9</w:t>
      </w:r>
      <w:r w:rsidR="00AB14D8">
        <w:rPr>
          <w:rFonts w:ascii="Times New Roman" w:hAnsi="Times New Roman"/>
          <w:snapToGrid w:val="0"/>
          <w:sz w:val="22"/>
          <w:szCs w:val="22"/>
        </w:rPr>
        <w:t>8</w:t>
      </w:r>
      <w:r>
        <w:rPr>
          <w:rFonts w:ascii="Times New Roman" w:hAnsi="Times New Roman"/>
          <w:snapToGrid w:val="0"/>
          <w:sz w:val="22"/>
          <w:szCs w:val="22"/>
        </w:rPr>
        <w:t xml:space="preserve">, Chairman’s notes, </w:t>
      </w:r>
      <w:r w:rsidR="000D1942">
        <w:rPr>
          <w:rFonts w:ascii="Times New Roman" w:hAnsi="Times New Roman"/>
          <w:snapToGrid w:val="0"/>
          <w:sz w:val="22"/>
          <w:szCs w:val="22"/>
        </w:rPr>
        <w:t>August</w:t>
      </w:r>
      <w:r w:rsidR="00A60814">
        <w:rPr>
          <w:rFonts w:ascii="Times New Roman" w:hAnsi="Times New Roman"/>
          <w:snapToGrid w:val="0"/>
          <w:sz w:val="22"/>
          <w:szCs w:val="22"/>
        </w:rPr>
        <w:t xml:space="preserve"> </w:t>
      </w:r>
      <w:r>
        <w:rPr>
          <w:rFonts w:ascii="Times New Roman" w:hAnsi="Times New Roman"/>
          <w:snapToGrid w:val="0"/>
          <w:sz w:val="22"/>
          <w:szCs w:val="22"/>
        </w:rPr>
        <w:t>201</w:t>
      </w:r>
      <w:r w:rsidR="00CC3B29">
        <w:rPr>
          <w:rFonts w:ascii="Times New Roman" w:hAnsi="Times New Roman"/>
          <w:snapToGrid w:val="0"/>
          <w:sz w:val="22"/>
          <w:szCs w:val="22"/>
        </w:rPr>
        <w:t>9</w:t>
      </w:r>
    </w:p>
    <w:p w14:paraId="2ED2AC7E" w14:textId="446E03A2" w:rsidR="00E738A1" w:rsidRDefault="00E738A1" w:rsidP="005A06CE">
      <w:pPr>
        <w:pStyle w:val="Reference"/>
        <w:numPr>
          <w:ilvl w:val="0"/>
          <w:numId w:val="0"/>
        </w:numPr>
        <w:ind w:left="567" w:hanging="567"/>
        <w:rPr>
          <w:rFonts w:ascii="Times New Roman" w:hAnsi="Times New Roman"/>
          <w:snapToGrid w:val="0"/>
          <w:sz w:val="22"/>
          <w:szCs w:val="22"/>
        </w:rPr>
      </w:pPr>
      <w:r>
        <w:rPr>
          <w:rFonts w:ascii="Times New Roman" w:hAnsi="Times New Roman"/>
          <w:snapToGrid w:val="0"/>
          <w:sz w:val="22"/>
          <w:szCs w:val="22"/>
        </w:rPr>
        <w:t>[2]</w:t>
      </w:r>
      <w:r>
        <w:rPr>
          <w:rFonts w:ascii="Times New Roman" w:hAnsi="Times New Roman"/>
          <w:snapToGrid w:val="0"/>
          <w:sz w:val="22"/>
          <w:szCs w:val="22"/>
        </w:rPr>
        <w:tab/>
      </w:r>
      <w:hyperlink r:id="rId12" w:history="1">
        <w:r w:rsidRPr="00E8205F">
          <w:rPr>
            <w:rFonts w:ascii="Times New Roman" w:hAnsi="Times New Roman"/>
            <w:snapToGrid w:val="0"/>
            <w:sz w:val="22"/>
            <w:szCs w:val="22"/>
          </w:rPr>
          <w:t>R1-190</w:t>
        </w:r>
        <w:r>
          <w:rPr>
            <w:rFonts w:ascii="Times New Roman" w:hAnsi="Times New Roman"/>
            <w:snapToGrid w:val="0"/>
            <w:sz w:val="22"/>
            <w:szCs w:val="22"/>
          </w:rPr>
          <w:t>8832</w:t>
        </w:r>
      </w:hyperlink>
      <w:r>
        <w:rPr>
          <w:rFonts w:ascii="Times New Roman" w:hAnsi="Times New Roman"/>
          <w:snapToGrid w:val="0"/>
          <w:sz w:val="22"/>
          <w:szCs w:val="22"/>
        </w:rPr>
        <w:t>, “Use o</w:t>
      </w:r>
      <w:r w:rsidRPr="00E8205F">
        <w:rPr>
          <w:rFonts w:ascii="Times New Roman" w:hAnsi="Times New Roman"/>
          <w:snapToGrid w:val="0"/>
          <w:sz w:val="22"/>
          <w:szCs w:val="22"/>
        </w:rPr>
        <w:t>f control region</w:t>
      </w:r>
      <w:r>
        <w:rPr>
          <w:rFonts w:ascii="Times New Roman" w:hAnsi="Times New Roman"/>
          <w:snapToGrid w:val="0"/>
          <w:sz w:val="22"/>
          <w:szCs w:val="22"/>
        </w:rPr>
        <w:t xml:space="preserve"> for </w:t>
      </w:r>
      <w:proofErr w:type="spellStart"/>
      <w:r>
        <w:rPr>
          <w:rFonts w:ascii="Times New Roman" w:hAnsi="Times New Roman"/>
          <w:snapToGrid w:val="0"/>
          <w:sz w:val="22"/>
          <w:szCs w:val="22"/>
        </w:rPr>
        <w:t>eMTC</w:t>
      </w:r>
      <w:proofErr w:type="spellEnd"/>
      <w:r>
        <w:rPr>
          <w:rFonts w:ascii="Times New Roman" w:hAnsi="Times New Roman"/>
          <w:snapToGrid w:val="0"/>
          <w:sz w:val="22"/>
          <w:szCs w:val="22"/>
        </w:rPr>
        <w:t xml:space="preserve"> UEs</w:t>
      </w:r>
      <w:r w:rsidR="003E22C5">
        <w:rPr>
          <w:rFonts w:ascii="Times New Roman" w:hAnsi="Times New Roman"/>
          <w:snapToGrid w:val="0"/>
          <w:sz w:val="22"/>
          <w:szCs w:val="22"/>
        </w:rPr>
        <w:t>”</w:t>
      </w:r>
      <w:r>
        <w:rPr>
          <w:rFonts w:ascii="Times New Roman" w:hAnsi="Times New Roman"/>
          <w:snapToGrid w:val="0"/>
          <w:sz w:val="22"/>
          <w:szCs w:val="22"/>
        </w:rPr>
        <w:t>, Qualcomm Inc.</w:t>
      </w:r>
    </w:p>
    <w:p w14:paraId="71F5FD1D" w14:textId="4B2673E0" w:rsidR="00E8205F" w:rsidRDefault="00E8205F" w:rsidP="005A06CE">
      <w:pPr>
        <w:pStyle w:val="Reference"/>
        <w:numPr>
          <w:ilvl w:val="0"/>
          <w:numId w:val="0"/>
        </w:numPr>
        <w:ind w:left="567" w:hanging="567"/>
        <w:rPr>
          <w:rFonts w:ascii="Times New Roman" w:hAnsi="Times New Roman"/>
          <w:snapToGrid w:val="0"/>
          <w:sz w:val="22"/>
          <w:szCs w:val="22"/>
        </w:rPr>
      </w:pPr>
      <w:r>
        <w:rPr>
          <w:rFonts w:ascii="Times New Roman" w:hAnsi="Times New Roman"/>
          <w:snapToGrid w:val="0"/>
          <w:sz w:val="22"/>
          <w:szCs w:val="22"/>
        </w:rPr>
        <w:t>[</w:t>
      </w:r>
      <w:r w:rsidR="00E738A1">
        <w:rPr>
          <w:rFonts w:ascii="Times New Roman" w:hAnsi="Times New Roman"/>
          <w:snapToGrid w:val="0"/>
          <w:sz w:val="22"/>
          <w:szCs w:val="22"/>
        </w:rPr>
        <w:t>3</w:t>
      </w:r>
      <w:r>
        <w:rPr>
          <w:rFonts w:ascii="Times New Roman" w:hAnsi="Times New Roman"/>
          <w:snapToGrid w:val="0"/>
          <w:sz w:val="22"/>
          <w:szCs w:val="22"/>
        </w:rPr>
        <w:t>]</w:t>
      </w:r>
      <w:r>
        <w:rPr>
          <w:rFonts w:ascii="Times New Roman" w:hAnsi="Times New Roman"/>
          <w:snapToGrid w:val="0"/>
          <w:sz w:val="22"/>
          <w:szCs w:val="22"/>
        </w:rPr>
        <w:tab/>
      </w:r>
      <w:hyperlink r:id="rId13" w:history="1">
        <w:r w:rsidRPr="00E8205F">
          <w:rPr>
            <w:rFonts w:ascii="Times New Roman" w:hAnsi="Times New Roman"/>
            <w:snapToGrid w:val="0"/>
            <w:sz w:val="22"/>
            <w:szCs w:val="22"/>
          </w:rPr>
          <w:t>R1-190</w:t>
        </w:r>
        <w:r w:rsidR="00CC3B29">
          <w:rPr>
            <w:rFonts w:ascii="Times New Roman" w:hAnsi="Times New Roman"/>
            <w:snapToGrid w:val="0"/>
            <w:sz w:val="22"/>
            <w:szCs w:val="22"/>
          </w:rPr>
          <w:t>6502</w:t>
        </w:r>
      </w:hyperlink>
      <w:r>
        <w:rPr>
          <w:rFonts w:ascii="Times New Roman" w:hAnsi="Times New Roman"/>
          <w:snapToGrid w:val="0"/>
          <w:sz w:val="22"/>
          <w:szCs w:val="22"/>
        </w:rPr>
        <w:t>, “</w:t>
      </w:r>
      <w:r w:rsidR="00CC3B29">
        <w:rPr>
          <w:rFonts w:ascii="Times New Roman" w:hAnsi="Times New Roman"/>
          <w:snapToGrid w:val="0"/>
          <w:sz w:val="22"/>
          <w:szCs w:val="22"/>
        </w:rPr>
        <w:t>Use o</w:t>
      </w:r>
      <w:r w:rsidRPr="00E8205F">
        <w:rPr>
          <w:rFonts w:ascii="Times New Roman" w:hAnsi="Times New Roman"/>
          <w:snapToGrid w:val="0"/>
          <w:sz w:val="22"/>
          <w:szCs w:val="22"/>
        </w:rPr>
        <w:t>f LTE control channel region</w:t>
      </w:r>
      <w:r w:rsidR="00CC3B29">
        <w:rPr>
          <w:rFonts w:ascii="Times New Roman" w:hAnsi="Times New Roman"/>
          <w:snapToGrid w:val="0"/>
          <w:sz w:val="22"/>
          <w:szCs w:val="22"/>
        </w:rPr>
        <w:t xml:space="preserve"> for DL transmission</w:t>
      </w:r>
      <w:r w:rsidR="003E22C5">
        <w:rPr>
          <w:rFonts w:ascii="Times New Roman" w:hAnsi="Times New Roman"/>
          <w:snapToGrid w:val="0"/>
          <w:sz w:val="22"/>
          <w:szCs w:val="22"/>
        </w:rPr>
        <w:t>”</w:t>
      </w:r>
      <w:r>
        <w:rPr>
          <w:rFonts w:ascii="Times New Roman" w:hAnsi="Times New Roman"/>
          <w:snapToGrid w:val="0"/>
          <w:sz w:val="22"/>
          <w:szCs w:val="22"/>
        </w:rPr>
        <w:t xml:space="preserve">, </w:t>
      </w:r>
      <w:r w:rsidR="00CC3B29">
        <w:rPr>
          <w:rFonts w:ascii="Times New Roman" w:hAnsi="Times New Roman"/>
          <w:snapToGrid w:val="0"/>
          <w:sz w:val="22"/>
          <w:szCs w:val="22"/>
        </w:rPr>
        <w:t>ZTE</w:t>
      </w:r>
    </w:p>
    <w:p w14:paraId="043FE474" w14:textId="44965FE5" w:rsidR="003E22C5" w:rsidRDefault="003E22C5" w:rsidP="003E22C5">
      <w:pPr>
        <w:pStyle w:val="Reference"/>
        <w:numPr>
          <w:ilvl w:val="0"/>
          <w:numId w:val="0"/>
        </w:numPr>
        <w:ind w:left="567" w:hanging="567"/>
        <w:rPr>
          <w:rFonts w:ascii="Times New Roman" w:hAnsi="Times New Roman"/>
          <w:snapToGrid w:val="0"/>
          <w:sz w:val="22"/>
          <w:szCs w:val="22"/>
        </w:rPr>
      </w:pPr>
      <w:r>
        <w:rPr>
          <w:rFonts w:ascii="Times New Roman" w:hAnsi="Times New Roman"/>
          <w:snapToGrid w:val="0"/>
          <w:sz w:val="22"/>
          <w:szCs w:val="22"/>
        </w:rPr>
        <w:lastRenderedPageBreak/>
        <w:t>[4]</w:t>
      </w:r>
      <w:r>
        <w:rPr>
          <w:rFonts w:ascii="Times New Roman" w:hAnsi="Times New Roman"/>
          <w:snapToGrid w:val="0"/>
          <w:sz w:val="22"/>
          <w:szCs w:val="22"/>
        </w:rPr>
        <w:tab/>
      </w:r>
      <w:hyperlink r:id="rId14" w:history="1">
        <w:r w:rsidRPr="00E8205F">
          <w:rPr>
            <w:rFonts w:ascii="Times New Roman" w:hAnsi="Times New Roman"/>
            <w:snapToGrid w:val="0"/>
            <w:sz w:val="22"/>
            <w:szCs w:val="22"/>
          </w:rPr>
          <w:t>R1-190</w:t>
        </w:r>
        <w:r>
          <w:rPr>
            <w:rFonts w:ascii="Times New Roman" w:hAnsi="Times New Roman"/>
            <w:snapToGrid w:val="0"/>
            <w:sz w:val="22"/>
            <w:szCs w:val="22"/>
          </w:rPr>
          <w:t>852</w:t>
        </w:r>
      </w:hyperlink>
      <w:r>
        <w:rPr>
          <w:rFonts w:ascii="Times New Roman" w:hAnsi="Times New Roman"/>
          <w:snapToGrid w:val="0"/>
          <w:sz w:val="22"/>
          <w:szCs w:val="22"/>
        </w:rPr>
        <w:t>6, “</w:t>
      </w:r>
      <w:r w:rsidRPr="003E22C5">
        <w:rPr>
          <w:rFonts w:ascii="Times New Roman" w:hAnsi="Times New Roman"/>
          <w:snapToGrid w:val="0"/>
          <w:sz w:val="22"/>
          <w:szCs w:val="22"/>
        </w:rPr>
        <w:t>On the use of LTE control channel region for LTE-MTC DL transmission”</w:t>
      </w:r>
      <w:r>
        <w:rPr>
          <w:rFonts w:ascii="Times New Roman" w:hAnsi="Times New Roman"/>
          <w:snapToGrid w:val="0"/>
          <w:sz w:val="22"/>
          <w:szCs w:val="22"/>
        </w:rPr>
        <w:t xml:space="preserve">, LG </w:t>
      </w:r>
      <w:r w:rsidRPr="003E22C5">
        <w:rPr>
          <w:rFonts w:ascii="Times New Roman" w:hAnsi="Times New Roman" w:hint="eastAsia"/>
          <w:snapToGrid w:val="0"/>
          <w:sz w:val="22"/>
          <w:szCs w:val="22"/>
        </w:rPr>
        <w:t>Electronics</w:t>
      </w:r>
    </w:p>
    <w:p w14:paraId="7F90E882" w14:textId="77777777" w:rsidR="003E22C5" w:rsidRDefault="003E22C5" w:rsidP="005A06CE">
      <w:pPr>
        <w:pStyle w:val="Reference"/>
        <w:numPr>
          <w:ilvl w:val="0"/>
          <w:numId w:val="0"/>
        </w:numPr>
        <w:ind w:left="567" w:hanging="567"/>
        <w:rPr>
          <w:rFonts w:ascii="Times New Roman" w:hAnsi="Times New Roman"/>
          <w:snapToGrid w:val="0"/>
          <w:sz w:val="22"/>
          <w:szCs w:val="22"/>
        </w:rPr>
      </w:pPr>
    </w:p>
    <w:sectPr w:rsidR="003E22C5"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87BFC" w14:textId="77777777" w:rsidR="00876349" w:rsidRDefault="00876349">
      <w:r>
        <w:separator/>
      </w:r>
    </w:p>
  </w:endnote>
  <w:endnote w:type="continuationSeparator" w:id="0">
    <w:p w14:paraId="00C2D9F8" w14:textId="77777777" w:rsidR="00876349" w:rsidRDefault="0087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B092E" w14:textId="77777777" w:rsidR="00C8077E" w:rsidRDefault="00C807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EEB7D" w14:textId="77777777" w:rsidR="00876349" w:rsidRDefault="00876349">
      <w:r>
        <w:separator/>
      </w:r>
    </w:p>
  </w:footnote>
  <w:footnote w:type="continuationSeparator" w:id="0">
    <w:p w14:paraId="2BDE1007" w14:textId="77777777" w:rsidR="00876349" w:rsidRDefault="0087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E675" w14:textId="77777777" w:rsidR="00C8077E" w:rsidRDefault="00C807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F976D23C"/>
    <w:lvl w:ilvl="0">
      <w:start w:val="1"/>
      <w:numFmt w:val="decimal"/>
      <w:lvlText w:val="%1."/>
      <w:lvlJc w:val="left"/>
      <w:pPr>
        <w:tabs>
          <w:tab w:val="num" w:pos="360"/>
        </w:tabs>
        <w:ind w:left="360" w:hangingChars="200" w:hanging="360"/>
      </w:pPr>
    </w:lvl>
  </w:abstractNum>
  <w:abstractNum w:abstractNumId="4"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A7229C"/>
    <w:multiLevelType w:val="hybridMultilevel"/>
    <w:tmpl w:val="EAB0E71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4B3799E"/>
    <w:multiLevelType w:val="hybridMultilevel"/>
    <w:tmpl w:val="D7C05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D81433"/>
    <w:multiLevelType w:val="hybridMultilevel"/>
    <w:tmpl w:val="5B1247C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90847F3"/>
    <w:multiLevelType w:val="hybridMultilevel"/>
    <w:tmpl w:val="06AA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F4F1C0B"/>
    <w:multiLevelType w:val="hybridMultilevel"/>
    <w:tmpl w:val="286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D16301"/>
    <w:multiLevelType w:val="hybridMultilevel"/>
    <w:tmpl w:val="E132EA90"/>
    <w:lvl w:ilvl="0" w:tplc="4A806150">
      <w:start w:val="1"/>
      <w:numFmt w:val="bullet"/>
      <w:lvlText w:val="−"/>
      <w:lvlJc w:val="left"/>
      <w:pPr>
        <w:tabs>
          <w:tab w:val="num" w:pos="720"/>
        </w:tabs>
        <w:ind w:left="720" w:hanging="360"/>
      </w:pPr>
      <w:rPr>
        <w:rFonts w:ascii="Calibre Regular" w:hAnsi="Calibre Regular" w:hint="default"/>
      </w:rPr>
    </w:lvl>
    <w:lvl w:ilvl="1" w:tplc="A3DA79E2">
      <w:start w:val="1"/>
      <w:numFmt w:val="bullet"/>
      <w:lvlText w:val="−"/>
      <w:lvlJc w:val="left"/>
      <w:pPr>
        <w:tabs>
          <w:tab w:val="num" w:pos="1440"/>
        </w:tabs>
        <w:ind w:left="1440" w:hanging="360"/>
      </w:pPr>
      <w:rPr>
        <w:rFonts w:ascii="Calibre Regular" w:hAnsi="Calibre Regular" w:hint="default"/>
      </w:rPr>
    </w:lvl>
    <w:lvl w:ilvl="2" w:tplc="4AFE4CD8">
      <w:start w:val="1"/>
      <w:numFmt w:val="bullet"/>
      <w:lvlText w:val="−"/>
      <w:lvlJc w:val="left"/>
      <w:pPr>
        <w:tabs>
          <w:tab w:val="num" w:pos="2160"/>
        </w:tabs>
        <w:ind w:left="2160" w:hanging="360"/>
      </w:pPr>
      <w:rPr>
        <w:rFonts w:ascii="Calibre Regular" w:hAnsi="Calibre Regular" w:hint="default"/>
      </w:rPr>
    </w:lvl>
    <w:lvl w:ilvl="3" w:tplc="5B98684A" w:tentative="1">
      <w:start w:val="1"/>
      <w:numFmt w:val="bullet"/>
      <w:lvlText w:val="−"/>
      <w:lvlJc w:val="left"/>
      <w:pPr>
        <w:tabs>
          <w:tab w:val="num" w:pos="2880"/>
        </w:tabs>
        <w:ind w:left="2880" w:hanging="360"/>
      </w:pPr>
      <w:rPr>
        <w:rFonts w:ascii="Calibre Regular" w:hAnsi="Calibre Regular" w:hint="default"/>
      </w:rPr>
    </w:lvl>
    <w:lvl w:ilvl="4" w:tplc="43FEBB2C" w:tentative="1">
      <w:start w:val="1"/>
      <w:numFmt w:val="bullet"/>
      <w:lvlText w:val="−"/>
      <w:lvlJc w:val="left"/>
      <w:pPr>
        <w:tabs>
          <w:tab w:val="num" w:pos="3600"/>
        </w:tabs>
        <w:ind w:left="3600" w:hanging="360"/>
      </w:pPr>
      <w:rPr>
        <w:rFonts w:ascii="Calibre Regular" w:hAnsi="Calibre Regular" w:hint="default"/>
      </w:rPr>
    </w:lvl>
    <w:lvl w:ilvl="5" w:tplc="3070C102" w:tentative="1">
      <w:start w:val="1"/>
      <w:numFmt w:val="bullet"/>
      <w:lvlText w:val="−"/>
      <w:lvlJc w:val="left"/>
      <w:pPr>
        <w:tabs>
          <w:tab w:val="num" w:pos="4320"/>
        </w:tabs>
        <w:ind w:left="4320" w:hanging="360"/>
      </w:pPr>
      <w:rPr>
        <w:rFonts w:ascii="Calibre Regular" w:hAnsi="Calibre Regular" w:hint="default"/>
      </w:rPr>
    </w:lvl>
    <w:lvl w:ilvl="6" w:tplc="F1B66124" w:tentative="1">
      <w:start w:val="1"/>
      <w:numFmt w:val="bullet"/>
      <w:lvlText w:val="−"/>
      <w:lvlJc w:val="left"/>
      <w:pPr>
        <w:tabs>
          <w:tab w:val="num" w:pos="5040"/>
        </w:tabs>
        <w:ind w:left="5040" w:hanging="360"/>
      </w:pPr>
      <w:rPr>
        <w:rFonts w:ascii="Calibre Regular" w:hAnsi="Calibre Regular" w:hint="default"/>
      </w:rPr>
    </w:lvl>
    <w:lvl w:ilvl="7" w:tplc="19A05B72" w:tentative="1">
      <w:start w:val="1"/>
      <w:numFmt w:val="bullet"/>
      <w:lvlText w:val="−"/>
      <w:lvlJc w:val="left"/>
      <w:pPr>
        <w:tabs>
          <w:tab w:val="num" w:pos="5760"/>
        </w:tabs>
        <w:ind w:left="5760" w:hanging="360"/>
      </w:pPr>
      <w:rPr>
        <w:rFonts w:ascii="Calibre Regular" w:hAnsi="Calibre Regular" w:hint="default"/>
      </w:rPr>
    </w:lvl>
    <w:lvl w:ilvl="8" w:tplc="7D0EF032" w:tentative="1">
      <w:start w:val="1"/>
      <w:numFmt w:val="bullet"/>
      <w:lvlText w:val="−"/>
      <w:lvlJc w:val="left"/>
      <w:pPr>
        <w:tabs>
          <w:tab w:val="num" w:pos="6480"/>
        </w:tabs>
        <w:ind w:left="6480" w:hanging="360"/>
      </w:pPr>
      <w:rPr>
        <w:rFonts w:ascii="Calibre Regular" w:hAnsi="Calibre Regular" w:hint="default"/>
      </w:rPr>
    </w:lvl>
  </w:abstractNum>
  <w:abstractNum w:abstractNumId="27" w15:restartNumberingAfterBreak="0">
    <w:nsid w:val="33EA44FF"/>
    <w:multiLevelType w:val="hybridMultilevel"/>
    <w:tmpl w:val="E626CE42"/>
    <w:lvl w:ilvl="0" w:tplc="B01460A0">
      <w:start w:val="1"/>
      <w:numFmt w:val="decimal"/>
      <w:pStyle w:val="ListNumber"/>
      <w:lvlText w:val="%1."/>
      <w:lvlJc w:val="left"/>
      <w:pPr>
        <w:ind w:left="1004" w:hanging="360"/>
      </w:pPr>
    </w:lvl>
    <w:lvl w:ilvl="1" w:tplc="041D000F">
      <w:start w:val="1"/>
      <w:numFmt w:val="decimal"/>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927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6F216AD"/>
    <w:multiLevelType w:val="hybridMultilevel"/>
    <w:tmpl w:val="559256A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F9F7B18"/>
    <w:multiLevelType w:val="hybridMultilevel"/>
    <w:tmpl w:val="98BE50A2"/>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B54A37"/>
    <w:multiLevelType w:val="hybridMultilevel"/>
    <w:tmpl w:val="C94CDBF8"/>
    <w:lvl w:ilvl="0" w:tplc="4080FDD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7531583"/>
    <w:multiLevelType w:val="multilevel"/>
    <w:tmpl w:val="95FC84D2"/>
    <w:lvl w:ilvl="0">
      <w:start w:val="2"/>
      <w:numFmt w:val="decimal"/>
      <w:lvlText w:val="%1"/>
      <w:lvlJc w:val="left"/>
      <w:pPr>
        <w:ind w:left="360" w:hanging="360"/>
      </w:pPr>
      <w:rPr>
        <w:rFonts w:hint="default"/>
      </w:rPr>
    </w:lvl>
    <w:lvl w:ilvl="1">
      <w:start w:val="1"/>
      <w:numFmt w:val="decimal"/>
      <w:isLgl/>
      <w:lvlText w:val="%1.%2"/>
      <w:lvlJc w:val="left"/>
      <w:pPr>
        <w:ind w:left="405" w:hanging="405"/>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931ECA"/>
    <w:multiLevelType w:val="hybridMultilevel"/>
    <w:tmpl w:val="3B02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7"/>
  </w:num>
  <w:num w:numId="3">
    <w:abstractNumId w:val="30"/>
  </w:num>
  <w:num w:numId="4">
    <w:abstractNumId w:val="31"/>
  </w:num>
  <w:num w:numId="5">
    <w:abstractNumId w:val="24"/>
  </w:num>
  <w:num w:numId="6">
    <w:abstractNumId w:val="36"/>
  </w:num>
  <w:num w:numId="7">
    <w:abstractNumId w:val="41"/>
  </w:num>
  <w:num w:numId="8">
    <w:abstractNumId w:val="25"/>
  </w:num>
  <w:num w:numId="9">
    <w:abstractNumId w:val="22"/>
  </w:num>
  <w:num w:numId="10">
    <w:abstractNumId w:val="2"/>
  </w:num>
  <w:num w:numId="11">
    <w:abstractNumId w:val="1"/>
  </w:num>
  <w:num w:numId="12">
    <w:abstractNumId w:val="0"/>
  </w:num>
  <w:num w:numId="13">
    <w:abstractNumId w:val="38"/>
  </w:num>
  <w:num w:numId="14">
    <w:abstractNumId w:val="40"/>
  </w:num>
  <w:num w:numId="15">
    <w:abstractNumId w:val="32"/>
  </w:num>
  <w:num w:numId="16">
    <w:abstractNumId w:val="43"/>
  </w:num>
  <w:num w:numId="17">
    <w:abstractNumId w:val="17"/>
  </w:num>
  <w:num w:numId="18">
    <w:abstractNumId w:val="20"/>
  </w:num>
  <w:num w:numId="19">
    <w:abstractNumId w:val="12"/>
  </w:num>
  <w:num w:numId="20">
    <w:abstractNumId w:val="47"/>
  </w:num>
  <w:num w:numId="21">
    <w:abstractNumId w:val="27"/>
  </w:num>
  <w:num w:numId="22">
    <w:abstractNumId w:val="45"/>
  </w:num>
  <w:num w:numId="23">
    <w:abstractNumId w:val="18"/>
  </w:num>
  <w:num w:numId="24">
    <w:abstractNumId w:val="34"/>
  </w:num>
  <w:num w:numId="25">
    <w:abstractNumId w:val="48"/>
  </w:num>
  <w:num w:numId="26">
    <w:abstractNumId w:val="3"/>
  </w:num>
  <w:num w:numId="27">
    <w:abstractNumId w:val="15"/>
  </w:num>
  <w:num w:numId="28">
    <w:abstractNumId w:val="42"/>
  </w:num>
  <w:num w:numId="29">
    <w:abstractNumId w:val="9"/>
  </w:num>
  <w:num w:numId="30">
    <w:abstractNumId w:val="11"/>
  </w:num>
  <w:num w:numId="31">
    <w:abstractNumId w:val="39"/>
  </w:num>
  <w:num w:numId="32">
    <w:abstractNumId w:val="14"/>
  </w:num>
  <w:num w:numId="33">
    <w:abstractNumId w:val="35"/>
  </w:num>
  <w:num w:numId="34">
    <w:abstractNumId w:val="21"/>
  </w:num>
  <w:num w:numId="35">
    <w:abstractNumId w:val="13"/>
  </w:num>
  <w:num w:numId="36">
    <w:abstractNumId w:val="4"/>
  </w:num>
  <w:num w:numId="37">
    <w:abstractNumId w:val="29"/>
  </w:num>
  <w:num w:numId="38">
    <w:abstractNumId w:val="28"/>
  </w:num>
  <w:num w:numId="39">
    <w:abstractNumId w:val="44"/>
  </w:num>
  <w:num w:numId="40">
    <w:abstractNumId w:val="23"/>
  </w:num>
  <w:num w:numId="41">
    <w:abstractNumId w:val="6"/>
  </w:num>
  <w:num w:numId="42">
    <w:abstractNumId w:val="10"/>
  </w:num>
  <w:num w:numId="43">
    <w:abstractNumId w:val="37"/>
  </w:num>
  <w:num w:numId="44">
    <w:abstractNumId w:val="7"/>
  </w:num>
  <w:num w:numId="45">
    <w:abstractNumId w:val="26"/>
  </w:num>
  <w:num w:numId="46">
    <w:abstractNumId w:val="16"/>
  </w:num>
  <w:num w:numId="47">
    <w:abstractNumId w:val="33"/>
  </w:num>
  <w:num w:numId="48">
    <w:abstractNumId w:val="19"/>
  </w:num>
  <w:num w:numId="49">
    <w:abstractNumId w:val="46"/>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AB"/>
    <w:rsid w:val="000006E1"/>
    <w:rsid w:val="00002A37"/>
    <w:rsid w:val="000054C7"/>
    <w:rsid w:val="0000564C"/>
    <w:rsid w:val="00006446"/>
    <w:rsid w:val="00006896"/>
    <w:rsid w:val="00006C42"/>
    <w:rsid w:val="00007CDC"/>
    <w:rsid w:val="00011B28"/>
    <w:rsid w:val="00015D15"/>
    <w:rsid w:val="0002564D"/>
    <w:rsid w:val="00025ECA"/>
    <w:rsid w:val="000267C3"/>
    <w:rsid w:val="000325B8"/>
    <w:rsid w:val="00034C15"/>
    <w:rsid w:val="00036BA1"/>
    <w:rsid w:val="00037DC6"/>
    <w:rsid w:val="000422E2"/>
    <w:rsid w:val="00042F22"/>
    <w:rsid w:val="00043CB7"/>
    <w:rsid w:val="000444EF"/>
    <w:rsid w:val="00045FC2"/>
    <w:rsid w:val="00047A9F"/>
    <w:rsid w:val="00051CEA"/>
    <w:rsid w:val="00052A07"/>
    <w:rsid w:val="000534E3"/>
    <w:rsid w:val="0005606A"/>
    <w:rsid w:val="00057117"/>
    <w:rsid w:val="00061512"/>
    <w:rsid w:val="000616E7"/>
    <w:rsid w:val="00061A5C"/>
    <w:rsid w:val="0006487E"/>
    <w:rsid w:val="00065E1A"/>
    <w:rsid w:val="00073D3A"/>
    <w:rsid w:val="00076617"/>
    <w:rsid w:val="000774F0"/>
    <w:rsid w:val="00077E5F"/>
    <w:rsid w:val="0008036A"/>
    <w:rsid w:val="00081AE6"/>
    <w:rsid w:val="00083055"/>
    <w:rsid w:val="00084D3F"/>
    <w:rsid w:val="000855EB"/>
    <w:rsid w:val="00085B52"/>
    <w:rsid w:val="000866F2"/>
    <w:rsid w:val="0009009F"/>
    <w:rsid w:val="00091557"/>
    <w:rsid w:val="000924C1"/>
    <w:rsid w:val="000924F0"/>
    <w:rsid w:val="00093474"/>
    <w:rsid w:val="0009510F"/>
    <w:rsid w:val="000A0D37"/>
    <w:rsid w:val="000A1B7B"/>
    <w:rsid w:val="000A56F2"/>
    <w:rsid w:val="000B1E2F"/>
    <w:rsid w:val="000B2719"/>
    <w:rsid w:val="000B3A8F"/>
    <w:rsid w:val="000B4AB9"/>
    <w:rsid w:val="000B4C0A"/>
    <w:rsid w:val="000B58C3"/>
    <w:rsid w:val="000B61E9"/>
    <w:rsid w:val="000C165A"/>
    <w:rsid w:val="000C2E19"/>
    <w:rsid w:val="000C3CAE"/>
    <w:rsid w:val="000D0D07"/>
    <w:rsid w:val="000D1942"/>
    <w:rsid w:val="000D4797"/>
    <w:rsid w:val="000D6251"/>
    <w:rsid w:val="000E0527"/>
    <w:rsid w:val="000E1E92"/>
    <w:rsid w:val="000E32C2"/>
    <w:rsid w:val="000E5728"/>
    <w:rsid w:val="000F06D6"/>
    <w:rsid w:val="000F0EB1"/>
    <w:rsid w:val="000F1106"/>
    <w:rsid w:val="000F360A"/>
    <w:rsid w:val="000F3BE9"/>
    <w:rsid w:val="000F3F6C"/>
    <w:rsid w:val="000F43F8"/>
    <w:rsid w:val="000F6DF3"/>
    <w:rsid w:val="001005FF"/>
    <w:rsid w:val="00104AC5"/>
    <w:rsid w:val="001062FB"/>
    <w:rsid w:val="001063E6"/>
    <w:rsid w:val="00113CF4"/>
    <w:rsid w:val="001153EA"/>
    <w:rsid w:val="00115643"/>
    <w:rsid w:val="00115A67"/>
    <w:rsid w:val="00116765"/>
    <w:rsid w:val="001219F5"/>
    <w:rsid w:val="00121A20"/>
    <w:rsid w:val="0012377F"/>
    <w:rsid w:val="00124314"/>
    <w:rsid w:val="00126B4A"/>
    <w:rsid w:val="00132EA6"/>
    <w:rsid w:val="00132FD0"/>
    <w:rsid w:val="001344C0"/>
    <w:rsid w:val="001346FA"/>
    <w:rsid w:val="00135252"/>
    <w:rsid w:val="00137AB5"/>
    <w:rsid w:val="00137F0B"/>
    <w:rsid w:val="0014423E"/>
    <w:rsid w:val="00144EF9"/>
    <w:rsid w:val="00151E23"/>
    <w:rsid w:val="001526E0"/>
    <w:rsid w:val="001551B5"/>
    <w:rsid w:val="00164B90"/>
    <w:rsid w:val="001659C1"/>
    <w:rsid w:val="001733C3"/>
    <w:rsid w:val="00173A8E"/>
    <w:rsid w:val="0017502C"/>
    <w:rsid w:val="0018143F"/>
    <w:rsid w:val="00181FF8"/>
    <w:rsid w:val="00183548"/>
    <w:rsid w:val="00190AC1"/>
    <w:rsid w:val="00192251"/>
    <w:rsid w:val="0019341A"/>
    <w:rsid w:val="00197DF9"/>
    <w:rsid w:val="001A1987"/>
    <w:rsid w:val="001A2564"/>
    <w:rsid w:val="001A2AF4"/>
    <w:rsid w:val="001A6173"/>
    <w:rsid w:val="001A6CBA"/>
    <w:rsid w:val="001B0D97"/>
    <w:rsid w:val="001B10FD"/>
    <w:rsid w:val="001B5A5D"/>
    <w:rsid w:val="001B7F7F"/>
    <w:rsid w:val="001C0423"/>
    <w:rsid w:val="001C1CE5"/>
    <w:rsid w:val="001C3D2A"/>
    <w:rsid w:val="001D3E9B"/>
    <w:rsid w:val="001D51BA"/>
    <w:rsid w:val="001D5298"/>
    <w:rsid w:val="001D53E7"/>
    <w:rsid w:val="001D6342"/>
    <w:rsid w:val="001D6CFA"/>
    <w:rsid w:val="001D6D53"/>
    <w:rsid w:val="001D7D59"/>
    <w:rsid w:val="001E58E2"/>
    <w:rsid w:val="001E7AED"/>
    <w:rsid w:val="001F3916"/>
    <w:rsid w:val="001F54C5"/>
    <w:rsid w:val="001F5ABC"/>
    <w:rsid w:val="001F662C"/>
    <w:rsid w:val="001F7074"/>
    <w:rsid w:val="00200490"/>
    <w:rsid w:val="00201F3A"/>
    <w:rsid w:val="002037A4"/>
    <w:rsid w:val="00203F96"/>
    <w:rsid w:val="002069B2"/>
    <w:rsid w:val="00207FA3"/>
    <w:rsid w:val="00214DA8"/>
    <w:rsid w:val="00215423"/>
    <w:rsid w:val="002158FA"/>
    <w:rsid w:val="00220600"/>
    <w:rsid w:val="002224DB"/>
    <w:rsid w:val="00223FCB"/>
    <w:rsid w:val="002252C3"/>
    <w:rsid w:val="002256E3"/>
    <w:rsid w:val="00225C54"/>
    <w:rsid w:val="002263DF"/>
    <w:rsid w:val="00230765"/>
    <w:rsid w:val="00230D18"/>
    <w:rsid w:val="002319E4"/>
    <w:rsid w:val="0023338F"/>
    <w:rsid w:val="00235632"/>
    <w:rsid w:val="00235872"/>
    <w:rsid w:val="00241559"/>
    <w:rsid w:val="002435B3"/>
    <w:rsid w:val="002458EB"/>
    <w:rsid w:val="002500C8"/>
    <w:rsid w:val="00257543"/>
    <w:rsid w:val="002617E7"/>
    <w:rsid w:val="0026343C"/>
    <w:rsid w:val="00264228"/>
    <w:rsid w:val="00264334"/>
    <w:rsid w:val="0026473E"/>
    <w:rsid w:val="00266214"/>
    <w:rsid w:val="00267C83"/>
    <w:rsid w:val="0027100C"/>
    <w:rsid w:val="0027144F"/>
    <w:rsid w:val="00271813"/>
    <w:rsid w:val="00271F3A"/>
    <w:rsid w:val="00272F7E"/>
    <w:rsid w:val="00273278"/>
    <w:rsid w:val="002737F4"/>
    <w:rsid w:val="00274FE5"/>
    <w:rsid w:val="002801E1"/>
    <w:rsid w:val="002805F5"/>
    <w:rsid w:val="00280751"/>
    <w:rsid w:val="0028280A"/>
    <w:rsid w:val="00286ACD"/>
    <w:rsid w:val="00287838"/>
    <w:rsid w:val="002907B5"/>
    <w:rsid w:val="00292EB7"/>
    <w:rsid w:val="00295BA6"/>
    <w:rsid w:val="00296227"/>
    <w:rsid w:val="00296F44"/>
    <w:rsid w:val="0029777D"/>
    <w:rsid w:val="002A055E"/>
    <w:rsid w:val="002A1D4E"/>
    <w:rsid w:val="002A2869"/>
    <w:rsid w:val="002B24D6"/>
    <w:rsid w:val="002B2E54"/>
    <w:rsid w:val="002B6F1F"/>
    <w:rsid w:val="002B7627"/>
    <w:rsid w:val="002C14BD"/>
    <w:rsid w:val="002C41E6"/>
    <w:rsid w:val="002D071A"/>
    <w:rsid w:val="002D34B2"/>
    <w:rsid w:val="002D3C0D"/>
    <w:rsid w:val="002D4118"/>
    <w:rsid w:val="002D48B0"/>
    <w:rsid w:val="002D5B37"/>
    <w:rsid w:val="002D7637"/>
    <w:rsid w:val="002E1349"/>
    <w:rsid w:val="002E17F2"/>
    <w:rsid w:val="002E7CAE"/>
    <w:rsid w:val="002F2771"/>
    <w:rsid w:val="002F37A9"/>
    <w:rsid w:val="002F3FD5"/>
    <w:rsid w:val="00301CE6"/>
    <w:rsid w:val="0030256B"/>
    <w:rsid w:val="00303149"/>
    <w:rsid w:val="003048AE"/>
    <w:rsid w:val="0030501F"/>
    <w:rsid w:val="00305026"/>
    <w:rsid w:val="00307BA1"/>
    <w:rsid w:val="00311702"/>
    <w:rsid w:val="00311E82"/>
    <w:rsid w:val="0031351F"/>
    <w:rsid w:val="00313E12"/>
    <w:rsid w:val="00313FD6"/>
    <w:rsid w:val="003143BD"/>
    <w:rsid w:val="00315363"/>
    <w:rsid w:val="003203ED"/>
    <w:rsid w:val="00322C9F"/>
    <w:rsid w:val="00324D23"/>
    <w:rsid w:val="00331751"/>
    <w:rsid w:val="00333EB6"/>
    <w:rsid w:val="00334579"/>
    <w:rsid w:val="00335858"/>
    <w:rsid w:val="00335E30"/>
    <w:rsid w:val="00336BDA"/>
    <w:rsid w:val="00342BD7"/>
    <w:rsid w:val="003448C6"/>
    <w:rsid w:val="00346DB5"/>
    <w:rsid w:val="00347712"/>
    <w:rsid w:val="003477B1"/>
    <w:rsid w:val="003524F6"/>
    <w:rsid w:val="00357380"/>
    <w:rsid w:val="003602D9"/>
    <w:rsid w:val="003604CE"/>
    <w:rsid w:val="003623B1"/>
    <w:rsid w:val="00370E47"/>
    <w:rsid w:val="00372E27"/>
    <w:rsid w:val="003742AC"/>
    <w:rsid w:val="003752FC"/>
    <w:rsid w:val="00377CE1"/>
    <w:rsid w:val="00382F26"/>
    <w:rsid w:val="003836F2"/>
    <w:rsid w:val="00385785"/>
    <w:rsid w:val="00385BF0"/>
    <w:rsid w:val="003939FF"/>
    <w:rsid w:val="003A2223"/>
    <w:rsid w:val="003A2A0F"/>
    <w:rsid w:val="003A45A1"/>
    <w:rsid w:val="003A5B0A"/>
    <w:rsid w:val="003A6BAC"/>
    <w:rsid w:val="003A70A4"/>
    <w:rsid w:val="003A7EF3"/>
    <w:rsid w:val="003B0D7D"/>
    <w:rsid w:val="003B159C"/>
    <w:rsid w:val="003B369F"/>
    <w:rsid w:val="003B36A3"/>
    <w:rsid w:val="003B64BB"/>
    <w:rsid w:val="003B6FD1"/>
    <w:rsid w:val="003B7FE5"/>
    <w:rsid w:val="003C007D"/>
    <w:rsid w:val="003C11C8"/>
    <w:rsid w:val="003C2702"/>
    <w:rsid w:val="003C3487"/>
    <w:rsid w:val="003C43C6"/>
    <w:rsid w:val="003C6BA0"/>
    <w:rsid w:val="003C7806"/>
    <w:rsid w:val="003C7A67"/>
    <w:rsid w:val="003D0B8C"/>
    <w:rsid w:val="003D109F"/>
    <w:rsid w:val="003D2478"/>
    <w:rsid w:val="003D3C45"/>
    <w:rsid w:val="003D5B1F"/>
    <w:rsid w:val="003E15FA"/>
    <w:rsid w:val="003E22C5"/>
    <w:rsid w:val="003E55E4"/>
    <w:rsid w:val="003E74E3"/>
    <w:rsid w:val="003F05C7"/>
    <w:rsid w:val="003F2CD4"/>
    <w:rsid w:val="003F6BBE"/>
    <w:rsid w:val="004000E8"/>
    <w:rsid w:val="0040106F"/>
    <w:rsid w:val="00402E2B"/>
    <w:rsid w:val="0040512B"/>
    <w:rsid w:val="00405CA5"/>
    <w:rsid w:val="00407CD3"/>
    <w:rsid w:val="00410134"/>
    <w:rsid w:val="00410B72"/>
    <w:rsid w:val="00410F18"/>
    <w:rsid w:val="004111C3"/>
    <w:rsid w:val="0041263E"/>
    <w:rsid w:val="00413AAC"/>
    <w:rsid w:val="00413E92"/>
    <w:rsid w:val="00421105"/>
    <w:rsid w:val="00422AA4"/>
    <w:rsid w:val="004242F4"/>
    <w:rsid w:val="00427248"/>
    <w:rsid w:val="00437447"/>
    <w:rsid w:val="00441A92"/>
    <w:rsid w:val="00442685"/>
    <w:rsid w:val="004431DC"/>
    <w:rsid w:val="004442D7"/>
    <w:rsid w:val="00444F56"/>
    <w:rsid w:val="00446488"/>
    <w:rsid w:val="00450020"/>
    <w:rsid w:val="004517AA"/>
    <w:rsid w:val="00452CAC"/>
    <w:rsid w:val="004533DC"/>
    <w:rsid w:val="00457565"/>
    <w:rsid w:val="00457B71"/>
    <w:rsid w:val="0046006C"/>
    <w:rsid w:val="00461EA1"/>
    <w:rsid w:val="00463323"/>
    <w:rsid w:val="004669E2"/>
    <w:rsid w:val="00467CFE"/>
    <w:rsid w:val="00470C31"/>
    <w:rsid w:val="00471DE0"/>
    <w:rsid w:val="004734D0"/>
    <w:rsid w:val="0047556B"/>
    <w:rsid w:val="0047557E"/>
    <w:rsid w:val="00477768"/>
    <w:rsid w:val="00492BC5"/>
    <w:rsid w:val="004964F1"/>
    <w:rsid w:val="004A16BC"/>
    <w:rsid w:val="004A2B94"/>
    <w:rsid w:val="004B4892"/>
    <w:rsid w:val="004B621A"/>
    <w:rsid w:val="004B6F6A"/>
    <w:rsid w:val="004B7C0C"/>
    <w:rsid w:val="004C3898"/>
    <w:rsid w:val="004D36B1"/>
    <w:rsid w:val="004D7EBD"/>
    <w:rsid w:val="004E2680"/>
    <w:rsid w:val="004E28F9"/>
    <w:rsid w:val="004E462E"/>
    <w:rsid w:val="004E56DC"/>
    <w:rsid w:val="004E5D74"/>
    <w:rsid w:val="004E76F4"/>
    <w:rsid w:val="004F0B4E"/>
    <w:rsid w:val="004F0B6C"/>
    <w:rsid w:val="004F2078"/>
    <w:rsid w:val="004F2CF4"/>
    <w:rsid w:val="004F4DA3"/>
    <w:rsid w:val="004F4FD6"/>
    <w:rsid w:val="004F7B38"/>
    <w:rsid w:val="00504EAE"/>
    <w:rsid w:val="00506557"/>
    <w:rsid w:val="0050677A"/>
    <w:rsid w:val="005108D8"/>
    <w:rsid w:val="005116F9"/>
    <w:rsid w:val="005153A7"/>
    <w:rsid w:val="005219CF"/>
    <w:rsid w:val="00530FD5"/>
    <w:rsid w:val="00531C19"/>
    <w:rsid w:val="00534B59"/>
    <w:rsid w:val="00536759"/>
    <w:rsid w:val="00537C62"/>
    <w:rsid w:val="005416DD"/>
    <w:rsid w:val="00546970"/>
    <w:rsid w:val="00554E19"/>
    <w:rsid w:val="0056121F"/>
    <w:rsid w:val="00564BC3"/>
    <w:rsid w:val="00572505"/>
    <w:rsid w:val="00582809"/>
    <w:rsid w:val="0058798C"/>
    <w:rsid w:val="005900FA"/>
    <w:rsid w:val="00590847"/>
    <w:rsid w:val="00593081"/>
    <w:rsid w:val="005935A4"/>
    <w:rsid w:val="005948C2"/>
    <w:rsid w:val="00595DCA"/>
    <w:rsid w:val="0059779B"/>
    <w:rsid w:val="005A06CE"/>
    <w:rsid w:val="005A209A"/>
    <w:rsid w:val="005A240F"/>
    <w:rsid w:val="005A662D"/>
    <w:rsid w:val="005B0589"/>
    <w:rsid w:val="005B1409"/>
    <w:rsid w:val="005B35D7"/>
    <w:rsid w:val="005B392A"/>
    <w:rsid w:val="005B3AA3"/>
    <w:rsid w:val="005B41F1"/>
    <w:rsid w:val="005B6F83"/>
    <w:rsid w:val="005C74FB"/>
    <w:rsid w:val="005C7B25"/>
    <w:rsid w:val="005D1602"/>
    <w:rsid w:val="005E3220"/>
    <w:rsid w:val="005E33E9"/>
    <w:rsid w:val="005E385F"/>
    <w:rsid w:val="005E3B24"/>
    <w:rsid w:val="005E5B81"/>
    <w:rsid w:val="005F04D3"/>
    <w:rsid w:val="005F088A"/>
    <w:rsid w:val="005F2CB1"/>
    <w:rsid w:val="005F3025"/>
    <w:rsid w:val="005F618C"/>
    <w:rsid w:val="005F70BD"/>
    <w:rsid w:val="0060283C"/>
    <w:rsid w:val="0060351E"/>
    <w:rsid w:val="00604848"/>
    <w:rsid w:val="00604F14"/>
    <w:rsid w:val="00611B83"/>
    <w:rsid w:val="00613257"/>
    <w:rsid w:val="006167ED"/>
    <w:rsid w:val="00620A71"/>
    <w:rsid w:val="00620D80"/>
    <w:rsid w:val="006234A6"/>
    <w:rsid w:val="00630001"/>
    <w:rsid w:val="006302E2"/>
    <w:rsid w:val="006311B3"/>
    <w:rsid w:val="0063284C"/>
    <w:rsid w:val="006349EB"/>
    <w:rsid w:val="00636398"/>
    <w:rsid w:val="006368D3"/>
    <w:rsid w:val="006377EC"/>
    <w:rsid w:val="0064151F"/>
    <w:rsid w:val="00641533"/>
    <w:rsid w:val="0064208D"/>
    <w:rsid w:val="00643475"/>
    <w:rsid w:val="0064396A"/>
    <w:rsid w:val="0064624E"/>
    <w:rsid w:val="006466A5"/>
    <w:rsid w:val="00650AB9"/>
    <w:rsid w:val="00651073"/>
    <w:rsid w:val="00655733"/>
    <w:rsid w:val="00655ACD"/>
    <w:rsid w:val="00656A92"/>
    <w:rsid w:val="00656DDE"/>
    <w:rsid w:val="0066011D"/>
    <w:rsid w:val="006607C0"/>
    <w:rsid w:val="006613A6"/>
    <w:rsid w:val="00662586"/>
    <w:rsid w:val="006627A2"/>
    <w:rsid w:val="006633E1"/>
    <w:rsid w:val="006634E6"/>
    <w:rsid w:val="006655EE"/>
    <w:rsid w:val="00667EE7"/>
    <w:rsid w:val="00670922"/>
    <w:rsid w:val="00670BE1"/>
    <w:rsid w:val="00670DDA"/>
    <w:rsid w:val="0067218F"/>
    <w:rsid w:val="006741F2"/>
    <w:rsid w:val="00674CC3"/>
    <w:rsid w:val="00675C72"/>
    <w:rsid w:val="006771F9"/>
    <w:rsid w:val="006776D7"/>
    <w:rsid w:val="00681003"/>
    <w:rsid w:val="006817C9"/>
    <w:rsid w:val="00683ECE"/>
    <w:rsid w:val="00690821"/>
    <w:rsid w:val="006917FB"/>
    <w:rsid w:val="00694A9F"/>
    <w:rsid w:val="00695FC2"/>
    <w:rsid w:val="00696949"/>
    <w:rsid w:val="00697052"/>
    <w:rsid w:val="00697876"/>
    <w:rsid w:val="00697EBC"/>
    <w:rsid w:val="006A46FB"/>
    <w:rsid w:val="006A5E28"/>
    <w:rsid w:val="006A697B"/>
    <w:rsid w:val="006A776B"/>
    <w:rsid w:val="006A7AFF"/>
    <w:rsid w:val="006B1816"/>
    <w:rsid w:val="006B198B"/>
    <w:rsid w:val="006B2099"/>
    <w:rsid w:val="006B50CF"/>
    <w:rsid w:val="006C03B8"/>
    <w:rsid w:val="006C5152"/>
    <w:rsid w:val="006C5AE5"/>
    <w:rsid w:val="006C5EC9"/>
    <w:rsid w:val="006C6059"/>
    <w:rsid w:val="006C7522"/>
    <w:rsid w:val="006D0F2A"/>
    <w:rsid w:val="006D6F08"/>
    <w:rsid w:val="006D79A7"/>
    <w:rsid w:val="006E062C"/>
    <w:rsid w:val="006E15EB"/>
    <w:rsid w:val="006E1C82"/>
    <w:rsid w:val="006E229F"/>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BF3"/>
    <w:rsid w:val="00723348"/>
    <w:rsid w:val="00723BDE"/>
    <w:rsid w:val="007257D0"/>
    <w:rsid w:val="00726EA6"/>
    <w:rsid w:val="00727208"/>
    <w:rsid w:val="00727680"/>
    <w:rsid w:val="007311FE"/>
    <w:rsid w:val="007348B1"/>
    <w:rsid w:val="007362A6"/>
    <w:rsid w:val="00736D7D"/>
    <w:rsid w:val="00740E58"/>
    <w:rsid w:val="00744270"/>
    <w:rsid w:val="007445A0"/>
    <w:rsid w:val="00745140"/>
    <w:rsid w:val="0074524B"/>
    <w:rsid w:val="00747D8B"/>
    <w:rsid w:val="00751182"/>
    <w:rsid w:val="00751228"/>
    <w:rsid w:val="007571E1"/>
    <w:rsid w:val="007604B2"/>
    <w:rsid w:val="00765281"/>
    <w:rsid w:val="00766BAD"/>
    <w:rsid w:val="007729A2"/>
    <w:rsid w:val="00773A4B"/>
    <w:rsid w:val="007755F2"/>
    <w:rsid w:val="00776971"/>
    <w:rsid w:val="007800DC"/>
    <w:rsid w:val="00780A80"/>
    <w:rsid w:val="0078177E"/>
    <w:rsid w:val="0078304C"/>
    <w:rsid w:val="00783673"/>
    <w:rsid w:val="00785490"/>
    <w:rsid w:val="007861EB"/>
    <w:rsid w:val="007925EA"/>
    <w:rsid w:val="00793CD8"/>
    <w:rsid w:val="00795C92"/>
    <w:rsid w:val="00796231"/>
    <w:rsid w:val="00797B27"/>
    <w:rsid w:val="007A1CB3"/>
    <w:rsid w:val="007A306F"/>
    <w:rsid w:val="007A43A6"/>
    <w:rsid w:val="007A58A6"/>
    <w:rsid w:val="007A6B63"/>
    <w:rsid w:val="007B08F6"/>
    <w:rsid w:val="007B3D2D"/>
    <w:rsid w:val="007B50AE"/>
    <w:rsid w:val="007B51DF"/>
    <w:rsid w:val="007B7A4F"/>
    <w:rsid w:val="007B7EB2"/>
    <w:rsid w:val="007C05DD"/>
    <w:rsid w:val="007C0F35"/>
    <w:rsid w:val="007C3D18"/>
    <w:rsid w:val="007C4844"/>
    <w:rsid w:val="007C60BF"/>
    <w:rsid w:val="007C619A"/>
    <w:rsid w:val="007C6A07"/>
    <w:rsid w:val="007C75A1"/>
    <w:rsid w:val="007C77A5"/>
    <w:rsid w:val="007D04E5"/>
    <w:rsid w:val="007D18F8"/>
    <w:rsid w:val="007D5736"/>
    <w:rsid w:val="007D5901"/>
    <w:rsid w:val="007D7526"/>
    <w:rsid w:val="007E4610"/>
    <w:rsid w:val="007E4715"/>
    <w:rsid w:val="007E505B"/>
    <w:rsid w:val="007E7091"/>
    <w:rsid w:val="007F637A"/>
    <w:rsid w:val="007F7B75"/>
    <w:rsid w:val="00803FAE"/>
    <w:rsid w:val="0080605F"/>
    <w:rsid w:val="00807786"/>
    <w:rsid w:val="00810E66"/>
    <w:rsid w:val="00811FCB"/>
    <w:rsid w:val="00813E86"/>
    <w:rsid w:val="008158D6"/>
    <w:rsid w:val="00817196"/>
    <w:rsid w:val="008235DB"/>
    <w:rsid w:val="00824AB4"/>
    <w:rsid w:val="00825C42"/>
    <w:rsid w:val="00825D25"/>
    <w:rsid w:val="00827D6F"/>
    <w:rsid w:val="008376AC"/>
    <w:rsid w:val="00837E70"/>
    <w:rsid w:val="008444E8"/>
    <w:rsid w:val="00844E80"/>
    <w:rsid w:val="00846FE7"/>
    <w:rsid w:val="0085512A"/>
    <w:rsid w:val="00856911"/>
    <w:rsid w:val="00863A5E"/>
    <w:rsid w:val="008677FD"/>
    <w:rsid w:val="008705F6"/>
    <w:rsid w:val="008706D4"/>
    <w:rsid w:val="00870F8A"/>
    <w:rsid w:val="008719A4"/>
    <w:rsid w:val="00871D23"/>
    <w:rsid w:val="00874312"/>
    <w:rsid w:val="0087437C"/>
    <w:rsid w:val="008749E7"/>
    <w:rsid w:val="00875CD7"/>
    <w:rsid w:val="00876349"/>
    <w:rsid w:val="00876B4D"/>
    <w:rsid w:val="00877B6F"/>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00A"/>
    <w:rsid w:val="008F33DC"/>
    <w:rsid w:val="008F477F"/>
    <w:rsid w:val="008F652C"/>
    <w:rsid w:val="008F6AB2"/>
    <w:rsid w:val="00900302"/>
    <w:rsid w:val="00902350"/>
    <w:rsid w:val="0090336B"/>
    <w:rsid w:val="009040EE"/>
    <w:rsid w:val="009053AA"/>
    <w:rsid w:val="00906939"/>
    <w:rsid w:val="00910B7D"/>
    <w:rsid w:val="00911DFB"/>
    <w:rsid w:val="009139D9"/>
    <w:rsid w:val="00914AD8"/>
    <w:rsid w:val="00916079"/>
    <w:rsid w:val="00917CE9"/>
    <w:rsid w:val="00920BF2"/>
    <w:rsid w:val="00922010"/>
    <w:rsid w:val="00922154"/>
    <w:rsid w:val="00931BD9"/>
    <w:rsid w:val="00935F86"/>
    <w:rsid w:val="009368F3"/>
    <w:rsid w:val="00937364"/>
    <w:rsid w:val="00941636"/>
    <w:rsid w:val="00942F81"/>
    <w:rsid w:val="009431E4"/>
    <w:rsid w:val="00943742"/>
    <w:rsid w:val="00945C05"/>
    <w:rsid w:val="00946945"/>
    <w:rsid w:val="00947713"/>
    <w:rsid w:val="00950DE7"/>
    <w:rsid w:val="0095351C"/>
    <w:rsid w:val="00953920"/>
    <w:rsid w:val="00953D47"/>
    <w:rsid w:val="0095681E"/>
    <w:rsid w:val="009572D4"/>
    <w:rsid w:val="00961158"/>
    <w:rsid w:val="00961921"/>
    <w:rsid w:val="0096430A"/>
    <w:rsid w:val="00964A15"/>
    <w:rsid w:val="0096554B"/>
    <w:rsid w:val="0096584A"/>
    <w:rsid w:val="00971F08"/>
    <w:rsid w:val="0097603D"/>
    <w:rsid w:val="00976949"/>
    <w:rsid w:val="00980477"/>
    <w:rsid w:val="0098459E"/>
    <w:rsid w:val="00985253"/>
    <w:rsid w:val="009853B3"/>
    <w:rsid w:val="00986EE2"/>
    <w:rsid w:val="00990630"/>
    <w:rsid w:val="00991761"/>
    <w:rsid w:val="00994DCA"/>
    <w:rsid w:val="00995758"/>
    <w:rsid w:val="009960EC"/>
    <w:rsid w:val="0099654E"/>
    <w:rsid w:val="009970DD"/>
    <w:rsid w:val="009A0FBA"/>
    <w:rsid w:val="009A1601"/>
    <w:rsid w:val="009A39A1"/>
    <w:rsid w:val="009A3BB6"/>
    <w:rsid w:val="009A3CCF"/>
    <w:rsid w:val="009A462D"/>
    <w:rsid w:val="009A5CBA"/>
    <w:rsid w:val="009B1F30"/>
    <w:rsid w:val="009B3AC2"/>
    <w:rsid w:val="009B4DF4"/>
    <w:rsid w:val="009B564E"/>
    <w:rsid w:val="009B7E87"/>
    <w:rsid w:val="009C0169"/>
    <w:rsid w:val="009C403E"/>
    <w:rsid w:val="009D0251"/>
    <w:rsid w:val="009D3986"/>
    <w:rsid w:val="009D4FF0"/>
    <w:rsid w:val="009D703C"/>
    <w:rsid w:val="009D718F"/>
    <w:rsid w:val="009E068F"/>
    <w:rsid w:val="009E14E0"/>
    <w:rsid w:val="009E18AF"/>
    <w:rsid w:val="009E35DB"/>
    <w:rsid w:val="009E47A3"/>
    <w:rsid w:val="009E58E4"/>
    <w:rsid w:val="009E598E"/>
    <w:rsid w:val="009F0779"/>
    <w:rsid w:val="009F08F3"/>
    <w:rsid w:val="009F1360"/>
    <w:rsid w:val="009F344F"/>
    <w:rsid w:val="00A031D8"/>
    <w:rsid w:val="00A048A8"/>
    <w:rsid w:val="00A04F49"/>
    <w:rsid w:val="00A13E54"/>
    <w:rsid w:val="00A158D5"/>
    <w:rsid w:val="00A17F63"/>
    <w:rsid w:val="00A21323"/>
    <w:rsid w:val="00A216EB"/>
    <w:rsid w:val="00A2193B"/>
    <w:rsid w:val="00A21C3E"/>
    <w:rsid w:val="00A2351A"/>
    <w:rsid w:val="00A264A9"/>
    <w:rsid w:val="00A26DCF"/>
    <w:rsid w:val="00A27785"/>
    <w:rsid w:val="00A30187"/>
    <w:rsid w:val="00A3448A"/>
    <w:rsid w:val="00A36297"/>
    <w:rsid w:val="00A41E2B"/>
    <w:rsid w:val="00A45B74"/>
    <w:rsid w:val="00A46D9B"/>
    <w:rsid w:val="00A52E1D"/>
    <w:rsid w:val="00A56AD4"/>
    <w:rsid w:val="00A56D68"/>
    <w:rsid w:val="00A60814"/>
    <w:rsid w:val="00A61499"/>
    <w:rsid w:val="00A62A77"/>
    <w:rsid w:val="00A63483"/>
    <w:rsid w:val="00A657D7"/>
    <w:rsid w:val="00A660AC"/>
    <w:rsid w:val="00A6689A"/>
    <w:rsid w:val="00A67E6C"/>
    <w:rsid w:val="00A71B99"/>
    <w:rsid w:val="00A72EC2"/>
    <w:rsid w:val="00A739D0"/>
    <w:rsid w:val="00A761D4"/>
    <w:rsid w:val="00A77EC4"/>
    <w:rsid w:val="00A81818"/>
    <w:rsid w:val="00A918B5"/>
    <w:rsid w:val="00A91D64"/>
    <w:rsid w:val="00A92879"/>
    <w:rsid w:val="00A92B03"/>
    <w:rsid w:val="00A9442A"/>
    <w:rsid w:val="00A95E67"/>
    <w:rsid w:val="00AA016F"/>
    <w:rsid w:val="00AA1ED6"/>
    <w:rsid w:val="00AA43DD"/>
    <w:rsid w:val="00AA51D6"/>
    <w:rsid w:val="00AA5D36"/>
    <w:rsid w:val="00AB0BC8"/>
    <w:rsid w:val="00AB11CA"/>
    <w:rsid w:val="00AB14D8"/>
    <w:rsid w:val="00AB14D9"/>
    <w:rsid w:val="00AB2493"/>
    <w:rsid w:val="00AB4372"/>
    <w:rsid w:val="00AB4AB8"/>
    <w:rsid w:val="00AB5B6D"/>
    <w:rsid w:val="00AB655E"/>
    <w:rsid w:val="00AB731D"/>
    <w:rsid w:val="00AC007F"/>
    <w:rsid w:val="00AC14AD"/>
    <w:rsid w:val="00AC2ECD"/>
    <w:rsid w:val="00AC3119"/>
    <w:rsid w:val="00AC4852"/>
    <w:rsid w:val="00AC49FB"/>
    <w:rsid w:val="00AC5A10"/>
    <w:rsid w:val="00AC7D49"/>
    <w:rsid w:val="00AD0AA3"/>
    <w:rsid w:val="00AD2ED0"/>
    <w:rsid w:val="00AD2ED5"/>
    <w:rsid w:val="00AD3F94"/>
    <w:rsid w:val="00AD3FE3"/>
    <w:rsid w:val="00AD43FB"/>
    <w:rsid w:val="00AD4A5A"/>
    <w:rsid w:val="00AE27AC"/>
    <w:rsid w:val="00AE40E0"/>
    <w:rsid w:val="00AE4DBA"/>
    <w:rsid w:val="00AE4F07"/>
    <w:rsid w:val="00AE5C8C"/>
    <w:rsid w:val="00AE60EC"/>
    <w:rsid w:val="00AF1C5D"/>
    <w:rsid w:val="00AF42D7"/>
    <w:rsid w:val="00B00159"/>
    <w:rsid w:val="00B006FE"/>
    <w:rsid w:val="00B007CB"/>
    <w:rsid w:val="00B02AA9"/>
    <w:rsid w:val="00B02FA3"/>
    <w:rsid w:val="00B041DD"/>
    <w:rsid w:val="00B04628"/>
    <w:rsid w:val="00B05084"/>
    <w:rsid w:val="00B1268A"/>
    <w:rsid w:val="00B12997"/>
    <w:rsid w:val="00B157F9"/>
    <w:rsid w:val="00B20256"/>
    <w:rsid w:val="00B20D09"/>
    <w:rsid w:val="00B2763F"/>
    <w:rsid w:val="00B27AAC"/>
    <w:rsid w:val="00B30929"/>
    <w:rsid w:val="00B342D0"/>
    <w:rsid w:val="00B372AA"/>
    <w:rsid w:val="00B40081"/>
    <w:rsid w:val="00B40445"/>
    <w:rsid w:val="00B409E0"/>
    <w:rsid w:val="00B412EB"/>
    <w:rsid w:val="00B41888"/>
    <w:rsid w:val="00B41DE5"/>
    <w:rsid w:val="00B41ED3"/>
    <w:rsid w:val="00B43958"/>
    <w:rsid w:val="00B45A52"/>
    <w:rsid w:val="00B46175"/>
    <w:rsid w:val="00B509B4"/>
    <w:rsid w:val="00B548B7"/>
    <w:rsid w:val="00B56AA5"/>
    <w:rsid w:val="00B61DD3"/>
    <w:rsid w:val="00B664C7"/>
    <w:rsid w:val="00B66B6E"/>
    <w:rsid w:val="00B739F6"/>
    <w:rsid w:val="00B74EBA"/>
    <w:rsid w:val="00B81A6C"/>
    <w:rsid w:val="00B82D26"/>
    <w:rsid w:val="00B85DE5"/>
    <w:rsid w:val="00B8750A"/>
    <w:rsid w:val="00B90F73"/>
    <w:rsid w:val="00B93B59"/>
    <w:rsid w:val="00B93CCD"/>
    <w:rsid w:val="00B9406A"/>
    <w:rsid w:val="00BA2280"/>
    <w:rsid w:val="00BA2A08"/>
    <w:rsid w:val="00BA445D"/>
    <w:rsid w:val="00BA56D2"/>
    <w:rsid w:val="00BA6E5F"/>
    <w:rsid w:val="00BA76E0"/>
    <w:rsid w:val="00BB0390"/>
    <w:rsid w:val="00BB2A25"/>
    <w:rsid w:val="00BB51E9"/>
    <w:rsid w:val="00BB5E3F"/>
    <w:rsid w:val="00BB5F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7DD"/>
    <w:rsid w:val="00C14D4B"/>
    <w:rsid w:val="00C154BB"/>
    <w:rsid w:val="00C169DA"/>
    <w:rsid w:val="00C24A7B"/>
    <w:rsid w:val="00C2682C"/>
    <w:rsid w:val="00C279B5"/>
    <w:rsid w:val="00C27C45"/>
    <w:rsid w:val="00C3719D"/>
    <w:rsid w:val="00C37CB2"/>
    <w:rsid w:val="00C37F70"/>
    <w:rsid w:val="00C405AB"/>
    <w:rsid w:val="00C417E1"/>
    <w:rsid w:val="00C464AA"/>
    <w:rsid w:val="00C473A5"/>
    <w:rsid w:val="00C47A26"/>
    <w:rsid w:val="00C52930"/>
    <w:rsid w:val="00C54995"/>
    <w:rsid w:val="00C54D41"/>
    <w:rsid w:val="00C60783"/>
    <w:rsid w:val="00C64672"/>
    <w:rsid w:val="00C67C90"/>
    <w:rsid w:val="00C70697"/>
    <w:rsid w:val="00C72093"/>
    <w:rsid w:val="00C72EF4"/>
    <w:rsid w:val="00C744FE"/>
    <w:rsid w:val="00C74CE7"/>
    <w:rsid w:val="00C75D2F"/>
    <w:rsid w:val="00C767BE"/>
    <w:rsid w:val="00C76E3C"/>
    <w:rsid w:val="00C77218"/>
    <w:rsid w:val="00C8077E"/>
    <w:rsid w:val="00C81568"/>
    <w:rsid w:val="00C86030"/>
    <w:rsid w:val="00C873A7"/>
    <w:rsid w:val="00C87BEE"/>
    <w:rsid w:val="00C9027A"/>
    <w:rsid w:val="00C9068E"/>
    <w:rsid w:val="00C93814"/>
    <w:rsid w:val="00C93C4B"/>
    <w:rsid w:val="00C93F1E"/>
    <w:rsid w:val="00C944AB"/>
    <w:rsid w:val="00C95B40"/>
    <w:rsid w:val="00CA03EB"/>
    <w:rsid w:val="00CA1703"/>
    <w:rsid w:val="00CA1A04"/>
    <w:rsid w:val="00CA1ED8"/>
    <w:rsid w:val="00CA512D"/>
    <w:rsid w:val="00CB1F63"/>
    <w:rsid w:val="00CB5142"/>
    <w:rsid w:val="00CB5E40"/>
    <w:rsid w:val="00CB61F7"/>
    <w:rsid w:val="00CB7170"/>
    <w:rsid w:val="00CC040E"/>
    <w:rsid w:val="00CC111F"/>
    <w:rsid w:val="00CC1959"/>
    <w:rsid w:val="00CC2011"/>
    <w:rsid w:val="00CC3B29"/>
    <w:rsid w:val="00CC3EA0"/>
    <w:rsid w:val="00CC7B45"/>
    <w:rsid w:val="00CD1188"/>
    <w:rsid w:val="00CD2ED1"/>
    <w:rsid w:val="00CD337B"/>
    <w:rsid w:val="00CD5A48"/>
    <w:rsid w:val="00CE0424"/>
    <w:rsid w:val="00CE179F"/>
    <w:rsid w:val="00CE3997"/>
    <w:rsid w:val="00CE7561"/>
    <w:rsid w:val="00CF1354"/>
    <w:rsid w:val="00CF3B1F"/>
    <w:rsid w:val="00CF3BF6"/>
    <w:rsid w:val="00CF3DB1"/>
    <w:rsid w:val="00CF596F"/>
    <w:rsid w:val="00CF625B"/>
    <w:rsid w:val="00CF687E"/>
    <w:rsid w:val="00D0349B"/>
    <w:rsid w:val="00D056D0"/>
    <w:rsid w:val="00D10249"/>
    <w:rsid w:val="00D115C3"/>
    <w:rsid w:val="00D11897"/>
    <w:rsid w:val="00D13135"/>
    <w:rsid w:val="00D13E4E"/>
    <w:rsid w:val="00D165E7"/>
    <w:rsid w:val="00D239A7"/>
    <w:rsid w:val="00D23F47"/>
    <w:rsid w:val="00D24F79"/>
    <w:rsid w:val="00D36E71"/>
    <w:rsid w:val="00D37D87"/>
    <w:rsid w:val="00D404F1"/>
    <w:rsid w:val="00D40B33"/>
    <w:rsid w:val="00D41AA9"/>
    <w:rsid w:val="00D4318F"/>
    <w:rsid w:val="00D438BF"/>
    <w:rsid w:val="00D440F8"/>
    <w:rsid w:val="00D4520A"/>
    <w:rsid w:val="00D50B47"/>
    <w:rsid w:val="00D5391C"/>
    <w:rsid w:val="00D54462"/>
    <w:rsid w:val="00D546FF"/>
    <w:rsid w:val="00D55AD5"/>
    <w:rsid w:val="00D576CA"/>
    <w:rsid w:val="00D61AF5"/>
    <w:rsid w:val="00D652B5"/>
    <w:rsid w:val="00D66155"/>
    <w:rsid w:val="00D676AC"/>
    <w:rsid w:val="00D70689"/>
    <w:rsid w:val="00D708B0"/>
    <w:rsid w:val="00D77B1D"/>
    <w:rsid w:val="00D8021F"/>
    <w:rsid w:val="00D80383"/>
    <w:rsid w:val="00D823C6"/>
    <w:rsid w:val="00D8327F"/>
    <w:rsid w:val="00D86CA3"/>
    <w:rsid w:val="00D871CE"/>
    <w:rsid w:val="00D9196D"/>
    <w:rsid w:val="00D92982"/>
    <w:rsid w:val="00DA305E"/>
    <w:rsid w:val="00DA3F01"/>
    <w:rsid w:val="00DA5417"/>
    <w:rsid w:val="00DA549C"/>
    <w:rsid w:val="00DA56E8"/>
    <w:rsid w:val="00DA69F4"/>
    <w:rsid w:val="00DB0A9F"/>
    <w:rsid w:val="00DB377D"/>
    <w:rsid w:val="00DC2D36"/>
    <w:rsid w:val="00DC53EF"/>
    <w:rsid w:val="00DC71C8"/>
    <w:rsid w:val="00DD19EC"/>
    <w:rsid w:val="00DD2FF1"/>
    <w:rsid w:val="00DE1132"/>
    <w:rsid w:val="00DE5608"/>
    <w:rsid w:val="00DE58D0"/>
    <w:rsid w:val="00DE654F"/>
    <w:rsid w:val="00DE6862"/>
    <w:rsid w:val="00DF0B6E"/>
    <w:rsid w:val="00DF15E0"/>
    <w:rsid w:val="00DF37A0"/>
    <w:rsid w:val="00DF7AAF"/>
    <w:rsid w:val="00E00588"/>
    <w:rsid w:val="00E029CE"/>
    <w:rsid w:val="00E061CB"/>
    <w:rsid w:val="00E07B58"/>
    <w:rsid w:val="00E110E7"/>
    <w:rsid w:val="00E11B20"/>
    <w:rsid w:val="00E17FA2"/>
    <w:rsid w:val="00E22330"/>
    <w:rsid w:val="00E3041E"/>
    <w:rsid w:val="00E30B5A"/>
    <w:rsid w:val="00E3123D"/>
    <w:rsid w:val="00E31461"/>
    <w:rsid w:val="00E31D43"/>
    <w:rsid w:val="00E32608"/>
    <w:rsid w:val="00E34188"/>
    <w:rsid w:val="00E34B6E"/>
    <w:rsid w:val="00E35559"/>
    <w:rsid w:val="00E3723A"/>
    <w:rsid w:val="00E37860"/>
    <w:rsid w:val="00E413DF"/>
    <w:rsid w:val="00E422AA"/>
    <w:rsid w:val="00E446F1"/>
    <w:rsid w:val="00E464AF"/>
    <w:rsid w:val="00E46886"/>
    <w:rsid w:val="00E47AEF"/>
    <w:rsid w:val="00E53B75"/>
    <w:rsid w:val="00E54E3B"/>
    <w:rsid w:val="00E57565"/>
    <w:rsid w:val="00E63838"/>
    <w:rsid w:val="00E64434"/>
    <w:rsid w:val="00E67C51"/>
    <w:rsid w:val="00E72EFC"/>
    <w:rsid w:val="00E738A1"/>
    <w:rsid w:val="00E758EC"/>
    <w:rsid w:val="00E8205F"/>
    <w:rsid w:val="00E8234C"/>
    <w:rsid w:val="00E83AA9"/>
    <w:rsid w:val="00E85600"/>
    <w:rsid w:val="00E8580E"/>
    <w:rsid w:val="00E85928"/>
    <w:rsid w:val="00E87822"/>
    <w:rsid w:val="00E90395"/>
    <w:rsid w:val="00E90E49"/>
    <w:rsid w:val="00E91742"/>
    <w:rsid w:val="00E917F9"/>
    <w:rsid w:val="00E9291C"/>
    <w:rsid w:val="00E93FFE"/>
    <w:rsid w:val="00E94F8A"/>
    <w:rsid w:val="00EA0473"/>
    <w:rsid w:val="00EA5F9D"/>
    <w:rsid w:val="00EA7A41"/>
    <w:rsid w:val="00EB077B"/>
    <w:rsid w:val="00EB2ADC"/>
    <w:rsid w:val="00EB331D"/>
    <w:rsid w:val="00EB388E"/>
    <w:rsid w:val="00EB4EA2"/>
    <w:rsid w:val="00EC1D6E"/>
    <w:rsid w:val="00EC24D5"/>
    <w:rsid w:val="00EC27C6"/>
    <w:rsid w:val="00EC3B6F"/>
    <w:rsid w:val="00EC4207"/>
    <w:rsid w:val="00EC5653"/>
    <w:rsid w:val="00EC71CE"/>
    <w:rsid w:val="00ED1006"/>
    <w:rsid w:val="00ED4744"/>
    <w:rsid w:val="00EF18FE"/>
    <w:rsid w:val="00EF5787"/>
    <w:rsid w:val="00EF60D0"/>
    <w:rsid w:val="00F0528D"/>
    <w:rsid w:val="00F06C67"/>
    <w:rsid w:val="00F06DFD"/>
    <w:rsid w:val="00F071D1"/>
    <w:rsid w:val="00F07533"/>
    <w:rsid w:val="00F10629"/>
    <w:rsid w:val="00F15FA5"/>
    <w:rsid w:val="00F209B7"/>
    <w:rsid w:val="00F2376F"/>
    <w:rsid w:val="00F243D8"/>
    <w:rsid w:val="00F27C4E"/>
    <w:rsid w:val="00F30828"/>
    <w:rsid w:val="00F30DD6"/>
    <w:rsid w:val="00F313D6"/>
    <w:rsid w:val="00F33D50"/>
    <w:rsid w:val="00F37BC5"/>
    <w:rsid w:val="00F40F0C"/>
    <w:rsid w:val="00F44C12"/>
    <w:rsid w:val="00F4766C"/>
    <w:rsid w:val="00F5060E"/>
    <w:rsid w:val="00F507D1"/>
    <w:rsid w:val="00F519CE"/>
    <w:rsid w:val="00F51ADA"/>
    <w:rsid w:val="00F54278"/>
    <w:rsid w:val="00F60203"/>
    <w:rsid w:val="00F607C5"/>
    <w:rsid w:val="00F60DEA"/>
    <w:rsid w:val="00F6302A"/>
    <w:rsid w:val="00F63950"/>
    <w:rsid w:val="00F63EFF"/>
    <w:rsid w:val="00F64705"/>
    <w:rsid w:val="00F64C2B"/>
    <w:rsid w:val="00F651BE"/>
    <w:rsid w:val="00F676AC"/>
    <w:rsid w:val="00F67F53"/>
    <w:rsid w:val="00F703BE"/>
    <w:rsid w:val="00F71F69"/>
    <w:rsid w:val="00F72B72"/>
    <w:rsid w:val="00F74BB9"/>
    <w:rsid w:val="00F74F76"/>
    <w:rsid w:val="00F75582"/>
    <w:rsid w:val="00F76EFA"/>
    <w:rsid w:val="00F77BBD"/>
    <w:rsid w:val="00F804BE"/>
    <w:rsid w:val="00F812E2"/>
    <w:rsid w:val="00F817CE"/>
    <w:rsid w:val="00F8446A"/>
    <w:rsid w:val="00F8456C"/>
    <w:rsid w:val="00F859D8"/>
    <w:rsid w:val="00F868F5"/>
    <w:rsid w:val="00F86C84"/>
    <w:rsid w:val="00F9056A"/>
    <w:rsid w:val="00F90E38"/>
    <w:rsid w:val="00F90F8D"/>
    <w:rsid w:val="00F92782"/>
    <w:rsid w:val="00F93AA9"/>
    <w:rsid w:val="00F96985"/>
    <w:rsid w:val="00F97838"/>
    <w:rsid w:val="00FA0631"/>
    <w:rsid w:val="00FA1D0C"/>
    <w:rsid w:val="00FA2787"/>
    <w:rsid w:val="00FA2BB3"/>
    <w:rsid w:val="00FA5B81"/>
    <w:rsid w:val="00FA761F"/>
    <w:rsid w:val="00FB4C80"/>
    <w:rsid w:val="00FB6A6A"/>
    <w:rsid w:val="00FC7429"/>
    <w:rsid w:val="00FD07F6"/>
    <w:rsid w:val="00FD1EC8"/>
    <w:rsid w:val="00FD2B99"/>
    <w:rsid w:val="00FD3120"/>
    <w:rsid w:val="00FD3DDC"/>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C8581"/>
  <w15:chartTrackingRefBased/>
  <w15:docId w15:val="{4171312B-E005-4050-8CA1-838B52E80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05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3C3487"/>
    <w:rPr>
      <w:color w:val="808080"/>
      <w:shd w:val="clear" w:color="auto" w:fill="E6E6E6"/>
    </w:rPr>
  </w:style>
  <w:style w:type="character" w:styleId="PlaceholderText">
    <w:name w:val="Placeholder Text"/>
    <w:basedOn w:val="DefaultParagraphFont"/>
    <w:uiPriority w:val="99"/>
    <w:semiHidden/>
    <w:rsid w:val="002E1349"/>
    <w:rPr>
      <w:color w:val="808080"/>
    </w:rPr>
  </w:style>
  <w:style w:type="paragraph" w:customStyle="1" w:styleId="textintend2">
    <w:name w:val="text intend 2"/>
    <w:basedOn w:val="Normal"/>
    <w:rsid w:val="00A158D5"/>
    <w:pPr>
      <w:numPr>
        <w:numId w:val="25"/>
      </w:numPr>
      <w:spacing w:after="120"/>
      <w:jc w:val="both"/>
    </w:pPr>
    <w:rPr>
      <w:rFonts w:eastAsia="MS Mincho"/>
      <w:sz w:val="24"/>
      <w:lang w:val="en-US" w:eastAsia="en-US"/>
    </w:rPr>
  </w:style>
  <w:style w:type="character" w:customStyle="1" w:styleId="B10">
    <w:name w:val="B1 (文字)"/>
    <w:uiPriority w:val="99"/>
    <w:locked/>
    <w:rsid w:val="00593081"/>
    <w:rPr>
      <w:rFonts w:ascii="Times New Roman" w:eastAsia="Times New Roman" w:hAnsi="Times New Roman" w:cs="Times New Roman"/>
      <w:sz w:val="20"/>
      <w:szCs w:val="20"/>
      <w:lang w:val="en-GB"/>
    </w:rPr>
  </w:style>
  <w:style w:type="paragraph" w:customStyle="1" w:styleId="LGTdoc1">
    <w:name w:val="LGTdoc_제목1"/>
    <w:basedOn w:val="Normal"/>
    <w:rsid w:val="00FA0631"/>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Heading1Char1">
    <w:name w:val="Heading 1 Char1"/>
    <w:rsid w:val="00F54278"/>
    <w:rPr>
      <w:rFonts w:ascii="Arial" w:hAnsi="Arial"/>
      <w:sz w:val="36"/>
      <w:lang w:val="en-GB" w:eastAsia="en-US"/>
    </w:rPr>
  </w:style>
  <w:style w:type="paragraph" w:styleId="NoSpacing">
    <w:name w:val="No Spacing"/>
    <w:uiPriority w:val="1"/>
    <w:qFormat/>
    <w:rsid w:val="00662586"/>
    <w:pPr>
      <w:ind w:left="720" w:hanging="360"/>
    </w:pPr>
    <w:rPr>
      <w:rFonts w:ascii="Calibri" w:eastAsia="宋体" w:hAnsi="Calibri"/>
      <w:sz w:val="22"/>
      <w:szCs w:val="22"/>
      <w:lang w:val="en-US" w:eastAsia="zh-CN"/>
    </w:rPr>
  </w:style>
  <w:style w:type="character" w:customStyle="1" w:styleId="TACChar">
    <w:name w:val="TAC Char"/>
    <w:link w:val="TAC"/>
    <w:locked/>
    <w:rsid w:val="0023338F"/>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781896">
      <w:bodyDiv w:val="1"/>
      <w:marLeft w:val="0"/>
      <w:marRight w:val="0"/>
      <w:marTop w:val="0"/>
      <w:marBottom w:val="0"/>
      <w:divBdr>
        <w:top w:val="none" w:sz="0" w:space="0" w:color="auto"/>
        <w:left w:val="none" w:sz="0" w:space="0" w:color="auto"/>
        <w:bottom w:val="none" w:sz="0" w:space="0" w:color="auto"/>
        <w:right w:val="none" w:sz="0" w:space="0" w:color="auto"/>
      </w:divBdr>
    </w:div>
    <w:div w:id="1561162740">
      <w:bodyDiv w:val="1"/>
      <w:marLeft w:val="0"/>
      <w:marRight w:val="0"/>
      <w:marTop w:val="0"/>
      <w:marBottom w:val="0"/>
      <w:divBdr>
        <w:top w:val="none" w:sz="0" w:space="0" w:color="auto"/>
        <w:left w:val="none" w:sz="0" w:space="0" w:color="auto"/>
        <w:bottom w:val="none" w:sz="0" w:space="0" w:color="auto"/>
        <w:right w:val="none" w:sz="0" w:space="0" w:color="auto"/>
      </w:divBdr>
      <w:divsChild>
        <w:div w:id="1008210784">
          <w:marLeft w:val="1210"/>
          <w:marRight w:val="0"/>
          <w:marTop w:val="86"/>
          <w:marBottom w:val="0"/>
          <w:divBdr>
            <w:top w:val="none" w:sz="0" w:space="0" w:color="auto"/>
            <w:left w:val="none" w:sz="0" w:space="0" w:color="auto"/>
            <w:bottom w:val="none" w:sz="0" w:space="0" w:color="auto"/>
            <w:right w:val="none" w:sz="0" w:space="0" w:color="auto"/>
          </w:divBdr>
        </w:div>
        <w:div w:id="2134638925">
          <w:marLeft w:val="1210"/>
          <w:marRight w:val="0"/>
          <w:marTop w:val="86"/>
          <w:marBottom w:val="0"/>
          <w:divBdr>
            <w:top w:val="none" w:sz="0" w:space="0" w:color="auto"/>
            <w:left w:val="none" w:sz="0" w:space="0" w:color="auto"/>
            <w:bottom w:val="none" w:sz="0" w:space="0" w:color="auto"/>
            <w:right w:val="none" w:sz="0" w:space="0" w:color="auto"/>
          </w:divBdr>
        </w:div>
      </w:divsChild>
    </w:div>
    <w:div w:id="196642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weichao\AppData\Local\Microsoft\Windows\Temporary%20Internet%20Files\Docs\R1-190196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eichao\AppData\Local\Microsoft\Windows\Temporary%20Internet%20Files\Docs\R1-190196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eichao\AppData\Local\Microsoft\Windows\Temporary%20Internet%20Files\Docs\R1-19019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Text_Proposal_211_sub-PR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40D24-69EA-4885-B40C-CE714464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Text_Proposal_211_sub-PRB</Template>
  <TotalTime>3819</TotalTime>
  <Pages>4</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weichao@qti.qualcomm.com</dc:creator>
  <cp:keywords>3GPP; Ericsson; TDoc</cp:keywords>
  <dc:description/>
  <cp:lastModifiedBy>Chao Wei</cp:lastModifiedBy>
  <cp:revision>25</cp:revision>
  <cp:lastPrinted>2008-01-31T07:09:00Z</cp:lastPrinted>
  <dcterms:created xsi:type="dcterms:W3CDTF">2018-11-02T04:48:00Z</dcterms:created>
  <dcterms:modified xsi:type="dcterms:W3CDTF">2019-10-04T11:59:00Z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