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97B7D" w14:textId="419CA8CE" w:rsidR="00344CAD" w:rsidRPr="00CF195E" w:rsidRDefault="00344CAD" w:rsidP="00344CA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58BA5C" wp14:editId="42F20010">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0C2E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BB4269">
        <w:rPr>
          <w:b/>
          <w:kern w:val="2"/>
          <w:lang w:eastAsia="zh-CN"/>
        </w:rPr>
        <w:t>5</w:t>
      </w:r>
      <w:r w:rsidRPr="00CF195E">
        <w:rPr>
          <w:b/>
          <w:kern w:val="2"/>
          <w:lang w:eastAsia="zh-CN"/>
        </w:rPr>
        <w:tab/>
        <w:t>R1-1</w:t>
      </w:r>
      <w:r>
        <w:rPr>
          <w:b/>
          <w:kern w:val="2"/>
          <w:lang w:eastAsia="zh-CN"/>
        </w:rPr>
        <w:t>8</w:t>
      </w:r>
      <w:r w:rsidR="005B73A6">
        <w:rPr>
          <w:b/>
          <w:kern w:val="2"/>
          <w:lang w:eastAsia="zh-CN"/>
        </w:rPr>
        <w:t>12185</w:t>
      </w:r>
    </w:p>
    <w:p w14:paraId="2F57B616" w14:textId="77777777" w:rsidR="00BB4269" w:rsidRPr="00CF195E" w:rsidRDefault="00BB4269" w:rsidP="00BB4269">
      <w:pPr>
        <w:jc w:val="left"/>
        <w:rPr>
          <w:b/>
          <w:kern w:val="2"/>
          <w:lang w:eastAsia="zh-CN"/>
        </w:rPr>
      </w:pPr>
      <w:r w:rsidRPr="00BA027D">
        <w:rPr>
          <w:b/>
          <w:kern w:val="2"/>
          <w:lang w:eastAsia="zh-CN"/>
        </w:rPr>
        <w:t>Spokane</w:t>
      </w:r>
      <w:r>
        <w:rPr>
          <w:b/>
          <w:kern w:val="2"/>
          <w:lang w:eastAsia="zh-CN"/>
        </w:rPr>
        <w:t>, USA,</w:t>
      </w:r>
      <w:r w:rsidRPr="00BA027D">
        <w:rPr>
          <w:b/>
          <w:kern w:val="2"/>
          <w:lang w:eastAsia="zh-CN"/>
        </w:rPr>
        <w:t xml:space="preserve"> November 12-16</w:t>
      </w:r>
      <w:r>
        <w:rPr>
          <w:b/>
          <w:kern w:val="2"/>
          <w:lang w:eastAsia="zh-CN"/>
        </w:rPr>
        <w:t>,</w:t>
      </w:r>
      <w:r w:rsidRPr="00BA027D">
        <w:rPr>
          <w:b/>
          <w:kern w:val="2"/>
          <w:lang w:eastAsia="zh-CN"/>
        </w:rPr>
        <w:t xml:space="preserve"> 2018</w:t>
      </w:r>
    </w:p>
    <w:p w14:paraId="1700EDA4" w14:textId="77777777" w:rsidR="009C0564" w:rsidRPr="00CF195E" w:rsidRDefault="009C0564" w:rsidP="00CF195E">
      <w:pPr>
        <w:pBdr>
          <w:top w:val="single" w:sz="4" w:space="1" w:color="auto"/>
        </w:pBdr>
        <w:spacing w:after="0"/>
        <w:jc w:val="left"/>
        <w:rPr>
          <w:b/>
          <w:kern w:val="2"/>
          <w:sz w:val="16"/>
          <w:szCs w:val="16"/>
          <w:lang w:eastAsia="zh-CN"/>
        </w:rPr>
      </w:pPr>
    </w:p>
    <w:p w14:paraId="19A96C0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D1B7A">
        <w:rPr>
          <w:b/>
          <w:kern w:val="2"/>
          <w:lang w:eastAsia="zh-CN"/>
        </w:rPr>
        <w:t>7.1.4</w:t>
      </w:r>
    </w:p>
    <w:p w14:paraId="13A2B61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642F7C5F" w14:textId="643E8AF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D1B7A">
        <w:rPr>
          <w:b/>
          <w:kern w:val="2"/>
          <w:lang w:eastAsia="zh-CN"/>
        </w:rPr>
        <w:t>R</w:t>
      </w:r>
      <w:r w:rsidR="008B289C">
        <w:rPr>
          <w:b/>
          <w:kern w:val="2"/>
          <w:lang w:eastAsia="zh-CN"/>
        </w:rPr>
        <w:t xml:space="preserve">emaining issues </w:t>
      </w:r>
      <w:r w:rsidR="00DD1B7A">
        <w:rPr>
          <w:b/>
          <w:kern w:val="2"/>
          <w:lang w:eastAsia="zh-CN"/>
        </w:rPr>
        <w:t xml:space="preserve">on </w:t>
      </w:r>
      <w:r w:rsidR="00344CAD">
        <w:rPr>
          <w:b/>
          <w:kern w:val="2"/>
          <w:lang w:eastAsia="zh-CN"/>
        </w:rPr>
        <w:t>LTE-NR coexistence</w:t>
      </w:r>
    </w:p>
    <w:p w14:paraId="0CC32C5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687F72B" w14:textId="77777777" w:rsidR="009C0564" w:rsidRPr="00CF195E" w:rsidRDefault="009C0564" w:rsidP="00CF195E">
      <w:pPr>
        <w:pBdr>
          <w:bottom w:val="single" w:sz="4" w:space="1" w:color="auto"/>
        </w:pBdr>
        <w:spacing w:after="0"/>
        <w:jc w:val="left"/>
        <w:rPr>
          <w:b/>
          <w:kern w:val="2"/>
          <w:sz w:val="16"/>
          <w:szCs w:val="16"/>
          <w:lang w:eastAsia="zh-CN"/>
        </w:rPr>
      </w:pPr>
    </w:p>
    <w:p w14:paraId="1921FB00" w14:textId="77777777" w:rsidR="009C0564" w:rsidRPr="00CF195E" w:rsidRDefault="009C0564">
      <w:pPr>
        <w:pStyle w:val="Heading1"/>
      </w:pPr>
      <w:bookmarkStart w:id="0" w:name="_Ref124589705"/>
      <w:bookmarkStart w:id="1" w:name="_Ref129681862"/>
      <w:r w:rsidRPr="00CF195E">
        <w:t>Introduction</w:t>
      </w:r>
      <w:bookmarkEnd w:id="0"/>
      <w:bookmarkEnd w:id="1"/>
    </w:p>
    <w:p w14:paraId="47A6E253" w14:textId="77777777" w:rsidR="008B289C" w:rsidRPr="00594BC7" w:rsidRDefault="008B289C" w:rsidP="008B289C">
      <w:pPr>
        <w:spacing w:afterLines="50"/>
        <w:rPr>
          <w:lang w:eastAsia="zh-CN"/>
        </w:rPr>
      </w:pPr>
      <w:r w:rsidRPr="00594BC7">
        <w:rPr>
          <w:lang w:eastAsia="zh-CN"/>
        </w:rPr>
        <w:t>During March</w:t>
      </w:r>
      <w:r w:rsidRPr="00594BC7">
        <w:t xml:space="preserve"> 201</w:t>
      </w:r>
      <w:r w:rsidRPr="00594BC7">
        <w:rPr>
          <w:lang w:eastAsia="zh-CN"/>
        </w:rPr>
        <w:t>7</w:t>
      </w:r>
      <w:r w:rsidRPr="00594BC7">
        <w:t xml:space="preserve"> RAN plenary meeting,</w:t>
      </w:r>
      <w:r w:rsidRPr="00594BC7">
        <w:rPr>
          <w:lang w:eastAsia="zh-CN"/>
        </w:rPr>
        <w:t xml:space="preserve"> it was agreed to s</w:t>
      </w:r>
      <w:r w:rsidRPr="00594BC7">
        <w:rPr>
          <w:lang w:eastAsia="ja-JP"/>
        </w:rPr>
        <w:t>upport co-existence of LTE UL and NR UL within the bandwidth of an LTE component carrier</w:t>
      </w:r>
      <w:r>
        <w:rPr>
          <w:rFonts w:hint="eastAsia"/>
          <w:lang w:eastAsia="zh-CN"/>
        </w:rPr>
        <w:t>.</w:t>
      </w:r>
      <w:r w:rsidRPr="00594BC7">
        <w:rPr>
          <w:lang w:eastAsia="ja-JP"/>
        </w:rPr>
        <w:t xml:space="preserve"> </w:t>
      </w:r>
      <w:r>
        <w:rPr>
          <w:rFonts w:hint="eastAsia"/>
          <w:lang w:eastAsia="zh-CN"/>
        </w:rPr>
        <w:t>The relevant part in the latest WID</w:t>
      </w:r>
      <w:r w:rsidRPr="00594BC7">
        <w:rPr>
          <w:lang w:eastAsia="ja-JP"/>
        </w:rPr>
        <w:t xml:space="preserve"> [1]</w:t>
      </w:r>
      <w:r>
        <w:rPr>
          <w:rFonts w:hint="eastAsia"/>
          <w:lang w:eastAsia="zh-CN"/>
        </w:rPr>
        <w:t xml:space="preserve"> is copied below</w:t>
      </w:r>
      <w:r w:rsidRPr="00594BC7">
        <w:rPr>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8B289C" w:rsidRPr="00594BC7" w14:paraId="2E5DA5B9" w14:textId="77777777" w:rsidTr="00BF059E">
        <w:trPr>
          <w:trHeight w:val="1142"/>
        </w:trPr>
        <w:tc>
          <w:tcPr>
            <w:tcW w:w="9312" w:type="dxa"/>
            <w:shd w:val="clear" w:color="auto" w:fill="auto"/>
          </w:tcPr>
          <w:p w14:paraId="68457440" w14:textId="77777777" w:rsidR="008B289C" w:rsidRPr="00A04C89" w:rsidRDefault="008B289C" w:rsidP="000D2DFB">
            <w:pPr>
              <w:pStyle w:val="B1"/>
              <w:ind w:left="284"/>
              <w:rPr>
                <w:i/>
                <w:lang w:val="en-US" w:eastAsia="ja-JP"/>
              </w:rPr>
            </w:pPr>
            <w:bookmarkStart w:id="2" w:name="OLE_LINK79"/>
            <w:bookmarkStart w:id="3" w:name="OLE_LINK80"/>
            <w:bookmarkStart w:id="4" w:name="OLE_LINK81"/>
            <w:r w:rsidRPr="00A04C89">
              <w:rPr>
                <w:i/>
                <w:lang w:val="en-US" w:eastAsia="ja-JP"/>
              </w:rPr>
              <w:t>-</w:t>
            </w:r>
            <w:r w:rsidRPr="00A04C89">
              <w:rPr>
                <w:i/>
                <w:lang w:val="en-US" w:eastAsia="ja-JP"/>
              </w:rPr>
              <w:tab/>
              <w:t>NR-LTE co-existence mechanisms [RAN1, RAN2, RAN4];</w:t>
            </w:r>
          </w:p>
          <w:p w14:paraId="4B899CE2" w14:textId="77777777" w:rsidR="008B289C" w:rsidRPr="00A04C89" w:rsidRDefault="008B289C" w:rsidP="000D2DFB">
            <w:pPr>
              <w:pStyle w:val="B2"/>
              <w:ind w:left="567" w:firstLine="0"/>
              <w:rPr>
                <w:i/>
                <w:lang w:val="en-US" w:eastAsia="ja-JP"/>
              </w:rPr>
            </w:pPr>
            <w:r w:rsidRPr="00A04C89">
              <w:rPr>
                <w:i/>
                <w:lang w:val="en-US" w:eastAsia="ja-JP"/>
              </w:rPr>
              <w:t>-</w:t>
            </w:r>
            <w:r w:rsidRPr="00A04C89">
              <w:rPr>
                <w:i/>
                <w:lang w:val="en-US" w:eastAsia="ja-JP"/>
              </w:rPr>
              <w:tab/>
              <w:t>Support co-existence of LTE UL and NR UL within the bandwidth of an LTE component carrier and co-existence of LTE DL and NR DL within the bandwidth of an LTE component carrier, and identify and specify at least one NR band/LTE-NR band combination for this operation.</w:t>
            </w:r>
          </w:p>
          <w:p w14:paraId="79545793" w14:textId="77777777" w:rsidR="008B289C" w:rsidRPr="00A04C89" w:rsidRDefault="008B289C" w:rsidP="000D2DFB">
            <w:pPr>
              <w:pStyle w:val="B3"/>
              <w:ind w:left="851"/>
              <w:rPr>
                <w:i/>
                <w:lang w:val="en-US" w:eastAsia="ja-JP"/>
              </w:rPr>
            </w:pPr>
            <w:r w:rsidRPr="00A04C89">
              <w:rPr>
                <w:i/>
                <w:lang w:val="en-US" w:eastAsia="ja-JP"/>
              </w:rPr>
              <w:t>-</w:t>
            </w:r>
            <w:r w:rsidRPr="00A04C89">
              <w:rPr>
                <w:i/>
                <w:lang w:val="en-US" w:eastAsia="ja-JP"/>
              </w:rPr>
              <w:tab/>
              <w:t>Minimize impact to NR physical layer design to enable this co-existence.</w:t>
            </w:r>
          </w:p>
          <w:p w14:paraId="33B09B90" w14:textId="77777777" w:rsidR="008B289C" w:rsidRPr="00A04C89" w:rsidRDefault="008B289C" w:rsidP="000D2DFB">
            <w:pPr>
              <w:pStyle w:val="B3"/>
              <w:ind w:left="851"/>
              <w:rPr>
                <w:i/>
                <w:lang w:val="en-US" w:eastAsia="ja-JP"/>
              </w:rPr>
            </w:pPr>
            <w:r w:rsidRPr="00A04C89">
              <w:rPr>
                <w:i/>
                <w:lang w:val="en-US" w:eastAsia="ja-JP"/>
              </w:rPr>
              <w:t>-</w:t>
            </w:r>
            <w:r w:rsidRPr="00A04C89">
              <w:rPr>
                <w:i/>
                <w:lang w:val="en-US" w:eastAsia="ja-JP"/>
              </w:rPr>
              <w:tab/>
              <w:t>No impact to the ability of legacy LTE devices to operate on the LTE carrier co-existing with NR</w:t>
            </w:r>
          </w:p>
          <w:p w14:paraId="194CB237" w14:textId="77777777" w:rsidR="008B289C" w:rsidRPr="00594BC7" w:rsidRDefault="008B289C" w:rsidP="000D2DFB">
            <w:pPr>
              <w:pStyle w:val="B3"/>
              <w:ind w:left="851"/>
              <w:rPr>
                <w:lang w:val="en-US" w:eastAsia="ja-JP"/>
              </w:rPr>
            </w:pPr>
            <w:r w:rsidRPr="00A04C89">
              <w:rPr>
                <w:i/>
                <w:lang w:val="en-US" w:eastAsia="ja-JP"/>
              </w:rPr>
              <w:t>-</w:t>
            </w:r>
            <w:r w:rsidRPr="00A04C89">
              <w:rPr>
                <w:i/>
                <w:lang w:val="en-US" w:eastAsia="ja-JP"/>
              </w:rPr>
              <w:tab/>
            </w:r>
            <w:r w:rsidRPr="00015838">
              <w:rPr>
                <w:i/>
                <w:lang w:val="en-US" w:eastAsia="ja-JP"/>
              </w:rPr>
              <w:t>No implication that all UEs have to support simultaneous connection of NR and LTE in the bandwidth of an LTE component carrier, in accordance with RP-172104</w:t>
            </w:r>
          </w:p>
        </w:tc>
      </w:tr>
    </w:tbl>
    <w:bookmarkEnd w:id="2"/>
    <w:bookmarkEnd w:id="3"/>
    <w:bookmarkEnd w:id="4"/>
    <w:p w14:paraId="41F510C9" w14:textId="2E8528F5" w:rsidR="00344CAD" w:rsidRDefault="00344CAD" w:rsidP="005743DE">
      <w:pPr>
        <w:rPr>
          <w:rFonts w:eastAsiaTheme="minorEastAsia"/>
          <w:lang w:eastAsia="zh-CN"/>
        </w:rPr>
      </w:pPr>
      <w:r>
        <w:rPr>
          <w:rFonts w:eastAsiaTheme="minorEastAsia" w:hint="eastAsia"/>
          <w:lang w:eastAsia="zh-CN"/>
        </w:rPr>
        <w:t xml:space="preserve">In </w:t>
      </w:r>
      <w:r>
        <w:rPr>
          <w:rFonts w:eastAsiaTheme="minorEastAsia"/>
          <w:lang w:eastAsia="zh-CN"/>
        </w:rPr>
        <w:t xml:space="preserve">RANP#80 meeting, the Rel-15 work item exception for new radio access technology </w:t>
      </w:r>
      <w:r w:rsidR="00F81A93">
        <w:rPr>
          <w:rFonts w:eastAsiaTheme="minorEastAsia"/>
          <w:lang w:eastAsia="zh-CN"/>
        </w:rPr>
        <w:t>was</w:t>
      </w:r>
      <w:r>
        <w:rPr>
          <w:rFonts w:eastAsiaTheme="minorEastAsia"/>
          <w:lang w:eastAsia="zh-CN"/>
        </w:rPr>
        <w:t xml:space="preserve"> summarized and approved,</w:t>
      </w:r>
      <w:r w:rsidR="00F602F7">
        <w:rPr>
          <w:rFonts w:eastAsiaTheme="minorEastAsia"/>
          <w:lang w:eastAsia="zh-CN"/>
        </w:rPr>
        <w:t xml:space="preserve"> and all the task captured in [2</w:t>
      </w:r>
      <w:r>
        <w:rPr>
          <w:rFonts w:eastAsiaTheme="minorEastAsia"/>
          <w:lang w:eastAsia="zh-CN"/>
        </w:rPr>
        <w:t xml:space="preserve">] is expected to be completed in December 2018. The </w:t>
      </w:r>
      <w:r w:rsidR="00484C6A">
        <w:rPr>
          <w:rFonts w:eastAsiaTheme="minorEastAsia"/>
          <w:lang w:eastAsia="zh-CN"/>
        </w:rPr>
        <w:t xml:space="preserve">RAN1 related </w:t>
      </w:r>
      <w:r>
        <w:rPr>
          <w:rFonts w:eastAsiaTheme="minorEastAsia"/>
          <w:lang w:eastAsia="zh-CN"/>
        </w:rPr>
        <w:t xml:space="preserve">aspects </w:t>
      </w:r>
      <w:r w:rsidR="00F81A93">
        <w:rPr>
          <w:rFonts w:eastAsiaTheme="minorEastAsia"/>
          <w:lang w:eastAsia="zh-CN"/>
        </w:rPr>
        <w:t>including</w:t>
      </w:r>
      <w:r>
        <w:rPr>
          <w:rFonts w:eastAsiaTheme="minorEastAsia"/>
          <w:lang w:eastAsia="zh-CN"/>
        </w:rPr>
        <w:t xml:space="preserve"> LTE-NR coexistence are copied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344CAD" w:rsidRPr="00127A6F" w14:paraId="680C1708" w14:textId="77777777" w:rsidTr="00BF059E">
        <w:tc>
          <w:tcPr>
            <w:tcW w:w="9312" w:type="dxa"/>
          </w:tcPr>
          <w:p w14:paraId="282833A8" w14:textId="77777777" w:rsidR="00F81A93" w:rsidRDefault="00F81A93" w:rsidP="00F81A93">
            <w:pPr>
              <w:spacing w:after="0"/>
              <w:rPr>
                <w:rFonts w:ascii="Arial" w:hAnsi="Arial" w:cs="Arial"/>
                <w:u w:val="single"/>
                <w:lang w:eastAsia="ja-JP"/>
              </w:rPr>
            </w:pPr>
            <w:r>
              <w:rPr>
                <w:rFonts w:ascii="Arial" w:hAnsi="Arial" w:cs="Arial" w:hint="eastAsia"/>
                <w:u w:val="single"/>
                <w:lang w:eastAsia="ja-JP"/>
              </w:rPr>
              <w:t>For other options:</w:t>
            </w:r>
          </w:p>
          <w:p w14:paraId="29528362" w14:textId="77777777" w:rsidR="00F81A93" w:rsidRPr="00184428" w:rsidRDefault="00F81A93" w:rsidP="00FA5310">
            <w:pPr>
              <w:pStyle w:val="ListParagraph"/>
              <w:widowControl w:val="0"/>
              <w:numPr>
                <w:ilvl w:val="0"/>
                <w:numId w:val="7"/>
              </w:numPr>
              <w:jc w:val="both"/>
              <w:rPr>
                <w:rFonts w:ascii="Arial" w:hAnsi="Arial" w:cs="Arial"/>
              </w:rPr>
            </w:pPr>
            <w:r w:rsidRPr="00184428">
              <w:rPr>
                <w:rFonts w:ascii="Arial" w:hAnsi="Arial" w:cs="Arial"/>
                <w:sz w:val="20"/>
              </w:rPr>
              <w:t>NR-E-UTRA DC via 5G-CN where the NR is the master (Option 4 series)</w:t>
            </w:r>
          </w:p>
          <w:p w14:paraId="2042AB46" w14:textId="307CF520" w:rsidR="00F81A93" w:rsidRPr="00CD7A80" w:rsidRDefault="00F81A93" w:rsidP="00FA5310">
            <w:pPr>
              <w:pStyle w:val="ListParagraph"/>
              <w:widowControl w:val="0"/>
              <w:numPr>
                <w:ilvl w:val="0"/>
                <w:numId w:val="7"/>
              </w:numPr>
              <w:jc w:val="both"/>
              <w:rPr>
                <w:rFonts w:ascii="Arial" w:hAnsi="Arial" w:cs="Arial"/>
              </w:rPr>
            </w:pPr>
            <w:r w:rsidRPr="00CD7A80">
              <w:rPr>
                <w:rFonts w:ascii="Arial" w:hAnsi="Arial" w:cs="Arial"/>
                <w:sz w:val="20"/>
              </w:rPr>
              <w:t>E-UTRA-NR DC via 5G-CN where the E-UTRA is the master (Option 7 series)</w:t>
            </w:r>
          </w:p>
          <w:p w14:paraId="38B15C92" w14:textId="77777777" w:rsidR="00F81A93" w:rsidRPr="000B4F3A" w:rsidRDefault="00F81A93" w:rsidP="00F81A93">
            <w:pPr>
              <w:spacing w:after="0"/>
              <w:rPr>
                <w:rFonts w:ascii="Arial" w:hAnsi="Arial" w:cs="Arial"/>
                <w:lang w:eastAsia="ja-JP"/>
              </w:rPr>
            </w:pPr>
            <w:r>
              <w:rPr>
                <w:rFonts w:hint="eastAsia"/>
                <w:bCs/>
                <w:lang w:eastAsia="ja-JP"/>
              </w:rPr>
              <w:t>Further details for each WG are shown in below</w:t>
            </w:r>
          </w:p>
          <w:p w14:paraId="0739131A" w14:textId="77777777" w:rsidR="00F81A93" w:rsidRPr="000B4F3A" w:rsidRDefault="00F81A93" w:rsidP="00FA5310">
            <w:pPr>
              <w:pStyle w:val="Index1"/>
              <w:numPr>
                <w:ilvl w:val="0"/>
                <w:numId w:val="4"/>
              </w:numPr>
              <w:rPr>
                <w:bCs/>
                <w:lang w:eastAsia="ja-JP"/>
              </w:rPr>
            </w:pPr>
            <w:r w:rsidRPr="000B4F3A">
              <w:rPr>
                <w:rFonts w:hint="eastAsia"/>
                <w:bCs/>
                <w:lang w:eastAsia="ja-JP"/>
              </w:rPr>
              <w:t>RAN1</w:t>
            </w:r>
          </w:p>
          <w:p w14:paraId="339E798E" w14:textId="77777777" w:rsidR="00F81A93" w:rsidRPr="000B4F3A" w:rsidRDefault="00F81A93" w:rsidP="00FA5310">
            <w:pPr>
              <w:pStyle w:val="Index1"/>
              <w:numPr>
                <w:ilvl w:val="1"/>
                <w:numId w:val="4"/>
              </w:numPr>
              <w:rPr>
                <w:bCs/>
                <w:lang w:eastAsia="ja-JP"/>
              </w:rPr>
            </w:pPr>
            <w:r w:rsidRPr="000B4F3A">
              <w:rPr>
                <w:rFonts w:hint="eastAsia"/>
                <w:bCs/>
                <w:lang w:eastAsia="ja-JP"/>
              </w:rPr>
              <w:t>Option 4:</w:t>
            </w:r>
          </w:p>
          <w:p w14:paraId="61A9FD66" w14:textId="77777777" w:rsidR="00F81A93" w:rsidRPr="000B4F3A" w:rsidRDefault="00F81A93" w:rsidP="00FA5310">
            <w:pPr>
              <w:pStyle w:val="Index1"/>
              <w:numPr>
                <w:ilvl w:val="2"/>
                <w:numId w:val="4"/>
              </w:numPr>
              <w:rPr>
                <w:bCs/>
                <w:lang w:eastAsia="ja-JP"/>
              </w:rPr>
            </w:pPr>
            <w:r>
              <w:rPr>
                <w:rFonts w:hint="eastAsia"/>
                <w:bCs/>
                <w:lang w:eastAsia="ja-JP"/>
              </w:rPr>
              <w:t>E</w:t>
            </w:r>
            <w:r w:rsidRPr="000B4F3A">
              <w:rPr>
                <w:bCs/>
                <w:lang w:eastAsia="ja-JP"/>
              </w:rPr>
              <w:t>valuate whether new design on power control, multiplexing, etc. for both LTE &amp; NR specs</w:t>
            </w:r>
          </w:p>
          <w:p w14:paraId="516B1077" w14:textId="77777777" w:rsidR="00F81A93" w:rsidRPr="000B4F3A" w:rsidRDefault="00F81A93" w:rsidP="00FA5310">
            <w:pPr>
              <w:pStyle w:val="Index1"/>
              <w:numPr>
                <w:ilvl w:val="3"/>
                <w:numId w:val="4"/>
              </w:numPr>
              <w:rPr>
                <w:bCs/>
                <w:lang w:eastAsia="ja-JP"/>
              </w:rPr>
            </w:pPr>
            <w:r w:rsidRPr="000B4F3A">
              <w:rPr>
                <w:bCs/>
                <w:lang w:eastAsia="ja-JP"/>
              </w:rPr>
              <w:t>Strive for minimum RAN1 specification impact</w:t>
            </w:r>
          </w:p>
          <w:p w14:paraId="136379FA" w14:textId="77777777" w:rsidR="00F81A93" w:rsidRDefault="00F81A93" w:rsidP="00FA5310">
            <w:pPr>
              <w:pStyle w:val="Index1"/>
              <w:numPr>
                <w:ilvl w:val="3"/>
                <w:numId w:val="4"/>
              </w:numPr>
              <w:rPr>
                <w:bCs/>
                <w:lang w:eastAsia="ja-JP"/>
              </w:rPr>
            </w:pPr>
            <w:r w:rsidRPr="000B4F3A">
              <w:rPr>
                <w:bCs/>
                <w:lang w:eastAsia="ja-JP"/>
              </w:rPr>
              <w:t>Some (limited) RAN1 meeting time is expected</w:t>
            </w:r>
          </w:p>
          <w:p w14:paraId="6A4B3001" w14:textId="77777777" w:rsidR="00F81A93" w:rsidRDefault="00F81A93" w:rsidP="00FA5310">
            <w:pPr>
              <w:pStyle w:val="Index1"/>
              <w:numPr>
                <w:ilvl w:val="1"/>
                <w:numId w:val="4"/>
              </w:numPr>
              <w:rPr>
                <w:bCs/>
                <w:lang w:eastAsia="ja-JP"/>
              </w:rPr>
            </w:pPr>
            <w:r>
              <w:rPr>
                <w:rFonts w:hint="eastAsia"/>
                <w:bCs/>
                <w:lang w:eastAsia="ja-JP"/>
              </w:rPr>
              <w:t>NR-NR Dual Connectivity</w:t>
            </w:r>
          </w:p>
          <w:p w14:paraId="617D7B71" w14:textId="77777777" w:rsidR="00F81A93" w:rsidRDefault="00F81A93" w:rsidP="00FA5310">
            <w:pPr>
              <w:pStyle w:val="Index1"/>
              <w:numPr>
                <w:ilvl w:val="2"/>
                <w:numId w:val="4"/>
              </w:numPr>
              <w:rPr>
                <w:bCs/>
                <w:lang w:eastAsia="ja-JP"/>
              </w:rPr>
            </w:pPr>
            <w:r>
              <w:rPr>
                <w:bCs/>
                <w:lang w:eastAsia="ja-JP"/>
              </w:rPr>
              <w:t>Synchronous operation</w:t>
            </w:r>
          </w:p>
          <w:p w14:paraId="25F5792A" w14:textId="77777777" w:rsidR="00F81A93" w:rsidRDefault="00F81A93" w:rsidP="00FA5310">
            <w:pPr>
              <w:pStyle w:val="Index1"/>
              <w:numPr>
                <w:ilvl w:val="2"/>
                <w:numId w:val="4"/>
              </w:numPr>
              <w:rPr>
                <w:bCs/>
                <w:lang w:eastAsia="ja-JP"/>
              </w:rPr>
            </w:pPr>
            <w:r>
              <w:rPr>
                <w:bCs/>
                <w:lang w:eastAsia="ja-JP"/>
              </w:rPr>
              <w:t>Minimum RAN1 impact and no HW impact</w:t>
            </w:r>
          </w:p>
          <w:p w14:paraId="1B1DF9FD" w14:textId="31F7E945" w:rsidR="00344CAD" w:rsidRPr="00484C6A" w:rsidRDefault="00F81A93" w:rsidP="00FA5310">
            <w:pPr>
              <w:pStyle w:val="Index1"/>
              <w:numPr>
                <w:ilvl w:val="2"/>
                <w:numId w:val="4"/>
              </w:numPr>
              <w:spacing w:line="360" w:lineRule="auto"/>
              <w:rPr>
                <w:bCs/>
                <w:lang w:eastAsia="ja-JP"/>
              </w:rPr>
            </w:pPr>
            <w:r w:rsidRPr="00CD7A80">
              <w:rPr>
                <w:rFonts w:hint="eastAsia"/>
                <w:bCs/>
                <w:lang w:eastAsia="ja-JP"/>
              </w:rPr>
              <w:t>N</w:t>
            </w:r>
            <w:r w:rsidRPr="00CD7A80">
              <w:rPr>
                <w:bCs/>
                <w:lang w:eastAsia="ja-JP"/>
              </w:rPr>
              <w:t>o PUCCH-SCell</w:t>
            </w:r>
          </w:p>
        </w:tc>
      </w:tr>
    </w:tbl>
    <w:p w14:paraId="5FBAF6A5" w14:textId="3930CBFD" w:rsidR="002E647E" w:rsidRDefault="007F512B" w:rsidP="00061D60">
      <w:pPr>
        <w:rPr>
          <w:rFonts w:eastAsiaTheme="minorEastAsia"/>
          <w:lang w:eastAsia="zh-CN"/>
        </w:rPr>
      </w:pPr>
      <w:r>
        <w:rPr>
          <w:rFonts w:eastAsiaTheme="minorEastAsia"/>
          <w:lang w:eastAsia="zh-CN"/>
        </w:rPr>
        <w:t>In RAN1#94bis meeting</w:t>
      </w:r>
      <w:r w:rsidR="000B31BB">
        <w:rPr>
          <w:rFonts w:eastAsiaTheme="minorEastAsia"/>
          <w:lang w:eastAsia="zh-CN"/>
        </w:rPr>
        <w:t xml:space="preserve"> [3]</w:t>
      </w:r>
      <w:r>
        <w:rPr>
          <w:rFonts w:eastAsiaTheme="minorEastAsia"/>
          <w:lang w:eastAsia="zh-CN"/>
        </w:rPr>
        <w:t xml:space="preserve">, </w:t>
      </w:r>
      <w:r w:rsidR="002E647E">
        <w:rPr>
          <w:rFonts w:eastAsiaTheme="minorEastAsia"/>
          <w:lang w:eastAsia="zh-CN"/>
        </w:rPr>
        <w:t>there were discussion on the power control mechanism for SUO case 1 operation NE-DC, and the following agreements were achieved.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2E647E" w:rsidRPr="00682B56" w14:paraId="66B124DA" w14:textId="77777777" w:rsidTr="002E647E">
        <w:tc>
          <w:tcPr>
            <w:tcW w:w="9312" w:type="dxa"/>
          </w:tcPr>
          <w:p w14:paraId="15F99653" w14:textId="77777777" w:rsidR="002E647E" w:rsidRPr="002E647E" w:rsidRDefault="002E647E" w:rsidP="002E647E">
            <w:pPr>
              <w:rPr>
                <w:i/>
              </w:rPr>
            </w:pPr>
            <w:r w:rsidRPr="002E647E">
              <w:rPr>
                <w:i/>
                <w:highlight w:val="green"/>
              </w:rPr>
              <w:t>Agreement:</w:t>
            </w:r>
          </w:p>
          <w:p w14:paraId="2308AF58" w14:textId="77777777" w:rsidR="002E647E" w:rsidRPr="002E647E" w:rsidRDefault="002E647E" w:rsidP="002E647E">
            <w:pPr>
              <w:rPr>
                <w:i/>
              </w:rPr>
            </w:pPr>
            <w:r w:rsidRPr="002E647E">
              <w:rPr>
                <w:i/>
              </w:rPr>
              <w:t>Rel-15 NE-DC supports the following cases that have been defined for EN-DC:</w:t>
            </w:r>
          </w:p>
          <w:p w14:paraId="1F3B777F" w14:textId="77777777" w:rsidR="002E647E" w:rsidRPr="002E647E" w:rsidRDefault="002E647E" w:rsidP="002E647E">
            <w:pPr>
              <w:numPr>
                <w:ilvl w:val="0"/>
                <w:numId w:val="12"/>
              </w:numPr>
              <w:autoSpaceDE/>
              <w:autoSpaceDN/>
              <w:adjustRightInd/>
              <w:snapToGrid/>
              <w:spacing w:after="0"/>
              <w:ind w:left="1440"/>
              <w:jc w:val="left"/>
              <w:rPr>
                <w:i/>
              </w:rPr>
            </w:pPr>
            <w:r w:rsidRPr="002E647E">
              <w:rPr>
                <w:i/>
              </w:rPr>
              <w:t>SUO case 1 and case 2 operation</w:t>
            </w:r>
          </w:p>
          <w:p w14:paraId="47640346" w14:textId="77777777" w:rsidR="002E647E" w:rsidRPr="002E647E" w:rsidRDefault="002E647E" w:rsidP="002E647E">
            <w:pPr>
              <w:numPr>
                <w:ilvl w:val="0"/>
                <w:numId w:val="12"/>
              </w:numPr>
              <w:autoSpaceDE/>
              <w:autoSpaceDN/>
              <w:adjustRightInd/>
              <w:snapToGrid/>
              <w:spacing w:after="0"/>
              <w:ind w:left="1440"/>
              <w:jc w:val="left"/>
              <w:rPr>
                <w:i/>
              </w:rPr>
            </w:pPr>
            <w:r w:rsidRPr="002E647E">
              <w:rPr>
                <w:i/>
              </w:rPr>
              <w:t>Semi-static power allocation</w:t>
            </w:r>
          </w:p>
          <w:p w14:paraId="62DE80D9" w14:textId="77777777" w:rsidR="002E647E" w:rsidRPr="002E647E" w:rsidRDefault="002E647E" w:rsidP="002E647E">
            <w:pPr>
              <w:numPr>
                <w:ilvl w:val="0"/>
                <w:numId w:val="12"/>
              </w:numPr>
              <w:autoSpaceDE/>
              <w:autoSpaceDN/>
              <w:adjustRightInd/>
              <w:snapToGrid/>
              <w:spacing w:after="0"/>
              <w:ind w:left="1440"/>
              <w:jc w:val="left"/>
              <w:rPr>
                <w:i/>
              </w:rPr>
            </w:pPr>
            <w:r w:rsidRPr="002E647E">
              <w:rPr>
                <w:i/>
              </w:rPr>
              <w:t>Dynamic power sharing</w:t>
            </w:r>
          </w:p>
          <w:p w14:paraId="2093A6F0" w14:textId="7160F085" w:rsidR="002E647E" w:rsidRPr="002E647E" w:rsidRDefault="002E647E" w:rsidP="003F0743">
            <w:pPr>
              <w:numPr>
                <w:ilvl w:val="1"/>
                <w:numId w:val="12"/>
              </w:numPr>
              <w:autoSpaceDE/>
              <w:autoSpaceDN/>
              <w:adjustRightInd/>
              <w:snapToGrid/>
              <w:spacing w:after="0"/>
              <w:ind w:left="2160"/>
              <w:jc w:val="left"/>
              <w:rPr>
                <w:i/>
              </w:rPr>
            </w:pPr>
            <w:r w:rsidRPr="002E647E">
              <w:rPr>
                <w:i/>
              </w:rPr>
              <w:t>Type 1 and Type 2 defined for EN-DC are also defined for NE-DC</w:t>
            </w:r>
          </w:p>
          <w:p w14:paraId="5B77FD3C" w14:textId="77777777" w:rsidR="002E647E" w:rsidRPr="002E647E" w:rsidRDefault="002E647E" w:rsidP="002E647E">
            <w:pPr>
              <w:rPr>
                <w:i/>
              </w:rPr>
            </w:pPr>
            <w:r w:rsidRPr="002E647E">
              <w:rPr>
                <w:i/>
                <w:highlight w:val="green"/>
              </w:rPr>
              <w:t>Agreement:</w:t>
            </w:r>
          </w:p>
          <w:p w14:paraId="593987AE" w14:textId="2EF811DB" w:rsidR="002E647E" w:rsidRPr="002E647E" w:rsidRDefault="002E647E" w:rsidP="002E647E">
            <w:pPr>
              <w:rPr>
                <w:i/>
              </w:rPr>
            </w:pPr>
            <w:r w:rsidRPr="002E647E">
              <w:rPr>
                <w:i/>
              </w:rPr>
              <w:t>For SUO Case 1, functionality for EN_DC can be reused</w:t>
            </w:r>
          </w:p>
          <w:p w14:paraId="0F17034B" w14:textId="77777777" w:rsidR="002E647E" w:rsidRPr="002E647E" w:rsidRDefault="002E647E" w:rsidP="002E647E">
            <w:pPr>
              <w:rPr>
                <w:i/>
              </w:rPr>
            </w:pPr>
            <w:r w:rsidRPr="002E647E">
              <w:rPr>
                <w:i/>
                <w:highlight w:val="green"/>
              </w:rPr>
              <w:lastRenderedPageBreak/>
              <w:t>Agreement:</w:t>
            </w:r>
          </w:p>
          <w:p w14:paraId="46C3F595" w14:textId="7DD90531" w:rsidR="002E647E" w:rsidRPr="002E647E" w:rsidRDefault="002E647E" w:rsidP="002E647E">
            <w:pPr>
              <w:rPr>
                <w:i/>
              </w:rPr>
            </w:pPr>
            <w:r w:rsidRPr="002E647E">
              <w:rPr>
                <w:i/>
              </w:rPr>
              <w:t>For NE-DC, the parameters P_LTE and P_NR specified for EN_DC power sharing can be reused.</w:t>
            </w:r>
          </w:p>
        </w:tc>
      </w:tr>
    </w:tbl>
    <w:p w14:paraId="52783B4F" w14:textId="614FB8C1" w:rsidR="00093DD0" w:rsidRPr="00E21612" w:rsidRDefault="002E647E" w:rsidP="00061D60">
      <w:pPr>
        <w:rPr>
          <w:rFonts w:eastAsiaTheme="minorEastAsia"/>
          <w:lang w:eastAsia="zh-CN"/>
        </w:rPr>
      </w:pPr>
      <w:r>
        <w:rPr>
          <w:rFonts w:eastAsiaTheme="minorEastAsia"/>
          <w:lang w:eastAsia="zh-CN"/>
        </w:rPr>
        <w:lastRenderedPageBreak/>
        <w:t xml:space="preserve">While for NE-DC with dynamic power sharing, a couple of options were discussed and no consensus was </w:t>
      </w:r>
      <w:r w:rsidR="005B73A6">
        <w:rPr>
          <w:rFonts w:eastAsiaTheme="minorEastAsia"/>
          <w:lang w:eastAsia="zh-CN"/>
        </w:rPr>
        <w:t xml:space="preserve">reached </w:t>
      </w:r>
      <w:r>
        <w:rPr>
          <w:rFonts w:eastAsiaTheme="minorEastAsia"/>
          <w:lang w:eastAsia="zh-CN"/>
        </w:rPr>
        <w:t xml:space="preserve">in the last meeting. Thus in this contribution, the </w:t>
      </w:r>
      <w:r w:rsidR="00BB4269">
        <w:rPr>
          <w:rFonts w:eastAsiaTheme="minorEastAsia"/>
          <w:lang w:eastAsia="zh-CN"/>
        </w:rPr>
        <w:t xml:space="preserve">remaining details on </w:t>
      </w:r>
      <w:r w:rsidR="00E35396">
        <w:rPr>
          <w:rFonts w:eastAsiaTheme="minorEastAsia"/>
          <w:lang w:eastAsia="zh-CN"/>
        </w:rPr>
        <w:t xml:space="preserve">NE-DC </w:t>
      </w:r>
      <w:r>
        <w:rPr>
          <w:rFonts w:eastAsiaTheme="minorEastAsia"/>
          <w:lang w:eastAsia="zh-CN"/>
        </w:rPr>
        <w:t xml:space="preserve">dynamic power control </w:t>
      </w:r>
      <w:r w:rsidR="007E4E99">
        <w:rPr>
          <w:rFonts w:eastAsiaTheme="minorEastAsia"/>
          <w:lang w:eastAsia="zh-CN"/>
        </w:rPr>
        <w:t>are discussed.</w:t>
      </w:r>
      <w:r w:rsidR="00DA31B6">
        <w:rPr>
          <w:rFonts w:eastAsiaTheme="minorEastAsia" w:hint="eastAsia"/>
          <w:lang w:eastAsia="zh-CN"/>
        </w:rPr>
        <w:t xml:space="preserve"> </w:t>
      </w:r>
      <w:r>
        <w:rPr>
          <w:rFonts w:eastAsiaTheme="minorEastAsia"/>
          <w:lang w:eastAsia="zh-CN"/>
        </w:rPr>
        <w:t xml:space="preserve">Besides, some considerations on EN-DC power control </w:t>
      </w:r>
      <w:r w:rsidR="005B73A6">
        <w:rPr>
          <w:rFonts w:eastAsiaTheme="minorEastAsia"/>
          <w:lang w:eastAsia="zh-CN"/>
        </w:rPr>
        <w:t>are</w:t>
      </w:r>
      <w:r>
        <w:rPr>
          <w:rFonts w:eastAsiaTheme="minorEastAsia"/>
          <w:lang w:eastAsia="zh-CN"/>
        </w:rPr>
        <w:t xml:space="preserve"> also provided.</w:t>
      </w:r>
    </w:p>
    <w:p w14:paraId="698821EF" w14:textId="77777777" w:rsidR="009A3A86" w:rsidRPr="00CF195E" w:rsidRDefault="00061D60" w:rsidP="00CF195E">
      <w:pPr>
        <w:pStyle w:val="Heading1"/>
      </w:pPr>
      <w:bookmarkStart w:id="5" w:name="_Ref129681832"/>
      <w:r>
        <w:t>Discussion</w:t>
      </w:r>
      <w:r w:rsidR="006D62BC" w:rsidRPr="00CF195E">
        <w:t xml:space="preserve"> </w:t>
      </w:r>
    </w:p>
    <w:p w14:paraId="49C3D8BF" w14:textId="232DE568" w:rsidR="00650139" w:rsidRPr="00CF195E" w:rsidRDefault="002F423C" w:rsidP="00682E14">
      <w:pPr>
        <w:pStyle w:val="Heading2"/>
        <w:rPr>
          <w:lang w:eastAsia="ja-JP"/>
        </w:rPr>
      </w:pPr>
      <w:r>
        <w:rPr>
          <w:lang w:eastAsia="ja-JP"/>
        </w:rPr>
        <w:t xml:space="preserve">On NE-DC </w:t>
      </w:r>
      <w:r w:rsidR="00F15C80">
        <w:rPr>
          <w:lang w:eastAsia="ja-JP"/>
        </w:rPr>
        <w:t>power control</w:t>
      </w:r>
    </w:p>
    <w:p w14:paraId="5F6A67C7" w14:textId="4A6F9C74" w:rsidR="00F15C80" w:rsidRDefault="00F15C80" w:rsidP="002F423C">
      <w:pPr>
        <w:rPr>
          <w:lang w:eastAsia="zh-CN"/>
        </w:rPr>
      </w:pPr>
      <w:r>
        <w:rPr>
          <w:lang w:eastAsia="zh-CN"/>
        </w:rPr>
        <w:t xml:space="preserve">For NE-DC </w:t>
      </w:r>
      <w:r w:rsidR="00C6133C">
        <w:rPr>
          <w:lang w:eastAsia="zh-CN"/>
        </w:rPr>
        <w:t xml:space="preserve">dynamic </w:t>
      </w:r>
      <w:r>
        <w:rPr>
          <w:lang w:eastAsia="zh-CN"/>
        </w:rPr>
        <w:t xml:space="preserve">power </w:t>
      </w:r>
      <w:r w:rsidR="00C6133C">
        <w:rPr>
          <w:lang w:eastAsia="zh-CN"/>
        </w:rPr>
        <w:t>sharing</w:t>
      </w:r>
      <w:r>
        <w:rPr>
          <w:lang w:eastAsia="zh-CN"/>
        </w:rPr>
        <w:t>, the following agreements were achieved in RAN1#94bis meeting.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F15C80" w:rsidRPr="00682B56" w14:paraId="07813BED" w14:textId="77777777" w:rsidTr="00C6133C">
        <w:tc>
          <w:tcPr>
            <w:tcW w:w="9312" w:type="dxa"/>
          </w:tcPr>
          <w:p w14:paraId="37735BD5" w14:textId="77777777" w:rsidR="00F15C80" w:rsidRPr="00F15C80" w:rsidRDefault="00F15C80" w:rsidP="00F15C80">
            <w:pPr>
              <w:rPr>
                <w:i/>
              </w:rPr>
            </w:pPr>
            <w:r w:rsidRPr="00F15C80">
              <w:rPr>
                <w:i/>
                <w:highlight w:val="green"/>
              </w:rPr>
              <w:t>Agreement:</w:t>
            </w:r>
          </w:p>
          <w:p w14:paraId="5F96CD8C" w14:textId="77777777" w:rsidR="00F15C80" w:rsidRPr="00F15C80" w:rsidRDefault="00F15C80" w:rsidP="00F15C80">
            <w:pPr>
              <w:rPr>
                <w:i/>
              </w:rPr>
            </w:pPr>
            <w:r w:rsidRPr="00F15C80">
              <w:rPr>
                <w:i/>
              </w:rPr>
              <w:t>For NE-DC dynamic power sharing, different maximum transmit power for LTE in subframes where there is a possible overlap and there is not an overlap with NR UL symbol(s) is supported.</w:t>
            </w:r>
          </w:p>
          <w:p w14:paraId="37586587" w14:textId="77777777" w:rsidR="00F15C80" w:rsidRPr="00F15C80" w:rsidRDefault="00F15C80" w:rsidP="00FA5310">
            <w:pPr>
              <w:numPr>
                <w:ilvl w:val="0"/>
                <w:numId w:val="8"/>
              </w:numPr>
              <w:autoSpaceDE/>
              <w:autoSpaceDN/>
              <w:adjustRightInd/>
              <w:snapToGrid/>
              <w:spacing w:after="0"/>
              <w:jc w:val="left"/>
              <w:rPr>
                <w:i/>
              </w:rPr>
            </w:pPr>
            <w:r w:rsidRPr="00F15C80">
              <w:rPr>
                <w:i/>
              </w:rPr>
              <w:t>Note: Whether there is a possible overlap or not between LTE and NR UL is assumed to be known on a semi-static basis.</w:t>
            </w:r>
          </w:p>
          <w:p w14:paraId="553BB493" w14:textId="77777777" w:rsidR="00F15C80" w:rsidRPr="00F15C80" w:rsidRDefault="00F15C80" w:rsidP="00FA5310">
            <w:pPr>
              <w:numPr>
                <w:ilvl w:val="0"/>
                <w:numId w:val="8"/>
              </w:numPr>
              <w:autoSpaceDE/>
              <w:autoSpaceDN/>
              <w:adjustRightInd/>
              <w:snapToGrid/>
              <w:spacing w:after="0"/>
              <w:jc w:val="left"/>
              <w:rPr>
                <w:i/>
              </w:rPr>
            </w:pPr>
            <w:r w:rsidRPr="00F15C80">
              <w:rPr>
                <w:i/>
              </w:rPr>
              <w:t>Note: LTE power is not assumed to vary in a subframe</w:t>
            </w:r>
          </w:p>
          <w:p w14:paraId="6E8B3EA5" w14:textId="77777777" w:rsidR="00F15C80" w:rsidRPr="00F15C80" w:rsidRDefault="00F15C80" w:rsidP="00FA5310">
            <w:pPr>
              <w:numPr>
                <w:ilvl w:val="0"/>
                <w:numId w:val="8"/>
              </w:numPr>
              <w:autoSpaceDE/>
              <w:autoSpaceDN/>
              <w:adjustRightInd/>
              <w:snapToGrid/>
              <w:spacing w:after="0"/>
              <w:jc w:val="left"/>
              <w:rPr>
                <w:i/>
              </w:rPr>
            </w:pPr>
            <w:r w:rsidRPr="00F15C80">
              <w:rPr>
                <w:i/>
              </w:rPr>
              <w:t>FFS: Option 1a, 1b below or some combination of these</w:t>
            </w:r>
          </w:p>
          <w:p w14:paraId="09972C0A" w14:textId="3CC4E971" w:rsidR="00F15C80" w:rsidRPr="00682B56" w:rsidRDefault="00F15C80" w:rsidP="00FA5310">
            <w:pPr>
              <w:numPr>
                <w:ilvl w:val="0"/>
                <w:numId w:val="8"/>
              </w:numPr>
              <w:autoSpaceDE/>
              <w:autoSpaceDN/>
              <w:adjustRightInd/>
              <w:snapToGrid/>
              <w:spacing w:after="0"/>
              <w:jc w:val="left"/>
            </w:pPr>
            <w:r w:rsidRPr="00F15C80">
              <w:rPr>
                <w:i/>
              </w:rPr>
              <w:t>Options 1.5, 2 and 3 below as well as other enhancements to option 1a and 1b can be further discussed</w:t>
            </w:r>
          </w:p>
        </w:tc>
      </w:tr>
    </w:tbl>
    <w:p w14:paraId="28BBBBA4" w14:textId="5BE7AD4F" w:rsidR="00497386" w:rsidRDefault="00C6133C" w:rsidP="002F423C">
      <w:pPr>
        <w:rPr>
          <w:lang w:eastAsia="zh-CN"/>
        </w:rPr>
      </w:pPr>
      <w:bookmarkStart w:id="6" w:name="OLE_LINK60"/>
      <w:bookmarkStart w:id="7" w:name="OLE_LINK61"/>
      <w:r>
        <w:rPr>
          <w:lang w:eastAsia="zh-CN"/>
        </w:rPr>
        <w:t xml:space="preserve">Regarding all the five options mentioned in the above agreement, </w:t>
      </w:r>
      <w:r w:rsidR="00497386">
        <w:rPr>
          <w:lang w:eastAsia="zh-CN"/>
        </w:rPr>
        <w:t>the comparison</w:t>
      </w:r>
      <w:r w:rsidR="00ED5CAC">
        <w:rPr>
          <w:lang w:eastAsia="zh-CN"/>
        </w:rPr>
        <w:t>s</w:t>
      </w:r>
      <w:r w:rsidR="00497386">
        <w:rPr>
          <w:lang w:eastAsia="zh-CN"/>
        </w:rPr>
        <w:t xml:space="preserve"> are </w:t>
      </w:r>
      <w:r>
        <w:rPr>
          <w:lang w:eastAsia="zh-CN"/>
        </w:rPr>
        <w:t>given</w:t>
      </w:r>
      <w:r w:rsidR="00497386">
        <w:rPr>
          <w:lang w:eastAsia="zh-CN"/>
        </w:rPr>
        <w:t xml:space="preserve"> below:</w:t>
      </w:r>
    </w:p>
    <w:p w14:paraId="1117FC32" w14:textId="179CEBF6" w:rsidR="00497386" w:rsidRPr="007F512B" w:rsidRDefault="00497386" w:rsidP="007F512B">
      <w:pPr>
        <w:pStyle w:val="ListParagraph"/>
        <w:numPr>
          <w:ilvl w:val="0"/>
          <w:numId w:val="11"/>
        </w:numPr>
        <w:spacing w:after="120"/>
        <w:rPr>
          <w:rFonts w:ascii="Times New Roman" w:hAnsi="Times New Roman"/>
          <w:sz w:val="22"/>
          <w:lang w:eastAsia="zh-CN"/>
        </w:rPr>
      </w:pPr>
      <w:r w:rsidRPr="007F512B">
        <w:rPr>
          <w:rFonts w:ascii="Times New Roman" w:hAnsi="Times New Roman"/>
          <w:b/>
          <w:sz w:val="22"/>
          <w:lang w:eastAsia="zh-CN"/>
        </w:rPr>
        <w:t>Option 1a</w:t>
      </w:r>
      <w:r w:rsidRPr="007F512B">
        <w:rPr>
          <w:rFonts w:ascii="Times New Roman" w:hAnsi="Times New Roman"/>
          <w:sz w:val="22"/>
          <w:lang w:eastAsia="zh-CN"/>
        </w:rPr>
        <w:t xml:space="preserve">: A minimum guaranteed power can be reserved for LTE to ensure its basic transmission requirement. Considering that the HARQ timing for LTE is fixed to be n+4, applying power reservation for LTE can maintain HARQ-ACK transmission which is beneficial to ensure all </w:t>
      </w:r>
      <w:r w:rsidR="00821D82">
        <w:rPr>
          <w:rFonts w:ascii="Times New Roman" w:hAnsi="Times New Roman"/>
          <w:sz w:val="22"/>
          <w:lang w:eastAsia="zh-CN"/>
        </w:rPr>
        <w:t xml:space="preserve">LTE </w:t>
      </w:r>
      <w:r w:rsidRPr="007F512B">
        <w:rPr>
          <w:rFonts w:ascii="Times New Roman" w:hAnsi="Times New Roman"/>
          <w:sz w:val="22"/>
          <w:lang w:eastAsia="zh-CN"/>
        </w:rPr>
        <w:t xml:space="preserve">DL subframes to be available for PDSCH transmission. Moreover, introducing a fraction factor </w:t>
      </w:r>
      <w:r w:rsidRPr="007F512B">
        <w:rPr>
          <w:rFonts w:ascii="Times New Roman" w:hAnsi="Times New Roman"/>
          <w:i/>
          <w:sz w:val="22"/>
          <w:lang w:eastAsia="zh-CN"/>
        </w:rPr>
        <w:t>r</w:t>
      </w:r>
      <w:r w:rsidRPr="007F512B">
        <w:rPr>
          <w:rFonts w:ascii="Times New Roman" w:hAnsi="Times New Roman"/>
          <w:sz w:val="22"/>
          <w:lang w:eastAsia="zh-CN"/>
        </w:rPr>
        <w:t xml:space="preserve"> makes the power configuration for LTE more flexible, and it </w:t>
      </w:r>
      <w:r w:rsidR="00AE0F40">
        <w:rPr>
          <w:rFonts w:ascii="Times New Roman" w:hAnsi="Times New Roman"/>
          <w:sz w:val="22"/>
          <w:lang w:eastAsia="zh-CN"/>
        </w:rPr>
        <w:t xml:space="preserve">also proffers more freedom </w:t>
      </w:r>
      <w:r w:rsidRPr="007F512B">
        <w:rPr>
          <w:rFonts w:ascii="Times New Roman" w:hAnsi="Times New Roman"/>
          <w:sz w:val="22"/>
          <w:lang w:eastAsia="zh-CN"/>
        </w:rPr>
        <w:t xml:space="preserve">for network to </w:t>
      </w:r>
      <w:r w:rsidR="00222F6B">
        <w:rPr>
          <w:rFonts w:ascii="Times New Roman" w:hAnsi="Times New Roman"/>
          <w:sz w:val="22"/>
          <w:lang w:eastAsia="zh-CN"/>
        </w:rPr>
        <w:t xml:space="preserve">adjust the </w:t>
      </w:r>
      <w:r w:rsidRPr="007F512B">
        <w:rPr>
          <w:rFonts w:ascii="Times New Roman" w:hAnsi="Times New Roman"/>
          <w:sz w:val="22"/>
          <w:lang w:eastAsia="zh-CN"/>
        </w:rPr>
        <w:t>ratio of power utilization between NR and LTE.</w:t>
      </w:r>
    </w:p>
    <w:p w14:paraId="11FDF4F1" w14:textId="188364A7" w:rsidR="00C54F2A" w:rsidRPr="00AE0F40" w:rsidRDefault="00497386" w:rsidP="007F512B">
      <w:pPr>
        <w:pStyle w:val="ListParagraph"/>
        <w:numPr>
          <w:ilvl w:val="0"/>
          <w:numId w:val="11"/>
        </w:numPr>
        <w:spacing w:after="120"/>
        <w:rPr>
          <w:rFonts w:ascii="Times New Roman" w:hAnsi="Times New Roman"/>
          <w:b/>
          <w:sz w:val="22"/>
          <w:lang w:eastAsia="zh-CN"/>
        </w:rPr>
      </w:pPr>
      <w:r w:rsidRPr="007F512B">
        <w:rPr>
          <w:rFonts w:ascii="Times New Roman" w:hAnsi="Times New Roman"/>
          <w:b/>
          <w:sz w:val="22"/>
          <w:lang w:eastAsia="zh-CN"/>
        </w:rPr>
        <w:t>Option 1b</w:t>
      </w:r>
      <w:r w:rsidRPr="007F512B">
        <w:rPr>
          <w:rFonts w:ascii="Times New Roman" w:hAnsi="Times New Roman"/>
          <w:sz w:val="22"/>
          <w:lang w:eastAsia="zh-CN"/>
        </w:rPr>
        <w:t xml:space="preserve">: The difference from option 1a is that no additional </w:t>
      </w:r>
      <w:r w:rsidR="00821D82">
        <w:rPr>
          <w:rFonts w:ascii="Times New Roman" w:hAnsi="Times New Roman"/>
          <w:sz w:val="22"/>
          <w:lang w:eastAsia="zh-CN"/>
        </w:rPr>
        <w:t xml:space="preserve">RRC </w:t>
      </w:r>
      <w:r w:rsidR="00222F6B">
        <w:rPr>
          <w:rFonts w:ascii="Times New Roman" w:hAnsi="Times New Roman"/>
          <w:sz w:val="22"/>
          <w:lang w:eastAsia="zh-CN"/>
        </w:rPr>
        <w:t xml:space="preserve">signaling </w:t>
      </w:r>
      <w:r w:rsidRPr="007F512B">
        <w:rPr>
          <w:rFonts w:ascii="Times New Roman" w:hAnsi="Times New Roman"/>
          <w:sz w:val="22"/>
          <w:lang w:eastAsia="zh-CN"/>
        </w:rPr>
        <w:t xml:space="preserve">is </w:t>
      </w:r>
      <w:r w:rsidR="00AE0F40">
        <w:rPr>
          <w:rFonts w:ascii="Times New Roman" w:hAnsi="Times New Roman"/>
          <w:sz w:val="22"/>
          <w:lang w:eastAsia="zh-CN"/>
        </w:rPr>
        <w:t>introduced</w:t>
      </w:r>
      <w:r w:rsidRPr="007F512B">
        <w:rPr>
          <w:rFonts w:ascii="Times New Roman" w:hAnsi="Times New Roman"/>
          <w:sz w:val="22"/>
          <w:lang w:eastAsia="zh-CN"/>
        </w:rPr>
        <w:t xml:space="preserve">. </w:t>
      </w:r>
      <w:r w:rsidR="00ED5CAC" w:rsidRPr="00CE526A">
        <w:rPr>
          <w:rFonts w:ascii="Times New Roman" w:hAnsi="Times New Roman"/>
          <w:sz w:val="22"/>
          <w:lang w:eastAsia="zh-CN"/>
        </w:rPr>
        <w:t>But f</w:t>
      </w:r>
      <w:r w:rsidRPr="00CE526A">
        <w:rPr>
          <w:rFonts w:ascii="Times New Roman" w:hAnsi="Times New Roman"/>
          <w:sz w:val="22"/>
          <w:lang w:eastAsia="zh-CN"/>
        </w:rPr>
        <w:t xml:space="preserve">or LTE UL subframes that are not overlapped with NR UL durations, </w:t>
      </w:r>
      <w:r w:rsidR="00222F6B" w:rsidRPr="00CE526A">
        <w:rPr>
          <w:rFonts w:ascii="Times New Roman" w:hAnsi="Times New Roman"/>
          <w:sz w:val="22"/>
          <w:lang w:eastAsia="zh-CN"/>
        </w:rPr>
        <w:t xml:space="preserve">the power limit shall be </w:t>
      </w:r>
      <w:r w:rsidRPr="00CE526A">
        <w:rPr>
          <w:rFonts w:ascii="Times New Roman" w:hAnsi="Times New Roman"/>
          <w:sz w:val="22"/>
          <w:lang w:eastAsia="zh-CN"/>
        </w:rPr>
        <w:t xml:space="preserve">determined by </w:t>
      </w:r>
      <w:r w:rsidR="00CE526A">
        <w:rPr>
          <w:rFonts w:ascii="Times New Roman" w:hAnsi="Times New Roman"/>
          <w:sz w:val="22"/>
          <w:lang w:eastAsia="zh-CN"/>
        </w:rPr>
        <w:t xml:space="preserve">Pcmax for EN-DC. It is necessary to stress that according to RAN4 discussion the Pcmax for EN-DC is likely to be only defined for </w:t>
      </w:r>
      <w:r w:rsidR="009F2AD6">
        <w:rPr>
          <w:rFonts w:ascii="Times New Roman" w:hAnsi="Times New Roman"/>
          <w:sz w:val="22"/>
          <w:lang w:eastAsia="zh-CN"/>
        </w:rPr>
        <w:t xml:space="preserve">the case where </w:t>
      </w:r>
      <w:r w:rsidR="00CE526A">
        <w:rPr>
          <w:rFonts w:ascii="Times New Roman" w:hAnsi="Times New Roman"/>
          <w:sz w:val="22"/>
          <w:lang w:eastAsia="zh-CN"/>
        </w:rPr>
        <w:t>LTE UL subframes are overlapped with NR UL</w:t>
      </w:r>
      <w:r w:rsidR="009F2AD6">
        <w:rPr>
          <w:rFonts w:ascii="Times New Roman" w:hAnsi="Times New Roman"/>
          <w:sz w:val="22"/>
          <w:lang w:eastAsia="zh-CN"/>
        </w:rPr>
        <w:t xml:space="preserve"> slots</w:t>
      </w:r>
      <w:r w:rsidR="00CE526A">
        <w:rPr>
          <w:rFonts w:ascii="Times New Roman" w:hAnsi="Times New Roman"/>
          <w:sz w:val="22"/>
          <w:lang w:eastAsia="zh-CN"/>
        </w:rPr>
        <w:t xml:space="preserve">. </w:t>
      </w:r>
      <w:r w:rsidR="00AD5161">
        <w:rPr>
          <w:rFonts w:ascii="Times New Roman" w:hAnsi="Times New Roman"/>
          <w:sz w:val="22"/>
          <w:lang w:eastAsia="zh-CN"/>
        </w:rPr>
        <w:t>It may</w:t>
      </w:r>
      <w:r w:rsidR="00CE526A">
        <w:rPr>
          <w:rFonts w:ascii="Times New Roman" w:hAnsi="Times New Roman"/>
          <w:sz w:val="22"/>
          <w:lang w:eastAsia="zh-CN"/>
        </w:rPr>
        <w:t xml:space="preserve"> not </w:t>
      </w:r>
      <w:r w:rsidR="00AD5161">
        <w:rPr>
          <w:rFonts w:ascii="Times New Roman" w:hAnsi="Times New Roman"/>
          <w:sz w:val="22"/>
          <w:lang w:eastAsia="zh-CN"/>
        </w:rPr>
        <w:t xml:space="preserve">be </w:t>
      </w:r>
      <w:r w:rsidR="009F2AD6">
        <w:rPr>
          <w:rFonts w:ascii="Times New Roman" w:hAnsi="Times New Roman"/>
          <w:sz w:val="22"/>
          <w:lang w:eastAsia="zh-CN"/>
        </w:rPr>
        <w:t>defined</w:t>
      </w:r>
      <w:r w:rsidR="00CE526A">
        <w:rPr>
          <w:rFonts w:ascii="Times New Roman" w:hAnsi="Times New Roman"/>
          <w:sz w:val="22"/>
          <w:lang w:eastAsia="zh-CN"/>
        </w:rPr>
        <w:t xml:space="preserve"> for </w:t>
      </w:r>
      <w:r w:rsidR="009F2AD6">
        <w:rPr>
          <w:rFonts w:ascii="Times New Roman" w:hAnsi="Times New Roman"/>
          <w:sz w:val="22"/>
          <w:lang w:eastAsia="zh-CN"/>
        </w:rPr>
        <w:t>the other case</w:t>
      </w:r>
      <w:r w:rsidR="00CE526A">
        <w:rPr>
          <w:rFonts w:ascii="Times New Roman" w:hAnsi="Times New Roman"/>
          <w:sz w:val="22"/>
          <w:lang w:eastAsia="zh-CN"/>
        </w:rPr>
        <w:t xml:space="preserve">. </w:t>
      </w:r>
      <w:r w:rsidR="009F2AD6">
        <w:rPr>
          <w:rFonts w:ascii="Times New Roman" w:hAnsi="Times New Roman"/>
          <w:sz w:val="22"/>
          <w:lang w:eastAsia="zh-CN"/>
        </w:rPr>
        <w:t>As a result</w:t>
      </w:r>
      <w:r w:rsidR="00CE526A">
        <w:rPr>
          <w:rFonts w:ascii="Times New Roman" w:hAnsi="Times New Roman"/>
          <w:sz w:val="22"/>
          <w:lang w:eastAsia="zh-CN"/>
        </w:rPr>
        <w:t xml:space="preserve">, option 1b does </w:t>
      </w:r>
      <w:r w:rsidR="009F2AD6">
        <w:rPr>
          <w:rFonts w:ascii="Times New Roman" w:hAnsi="Times New Roman"/>
          <w:sz w:val="22"/>
          <w:lang w:eastAsia="zh-CN"/>
        </w:rPr>
        <w:t xml:space="preserve">either </w:t>
      </w:r>
      <w:r w:rsidR="00CE526A">
        <w:rPr>
          <w:rFonts w:ascii="Times New Roman" w:hAnsi="Times New Roman"/>
          <w:sz w:val="22"/>
          <w:lang w:eastAsia="zh-CN"/>
        </w:rPr>
        <w:t>not work</w:t>
      </w:r>
      <w:r w:rsidR="009F2AD6">
        <w:rPr>
          <w:rFonts w:ascii="Times New Roman" w:hAnsi="Times New Roman"/>
          <w:sz w:val="22"/>
          <w:lang w:eastAsia="zh-CN"/>
        </w:rPr>
        <w:t xml:space="preserve"> or require additional RAN4 works</w:t>
      </w:r>
      <w:r w:rsidR="00CE526A">
        <w:rPr>
          <w:rFonts w:ascii="Times New Roman" w:hAnsi="Times New Roman"/>
          <w:sz w:val="22"/>
          <w:lang w:eastAsia="zh-CN"/>
        </w:rPr>
        <w:t xml:space="preserve">. Besides, if the Pcmax in the agreement is </w:t>
      </w:r>
      <w:r w:rsidR="009F2AD6">
        <w:rPr>
          <w:rFonts w:ascii="Times New Roman" w:hAnsi="Times New Roman"/>
          <w:sz w:val="22"/>
          <w:lang w:eastAsia="zh-CN"/>
        </w:rPr>
        <w:t>referred</w:t>
      </w:r>
      <w:r w:rsidR="00CE526A">
        <w:rPr>
          <w:rFonts w:ascii="Times New Roman" w:hAnsi="Times New Roman"/>
          <w:sz w:val="22"/>
          <w:lang w:eastAsia="zh-CN"/>
        </w:rPr>
        <w:t xml:space="preserve"> to </w:t>
      </w:r>
      <w:r w:rsidRPr="00CE526A">
        <w:rPr>
          <w:rFonts w:ascii="Times New Roman" w:hAnsi="Times New Roman"/>
          <w:sz w:val="22"/>
          <w:lang w:eastAsia="zh-CN"/>
        </w:rPr>
        <w:t>p_total</w:t>
      </w:r>
      <w:r w:rsidR="00CE526A">
        <w:rPr>
          <w:rFonts w:ascii="Times New Roman" w:hAnsi="Times New Roman"/>
          <w:sz w:val="22"/>
          <w:lang w:eastAsia="zh-CN"/>
        </w:rPr>
        <w:t xml:space="preserve">, </w:t>
      </w:r>
      <w:r w:rsidR="009F2AD6">
        <w:rPr>
          <w:rFonts w:ascii="Times New Roman" w:hAnsi="Times New Roman"/>
          <w:sz w:val="22"/>
          <w:lang w:eastAsia="zh-CN"/>
        </w:rPr>
        <w:t xml:space="preserve">then </w:t>
      </w:r>
      <w:r w:rsidR="00CE526A">
        <w:rPr>
          <w:rFonts w:ascii="Times New Roman" w:hAnsi="Times New Roman"/>
          <w:sz w:val="22"/>
          <w:lang w:eastAsia="zh-CN"/>
        </w:rPr>
        <w:t>it</w:t>
      </w:r>
      <w:r w:rsidR="00222F6B" w:rsidRPr="00CE526A">
        <w:rPr>
          <w:rFonts w:ascii="Times New Roman" w:hAnsi="Times New Roman"/>
          <w:sz w:val="22"/>
          <w:lang w:eastAsia="zh-CN"/>
        </w:rPr>
        <w:t xml:space="preserve"> may possibly cause some restrictions</w:t>
      </w:r>
      <w:r w:rsidR="00815831" w:rsidRPr="00CE526A">
        <w:rPr>
          <w:rFonts w:ascii="Times New Roman" w:hAnsi="Times New Roman"/>
          <w:sz w:val="22"/>
          <w:lang w:eastAsia="zh-CN"/>
        </w:rPr>
        <w:t>.</w:t>
      </w:r>
      <w:r w:rsidR="00DA68E4">
        <w:rPr>
          <w:rFonts w:ascii="Times New Roman" w:hAnsi="Times New Roman"/>
          <w:sz w:val="22"/>
          <w:lang w:eastAsia="zh-CN"/>
        </w:rPr>
        <w:t xml:space="preserve"> </w:t>
      </w:r>
      <w:bookmarkStart w:id="8" w:name="_GoBack"/>
      <w:bookmarkEnd w:id="8"/>
      <w:r w:rsidR="00CE526A">
        <w:rPr>
          <w:rFonts w:ascii="Times New Roman" w:hAnsi="Times New Roman"/>
          <w:sz w:val="22"/>
          <w:lang w:val="en-US" w:eastAsia="zh-CN"/>
        </w:rPr>
        <w:t xml:space="preserve">For example, </w:t>
      </w:r>
      <w:r w:rsidR="00AD5161">
        <w:rPr>
          <w:rFonts w:ascii="Times New Roman" w:hAnsi="Times New Roman"/>
          <w:sz w:val="22"/>
          <w:lang w:val="en-US" w:eastAsia="zh-CN"/>
        </w:rPr>
        <w:t xml:space="preserve">if </w:t>
      </w:r>
      <w:r w:rsidR="00CE526A">
        <w:rPr>
          <w:rFonts w:ascii="Times New Roman" w:hAnsi="Times New Roman"/>
          <w:sz w:val="22"/>
          <w:lang w:val="en-US" w:eastAsia="zh-CN"/>
        </w:rPr>
        <w:t xml:space="preserve">network </w:t>
      </w:r>
      <w:r w:rsidR="00AD5161">
        <w:rPr>
          <w:rFonts w:ascii="Times New Roman" w:hAnsi="Times New Roman"/>
          <w:sz w:val="22"/>
          <w:lang w:val="en-US" w:eastAsia="zh-CN"/>
        </w:rPr>
        <w:t xml:space="preserve">wants to </w:t>
      </w:r>
      <w:r w:rsidR="009F2AD6">
        <w:rPr>
          <w:rFonts w:ascii="Times New Roman" w:hAnsi="Times New Roman"/>
          <w:sz w:val="22"/>
          <w:lang w:val="en-US" w:eastAsia="zh-CN"/>
        </w:rPr>
        <w:t>reduce</w:t>
      </w:r>
      <w:r w:rsidR="00CE526A">
        <w:rPr>
          <w:rFonts w:ascii="Times New Roman" w:hAnsi="Times New Roman"/>
          <w:sz w:val="22"/>
          <w:lang w:val="en-US" w:eastAsia="zh-CN"/>
        </w:rPr>
        <w:t xml:space="preserve"> the maximum transmit power for LTE UL subframes that are not overlapped with NR UL</w:t>
      </w:r>
      <w:r w:rsidR="00AD5161">
        <w:rPr>
          <w:rFonts w:ascii="Times New Roman" w:hAnsi="Times New Roman"/>
          <w:sz w:val="22"/>
          <w:lang w:val="en-US" w:eastAsia="zh-CN"/>
        </w:rPr>
        <w:t xml:space="preserve">, the network </w:t>
      </w:r>
      <w:r w:rsidR="009F2AD6">
        <w:rPr>
          <w:rFonts w:ascii="Times New Roman" w:hAnsi="Times New Roman"/>
          <w:sz w:val="22"/>
          <w:lang w:val="en-US" w:eastAsia="zh-CN"/>
        </w:rPr>
        <w:t xml:space="preserve">has to configure a smaller </w:t>
      </w:r>
      <w:r w:rsidR="00AD5161">
        <w:rPr>
          <w:rFonts w:ascii="Times New Roman" w:hAnsi="Times New Roman"/>
          <w:sz w:val="22"/>
          <w:lang w:val="en-US" w:eastAsia="zh-CN"/>
        </w:rPr>
        <w:t>p_total to the UE</w:t>
      </w:r>
      <w:r w:rsidR="00CE526A">
        <w:rPr>
          <w:rFonts w:ascii="Times New Roman" w:hAnsi="Times New Roman"/>
          <w:sz w:val="22"/>
          <w:lang w:val="en-US" w:eastAsia="zh-CN"/>
        </w:rPr>
        <w:t xml:space="preserve">. In this case, the maximum transmit power for NR </w:t>
      </w:r>
      <w:r w:rsidR="00AD5161">
        <w:rPr>
          <w:rFonts w:ascii="Times New Roman" w:hAnsi="Times New Roman"/>
          <w:sz w:val="22"/>
          <w:lang w:val="en-US" w:eastAsia="zh-CN"/>
        </w:rPr>
        <w:t xml:space="preserve">UL </w:t>
      </w:r>
      <w:r w:rsidR="00CE526A">
        <w:rPr>
          <w:rFonts w:ascii="Times New Roman" w:hAnsi="Times New Roman"/>
          <w:sz w:val="22"/>
          <w:lang w:val="en-US" w:eastAsia="zh-CN"/>
        </w:rPr>
        <w:t>slots</w:t>
      </w:r>
      <w:r w:rsidR="00AD5161">
        <w:rPr>
          <w:rFonts w:ascii="Times New Roman" w:hAnsi="Times New Roman"/>
          <w:sz w:val="22"/>
          <w:lang w:val="en-US" w:eastAsia="zh-CN"/>
        </w:rPr>
        <w:t xml:space="preserve"> will be also reduced. Namely, option 1b is less flexible than option 1a.</w:t>
      </w:r>
    </w:p>
    <w:p w14:paraId="2CC4EAB6" w14:textId="38275F6D" w:rsidR="00AE0F40" w:rsidRPr="007F512B" w:rsidRDefault="00AE0F40" w:rsidP="007F512B">
      <w:pPr>
        <w:pStyle w:val="ListParagraph"/>
        <w:numPr>
          <w:ilvl w:val="0"/>
          <w:numId w:val="11"/>
        </w:numPr>
        <w:spacing w:after="120"/>
        <w:rPr>
          <w:rFonts w:ascii="Times New Roman" w:hAnsi="Times New Roman"/>
          <w:b/>
          <w:sz w:val="22"/>
          <w:lang w:eastAsia="zh-CN"/>
        </w:rPr>
      </w:pPr>
      <w:r>
        <w:rPr>
          <w:rFonts w:ascii="Times New Roman" w:hAnsi="Times New Roman"/>
          <w:b/>
          <w:sz w:val="22"/>
          <w:lang w:eastAsia="zh-CN"/>
        </w:rPr>
        <w:t>Option 1.5</w:t>
      </w:r>
      <w:r w:rsidRPr="00AE0F40">
        <w:rPr>
          <w:rFonts w:ascii="Times New Roman" w:hAnsi="Times New Roman"/>
          <w:sz w:val="22"/>
          <w:lang w:eastAsia="zh-CN"/>
        </w:rPr>
        <w:t>:</w:t>
      </w:r>
      <w:r>
        <w:rPr>
          <w:rFonts w:ascii="Times New Roman" w:hAnsi="Times New Roman"/>
          <w:sz w:val="22"/>
          <w:lang w:eastAsia="zh-CN"/>
        </w:rPr>
        <w:t xml:space="preserve"> </w:t>
      </w:r>
      <w:r w:rsidR="006F3637">
        <w:rPr>
          <w:rFonts w:ascii="Times New Roman" w:hAnsi="Times New Roman"/>
          <w:sz w:val="22"/>
          <w:lang w:eastAsia="zh-CN"/>
        </w:rPr>
        <w:t>In this option,</w:t>
      </w:r>
      <w:r>
        <w:rPr>
          <w:rFonts w:ascii="Times New Roman" w:hAnsi="Times New Roman"/>
          <w:sz w:val="22"/>
          <w:lang w:eastAsia="zh-CN"/>
        </w:rPr>
        <w:t xml:space="preserve"> </w:t>
      </w:r>
      <w:r w:rsidR="00DA68E4">
        <w:rPr>
          <w:rFonts w:ascii="Times New Roman" w:hAnsi="Times New Roman"/>
          <w:sz w:val="22"/>
          <w:lang w:eastAsia="zh-CN"/>
        </w:rPr>
        <w:t xml:space="preserve">the </w:t>
      </w:r>
      <w:r>
        <w:rPr>
          <w:rFonts w:ascii="Times New Roman" w:hAnsi="Times New Roman"/>
          <w:sz w:val="22"/>
          <w:lang w:eastAsia="zh-CN"/>
        </w:rPr>
        <w:t xml:space="preserve">LTE power is always limited </w:t>
      </w:r>
      <w:r w:rsidR="00F7282C">
        <w:rPr>
          <w:rFonts w:ascii="Times New Roman" w:hAnsi="Times New Roman"/>
          <w:sz w:val="22"/>
          <w:lang w:eastAsia="zh-CN"/>
        </w:rPr>
        <w:t xml:space="preserve">by the same maximum transmit power </w:t>
      </w:r>
      <w:r>
        <w:rPr>
          <w:rFonts w:ascii="Times New Roman" w:hAnsi="Times New Roman"/>
          <w:sz w:val="22"/>
          <w:lang w:eastAsia="zh-CN"/>
        </w:rPr>
        <w:t xml:space="preserve">regardless of overlapped subframes or not in this option. </w:t>
      </w:r>
      <w:r w:rsidR="00222F6B">
        <w:rPr>
          <w:rFonts w:ascii="Times New Roman" w:hAnsi="Times New Roman"/>
          <w:sz w:val="22"/>
          <w:lang w:eastAsia="zh-CN"/>
        </w:rPr>
        <w:t>Obviously,</w:t>
      </w:r>
      <w:r>
        <w:rPr>
          <w:rFonts w:ascii="Times New Roman" w:hAnsi="Times New Roman"/>
          <w:sz w:val="22"/>
          <w:lang w:eastAsia="zh-CN"/>
        </w:rPr>
        <w:t xml:space="preserve"> such option has already </w:t>
      </w:r>
      <w:r w:rsidR="00222F6B">
        <w:rPr>
          <w:rFonts w:ascii="Times New Roman" w:hAnsi="Times New Roman"/>
          <w:sz w:val="22"/>
          <w:lang w:eastAsia="zh-CN"/>
        </w:rPr>
        <w:t xml:space="preserve">been </w:t>
      </w:r>
      <w:r>
        <w:rPr>
          <w:rFonts w:ascii="Times New Roman" w:hAnsi="Times New Roman"/>
          <w:sz w:val="22"/>
          <w:lang w:eastAsia="zh-CN"/>
        </w:rPr>
        <w:t xml:space="preserve">precluded by current agreement. </w:t>
      </w:r>
    </w:p>
    <w:p w14:paraId="28F9B73E" w14:textId="6E2F69CD" w:rsidR="009639BF" w:rsidRPr="007F512B" w:rsidRDefault="00815831" w:rsidP="007F512B">
      <w:pPr>
        <w:pStyle w:val="ListParagraph"/>
        <w:numPr>
          <w:ilvl w:val="0"/>
          <w:numId w:val="11"/>
        </w:numPr>
        <w:spacing w:after="120"/>
        <w:rPr>
          <w:rFonts w:ascii="Times New Roman" w:hAnsi="Times New Roman"/>
          <w:b/>
          <w:sz w:val="22"/>
          <w:lang w:eastAsia="zh-CN"/>
        </w:rPr>
      </w:pPr>
      <w:r w:rsidRPr="007F512B">
        <w:rPr>
          <w:rFonts w:ascii="Times New Roman" w:hAnsi="Times New Roman"/>
          <w:b/>
          <w:sz w:val="22"/>
          <w:lang w:eastAsia="zh-CN"/>
        </w:rPr>
        <w:t>Option 2</w:t>
      </w:r>
      <w:r w:rsidRPr="007F512B">
        <w:rPr>
          <w:rFonts w:ascii="Times New Roman" w:hAnsi="Times New Roman"/>
          <w:sz w:val="22"/>
          <w:lang w:eastAsia="zh-CN"/>
        </w:rPr>
        <w:t xml:space="preserve">: This solution requires UE to have the capability of fast LTE power adjustment, and </w:t>
      </w:r>
      <w:r w:rsidR="00EC650B">
        <w:rPr>
          <w:rFonts w:ascii="Times New Roman" w:hAnsi="Times New Roman"/>
          <w:sz w:val="22"/>
          <w:lang w:eastAsia="zh-CN"/>
        </w:rPr>
        <w:t>have significant impact on the LTE power control procedure.</w:t>
      </w:r>
      <w:r w:rsidR="00EC650B" w:rsidRPr="007F512B">
        <w:rPr>
          <w:rFonts w:ascii="Times New Roman" w:hAnsi="Times New Roman"/>
          <w:sz w:val="22"/>
          <w:lang w:eastAsia="zh-CN"/>
        </w:rPr>
        <w:t xml:space="preserve"> </w:t>
      </w:r>
      <w:r w:rsidR="00EC650B">
        <w:rPr>
          <w:rFonts w:ascii="Times New Roman" w:hAnsi="Times New Roman"/>
          <w:sz w:val="22"/>
          <w:lang w:eastAsia="zh-CN"/>
        </w:rPr>
        <w:t>Besides,</w:t>
      </w:r>
      <w:r w:rsidR="00EC650B" w:rsidRPr="007F512B">
        <w:rPr>
          <w:rFonts w:ascii="Times New Roman" w:hAnsi="Times New Roman"/>
          <w:sz w:val="22"/>
          <w:lang w:eastAsia="zh-CN"/>
        </w:rPr>
        <w:t xml:space="preserve"> </w:t>
      </w:r>
      <w:r w:rsidRPr="007F512B">
        <w:rPr>
          <w:rFonts w:ascii="Times New Roman" w:hAnsi="Times New Roman"/>
          <w:sz w:val="22"/>
          <w:lang w:eastAsia="zh-CN"/>
        </w:rPr>
        <w:t xml:space="preserve">LTE will </w:t>
      </w:r>
      <w:r w:rsidR="009639BF" w:rsidRPr="007F512B">
        <w:rPr>
          <w:rFonts w:ascii="Times New Roman" w:hAnsi="Times New Roman"/>
          <w:sz w:val="22"/>
          <w:lang w:eastAsia="zh-CN"/>
        </w:rPr>
        <w:t>d</w:t>
      </w:r>
      <w:r w:rsidRPr="007F512B">
        <w:rPr>
          <w:rFonts w:ascii="Times New Roman" w:hAnsi="Times New Roman"/>
          <w:sz w:val="22"/>
          <w:lang w:eastAsia="zh-CN"/>
        </w:rPr>
        <w:t xml:space="preserve">rop a large number of </w:t>
      </w:r>
      <w:r w:rsidR="009639BF" w:rsidRPr="007F512B">
        <w:rPr>
          <w:rFonts w:ascii="Times New Roman" w:hAnsi="Times New Roman"/>
          <w:sz w:val="22"/>
          <w:lang w:eastAsia="zh-CN"/>
        </w:rPr>
        <w:t xml:space="preserve">subframes when NR uses most amount </w:t>
      </w:r>
      <w:r w:rsidRPr="007F512B">
        <w:rPr>
          <w:rFonts w:ascii="Times New Roman" w:hAnsi="Times New Roman"/>
          <w:sz w:val="22"/>
          <w:lang w:eastAsia="zh-CN"/>
        </w:rPr>
        <w:t xml:space="preserve">of the </w:t>
      </w:r>
      <w:r w:rsidR="009639BF" w:rsidRPr="007F512B">
        <w:rPr>
          <w:rFonts w:ascii="Times New Roman" w:hAnsi="Times New Roman"/>
          <w:sz w:val="22"/>
          <w:lang w:eastAsia="zh-CN"/>
        </w:rPr>
        <w:t xml:space="preserve">total </w:t>
      </w:r>
      <w:r w:rsidRPr="007F512B">
        <w:rPr>
          <w:rFonts w:ascii="Times New Roman" w:hAnsi="Times New Roman"/>
          <w:sz w:val="22"/>
          <w:lang w:eastAsia="zh-CN"/>
        </w:rPr>
        <w:t>transmit power</w:t>
      </w:r>
      <w:r w:rsidR="009639BF" w:rsidRPr="007F512B">
        <w:rPr>
          <w:rFonts w:ascii="Times New Roman" w:hAnsi="Times New Roman"/>
          <w:sz w:val="22"/>
          <w:lang w:eastAsia="zh-CN"/>
        </w:rPr>
        <w:t>, especially for the asynchronous case.</w:t>
      </w:r>
      <w:r w:rsidR="00EC650B">
        <w:rPr>
          <w:rFonts w:ascii="Times New Roman" w:hAnsi="Times New Roman"/>
          <w:sz w:val="22"/>
          <w:lang w:eastAsia="zh-CN"/>
        </w:rPr>
        <w:t>.</w:t>
      </w:r>
    </w:p>
    <w:p w14:paraId="0803585B" w14:textId="28F40655" w:rsidR="00815831" w:rsidRPr="007F512B" w:rsidRDefault="009639BF" w:rsidP="007F512B">
      <w:pPr>
        <w:pStyle w:val="ListParagraph"/>
        <w:numPr>
          <w:ilvl w:val="0"/>
          <w:numId w:val="11"/>
        </w:numPr>
        <w:spacing w:after="120"/>
        <w:rPr>
          <w:rFonts w:ascii="Times New Roman" w:hAnsi="Times New Roman"/>
          <w:b/>
          <w:sz w:val="22"/>
          <w:lang w:eastAsia="zh-CN"/>
        </w:rPr>
      </w:pPr>
      <w:r w:rsidRPr="007F512B">
        <w:rPr>
          <w:rFonts w:ascii="Times New Roman" w:hAnsi="Times New Roman"/>
          <w:b/>
          <w:sz w:val="22"/>
          <w:lang w:eastAsia="zh-CN"/>
        </w:rPr>
        <w:t>Option 3</w:t>
      </w:r>
      <w:r w:rsidRPr="007F512B">
        <w:rPr>
          <w:rFonts w:ascii="Times New Roman" w:hAnsi="Times New Roman"/>
          <w:sz w:val="22"/>
          <w:lang w:eastAsia="zh-CN"/>
        </w:rPr>
        <w:t>:</w:t>
      </w:r>
      <w:r w:rsidR="00815831" w:rsidRPr="007F512B">
        <w:rPr>
          <w:rFonts w:ascii="Times New Roman" w:hAnsi="Times New Roman"/>
          <w:sz w:val="22"/>
          <w:lang w:eastAsia="zh-CN"/>
        </w:rPr>
        <w:t xml:space="preserve"> </w:t>
      </w:r>
      <w:r w:rsidR="006F3637">
        <w:rPr>
          <w:rFonts w:ascii="Times New Roman" w:hAnsi="Times New Roman"/>
          <w:sz w:val="22"/>
          <w:lang w:eastAsia="zh-CN"/>
        </w:rPr>
        <w:t>This option</w:t>
      </w:r>
      <w:r w:rsidR="00222F6B">
        <w:rPr>
          <w:rFonts w:ascii="Times New Roman" w:hAnsi="Times New Roman"/>
          <w:sz w:val="22"/>
          <w:lang w:eastAsia="zh-CN"/>
        </w:rPr>
        <w:t xml:space="preserve"> has the same drawbacks as mentioned for option 2</w:t>
      </w:r>
      <w:r w:rsidR="006F3637">
        <w:rPr>
          <w:rFonts w:ascii="Times New Roman" w:hAnsi="Times New Roman"/>
          <w:sz w:val="22"/>
          <w:lang w:eastAsia="zh-CN"/>
        </w:rPr>
        <w:t>, and will also cause significant impact to the LTE power control procedure</w:t>
      </w:r>
      <w:r w:rsidR="00222F6B">
        <w:rPr>
          <w:rFonts w:ascii="Times New Roman" w:hAnsi="Times New Roman"/>
          <w:sz w:val="22"/>
          <w:lang w:eastAsia="zh-CN"/>
        </w:rPr>
        <w:t xml:space="preserve">. </w:t>
      </w:r>
      <w:r w:rsidR="00EC650B">
        <w:rPr>
          <w:rFonts w:ascii="Times New Roman" w:hAnsi="Times New Roman"/>
          <w:sz w:val="22"/>
          <w:lang w:eastAsia="zh-CN"/>
        </w:rPr>
        <w:t>Therefore</w:t>
      </w:r>
      <w:r w:rsidR="006F3637">
        <w:rPr>
          <w:rFonts w:ascii="Times New Roman" w:hAnsi="Times New Roman"/>
          <w:sz w:val="22"/>
          <w:lang w:eastAsia="zh-CN"/>
        </w:rPr>
        <w:t>, different UE capabilities need to be defined.</w:t>
      </w:r>
    </w:p>
    <w:p w14:paraId="76268691" w14:textId="5A321CB1" w:rsidR="009639BF" w:rsidRDefault="004E14A3" w:rsidP="002F423C">
      <w:pPr>
        <w:rPr>
          <w:lang w:eastAsia="zh-CN"/>
        </w:rPr>
      </w:pPr>
      <w:r>
        <w:rPr>
          <w:lang w:eastAsia="zh-CN"/>
        </w:rPr>
        <w:t>Based on above analysis, it is preferred to adopt option 1a for NE-DC UE that is capable of dynamic power sharing.</w:t>
      </w:r>
    </w:p>
    <w:p w14:paraId="69F79593" w14:textId="4102D910" w:rsidR="004E14A3" w:rsidRPr="004E14A3" w:rsidRDefault="004E14A3" w:rsidP="002F423C">
      <w:pPr>
        <w:rPr>
          <w:i/>
          <w:lang w:eastAsia="zh-CN"/>
        </w:rPr>
      </w:pPr>
      <w:r w:rsidRPr="004E14A3">
        <w:rPr>
          <w:b/>
          <w:i/>
          <w:lang w:eastAsia="zh-CN"/>
        </w:rPr>
        <w:t>Proposal 1</w:t>
      </w:r>
      <w:r w:rsidRPr="004E14A3">
        <w:rPr>
          <w:i/>
          <w:lang w:eastAsia="zh-CN"/>
        </w:rPr>
        <w:t xml:space="preserve">: </w:t>
      </w:r>
      <w:r w:rsidR="00A90483">
        <w:rPr>
          <w:i/>
          <w:lang w:eastAsia="zh-CN"/>
        </w:rPr>
        <w:t>Support option 1a f</w:t>
      </w:r>
      <w:r w:rsidRPr="004E14A3">
        <w:rPr>
          <w:i/>
          <w:lang w:eastAsia="zh-CN"/>
        </w:rPr>
        <w:t>or NE-DC dynamic power sharing</w:t>
      </w:r>
      <w:r>
        <w:rPr>
          <w:i/>
          <w:lang w:eastAsia="zh-CN"/>
        </w:rPr>
        <w:t>.</w:t>
      </w:r>
    </w:p>
    <w:bookmarkEnd w:id="6"/>
    <w:bookmarkEnd w:id="7"/>
    <w:p w14:paraId="15B43D15" w14:textId="34A3A4CD" w:rsidR="00D63DFD" w:rsidRDefault="00514836" w:rsidP="00514836">
      <w:pPr>
        <w:pStyle w:val="Heading2"/>
        <w:tabs>
          <w:tab w:val="clear" w:pos="576"/>
        </w:tabs>
        <w:rPr>
          <w:lang w:eastAsia="ja-JP"/>
        </w:rPr>
      </w:pPr>
      <w:r>
        <w:rPr>
          <w:rFonts w:hint="eastAsia"/>
          <w:lang w:eastAsia="ja-JP"/>
        </w:rPr>
        <w:lastRenderedPageBreak/>
        <w:t>On EN-DC power control</w:t>
      </w:r>
    </w:p>
    <w:p w14:paraId="711D30C4" w14:textId="77777777" w:rsidR="004E14A3" w:rsidRDefault="004E14A3" w:rsidP="00514836">
      <w:pPr>
        <w:rPr>
          <w:rFonts w:eastAsiaTheme="minorEastAsia"/>
          <w:lang w:eastAsia="zh-CN"/>
        </w:rPr>
      </w:pPr>
      <w:r>
        <w:rPr>
          <w:rFonts w:eastAsiaTheme="minorEastAsia"/>
          <w:lang w:eastAsia="zh-CN"/>
        </w:rPr>
        <w:t>In RAN#80 meeting, the following decision was made.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4E14A3" w:rsidRPr="00682B56" w14:paraId="08C1BF1D" w14:textId="77777777" w:rsidTr="00C913A3">
        <w:tc>
          <w:tcPr>
            <w:tcW w:w="9312" w:type="dxa"/>
          </w:tcPr>
          <w:p w14:paraId="63B62B23" w14:textId="77777777" w:rsidR="004E14A3" w:rsidRPr="004E14A3" w:rsidRDefault="004E14A3" w:rsidP="004E14A3">
            <w:pPr>
              <w:rPr>
                <w:i/>
              </w:rPr>
            </w:pPr>
            <w:r w:rsidRPr="004E14A3">
              <w:rPr>
                <w:i/>
              </w:rPr>
              <w:t>The following conditions should be used when improving the RAN4 Inter-band EN-DC Configured Output Power requirements:</w:t>
            </w:r>
          </w:p>
          <w:p w14:paraId="5EA1DC6B" w14:textId="77777777" w:rsidR="004E14A3" w:rsidRPr="004E14A3" w:rsidRDefault="004E14A3" w:rsidP="00FA5310">
            <w:pPr>
              <w:numPr>
                <w:ilvl w:val="0"/>
                <w:numId w:val="8"/>
              </w:numPr>
              <w:autoSpaceDE/>
              <w:autoSpaceDN/>
              <w:adjustRightInd/>
              <w:snapToGrid/>
              <w:spacing w:after="0"/>
              <w:jc w:val="left"/>
              <w:rPr>
                <w:i/>
              </w:rPr>
            </w:pPr>
            <w:r w:rsidRPr="004E14A3">
              <w:rPr>
                <w:i/>
              </w:rPr>
              <w:t>UE is allowed to drop NR only if the power scaling applied to NR means that the difference between scaled and unscaled NR UL power is more than XdB. In other cases the UE does power scaling of NR UL.</w:t>
            </w:r>
          </w:p>
          <w:p w14:paraId="0291D4A2" w14:textId="77777777" w:rsidR="004E14A3" w:rsidRPr="004E14A3" w:rsidRDefault="004E14A3" w:rsidP="00FA5310">
            <w:pPr>
              <w:numPr>
                <w:ilvl w:val="0"/>
                <w:numId w:val="8"/>
              </w:numPr>
              <w:autoSpaceDE/>
              <w:autoSpaceDN/>
              <w:adjustRightInd/>
              <w:snapToGrid/>
              <w:spacing w:after="0"/>
              <w:jc w:val="left"/>
              <w:rPr>
                <w:i/>
              </w:rPr>
            </w:pPr>
            <w:r w:rsidRPr="004E14A3">
              <w:rPr>
                <w:i/>
              </w:rPr>
              <w:t>X dB is RRC configured parameter with 4 fixed values and X is [0, 2, 4 or 6] dB. The UE has to be able to support all these 4 configurable X values.</w:t>
            </w:r>
          </w:p>
          <w:p w14:paraId="09C5EA7F" w14:textId="324D41A7" w:rsidR="004E14A3" w:rsidRPr="004E14A3" w:rsidRDefault="004E14A3" w:rsidP="00FA5310">
            <w:pPr>
              <w:numPr>
                <w:ilvl w:val="0"/>
                <w:numId w:val="8"/>
              </w:numPr>
              <w:autoSpaceDE/>
              <w:autoSpaceDN/>
              <w:adjustRightInd/>
              <w:snapToGrid/>
              <w:spacing w:after="0"/>
              <w:jc w:val="left"/>
              <w:rPr>
                <w:i/>
              </w:rPr>
            </w:pPr>
            <w:r w:rsidRPr="004E14A3">
              <w:rPr>
                <w:i/>
              </w:rPr>
              <w:t>This threshold X dB does not limit the UE performance but only defines the UE minimum performance (i.e. UE can perform better than the minimum performance)</w:t>
            </w:r>
          </w:p>
        </w:tc>
      </w:tr>
    </w:tbl>
    <w:p w14:paraId="6F5D4174" w14:textId="6D20EFC3" w:rsidR="004E14A3" w:rsidRPr="004E14A3" w:rsidRDefault="004E14A3" w:rsidP="00514836">
      <w:pPr>
        <w:rPr>
          <w:rFonts w:eastAsiaTheme="minorEastAsia"/>
          <w:lang w:eastAsia="zh-CN"/>
        </w:rPr>
      </w:pPr>
      <w:r>
        <w:rPr>
          <w:rFonts w:eastAsiaTheme="minorEastAsia" w:hint="eastAsia"/>
          <w:lang w:eastAsia="zh-CN"/>
        </w:rPr>
        <w:t xml:space="preserve">This issue has been discussed in the last RAN1 meeting, and is desired to be resolved in RAN1#95 meeting. </w:t>
      </w:r>
      <w:r>
        <w:rPr>
          <w:rFonts w:eastAsiaTheme="minorEastAsia"/>
          <w:lang w:eastAsia="zh-CN"/>
        </w:rPr>
        <w:t>The following options are considered:</w:t>
      </w:r>
    </w:p>
    <w:p w14:paraId="1831C55A" w14:textId="77777777" w:rsidR="004E14A3" w:rsidRDefault="004E14A3" w:rsidP="00FA5310">
      <w:pPr>
        <w:numPr>
          <w:ilvl w:val="0"/>
          <w:numId w:val="9"/>
        </w:numPr>
        <w:autoSpaceDE/>
        <w:autoSpaceDN/>
        <w:adjustRightInd/>
        <w:snapToGrid/>
        <w:spacing w:after="0"/>
        <w:jc w:val="left"/>
        <w:rPr>
          <w:lang w:eastAsia="x-none"/>
        </w:rPr>
      </w:pPr>
      <w:r>
        <w:rPr>
          <w:lang w:eastAsia="x-none"/>
        </w:rPr>
        <w:t>Option 1: Define additional RRC signaling to support configuration of 3 separate power scaling thresholds, including</w:t>
      </w:r>
    </w:p>
    <w:p w14:paraId="486CC584" w14:textId="77777777" w:rsidR="004E14A3" w:rsidRDefault="004E14A3" w:rsidP="00FA5310">
      <w:pPr>
        <w:numPr>
          <w:ilvl w:val="1"/>
          <w:numId w:val="9"/>
        </w:numPr>
        <w:autoSpaceDE/>
        <w:autoSpaceDN/>
        <w:adjustRightInd/>
        <w:snapToGrid/>
        <w:spacing w:after="0"/>
        <w:jc w:val="left"/>
        <w:rPr>
          <w:lang w:eastAsia="x-none"/>
        </w:rPr>
      </w:pPr>
      <w:r>
        <w:rPr>
          <w:lang w:eastAsia="x-none"/>
        </w:rPr>
        <w:t>X1-dB for PUSCH</w:t>
      </w:r>
    </w:p>
    <w:p w14:paraId="0FE23F29" w14:textId="77777777" w:rsidR="004E14A3" w:rsidRDefault="004E14A3" w:rsidP="00FA5310">
      <w:pPr>
        <w:numPr>
          <w:ilvl w:val="1"/>
          <w:numId w:val="9"/>
        </w:numPr>
        <w:autoSpaceDE/>
        <w:autoSpaceDN/>
        <w:adjustRightInd/>
        <w:snapToGrid/>
        <w:spacing w:after="0"/>
        <w:jc w:val="left"/>
        <w:rPr>
          <w:lang w:eastAsia="x-none"/>
        </w:rPr>
      </w:pPr>
      <w:r>
        <w:rPr>
          <w:lang w:eastAsia="x-none"/>
        </w:rPr>
        <w:t>X2-dB for PUCCH</w:t>
      </w:r>
    </w:p>
    <w:p w14:paraId="759DB214" w14:textId="77777777" w:rsidR="004E14A3" w:rsidRDefault="004E14A3" w:rsidP="00FA5310">
      <w:pPr>
        <w:numPr>
          <w:ilvl w:val="1"/>
          <w:numId w:val="9"/>
        </w:numPr>
        <w:autoSpaceDE/>
        <w:autoSpaceDN/>
        <w:adjustRightInd/>
        <w:snapToGrid/>
        <w:spacing w:after="0"/>
        <w:jc w:val="left"/>
        <w:rPr>
          <w:lang w:eastAsia="x-none"/>
        </w:rPr>
      </w:pPr>
      <w:r>
        <w:rPr>
          <w:lang w:eastAsia="x-none"/>
        </w:rPr>
        <w:t>X3-dB for SRS</w:t>
      </w:r>
    </w:p>
    <w:p w14:paraId="3DC58D38" w14:textId="77777777" w:rsidR="004E14A3" w:rsidRDefault="004E14A3" w:rsidP="00FA5310">
      <w:pPr>
        <w:numPr>
          <w:ilvl w:val="0"/>
          <w:numId w:val="9"/>
        </w:numPr>
        <w:autoSpaceDE/>
        <w:autoSpaceDN/>
        <w:adjustRightInd/>
        <w:snapToGrid/>
        <w:spacing w:after="0"/>
        <w:jc w:val="left"/>
        <w:rPr>
          <w:lang w:eastAsia="x-none"/>
        </w:rPr>
      </w:pPr>
      <w:r>
        <w:rPr>
          <w:lang w:eastAsia="x-none"/>
        </w:rPr>
        <w:t>Option 2: Clarify that X-dB threshold only applies to PUSCH</w:t>
      </w:r>
    </w:p>
    <w:p w14:paraId="5EC7832B" w14:textId="77777777" w:rsidR="004E14A3" w:rsidRDefault="004E14A3" w:rsidP="00FA5310">
      <w:pPr>
        <w:numPr>
          <w:ilvl w:val="0"/>
          <w:numId w:val="9"/>
        </w:numPr>
        <w:autoSpaceDE/>
        <w:autoSpaceDN/>
        <w:adjustRightInd/>
        <w:snapToGrid/>
        <w:spacing w:after="0"/>
        <w:jc w:val="left"/>
        <w:rPr>
          <w:lang w:eastAsia="x-none"/>
        </w:rPr>
      </w:pPr>
      <w:r>
        <w:rPr>
          <w:lang w:eastAsia="x-none"/>
        </w:rPr>
        <w:t>Option 3: X-dB threshold applies to all channels</w:t>
      </w:r>
    </w:p>
    <w:p w14:paraId="2700030E" w14:textId="77777777" w:rsidR="004E14A3" w:rsidRDefault="004E14A3" w:rsidP="00FA5310">
      <w:pPr>
        <w:numPr>
          <w:ilvl w:val="0"/>
          <w:numId w:val="9"/>
        </w:numPr>
        <w:autoSpaceDE/>
        <w:autoSpaceDN/>
        <w:adjustRightInd/>
        <w:snapToGrid/>
        <w:spacing w:after="0"/>
        <w:jc w:val="left"/>
        <w:rPr>
          <w:lang w:eastAsia="x-none"/>
        </w:rPr>
      </w:pPr>
      <w:r>
        <w:rPr>
          <w:lang w:eastAsia="x-none"/>
        </w:rPr>
        <w:t>Option 4: Use of X-dB is TBD (by RAN1 and/or RAN4), only impacts RAN4 specification, no impact to RAN1 specs</w:t>
      </w:r>
    </w:p>
    <w:p w14:paraId="5A2C5C96" w14:textId="33CD8402" w:rsidR="009B677D" w:rsidRDefault="00867923" w:rsidP="00514836">
      <w:pPr>
        <w:rPr>
          <w:rFonts w:eastAsiaTheme="minorEastAsia"/>
          <w:lang w:eastAsia="zh-CN"/>
        </w:rPr>
      </w:pPr>
      <w:r>
        <w:rPr>
          <w:rFonts w:eastAsiaTheme="minorEastAsia"/>
          <w:lang w:eastAsia="zh-CN"/>
        </w:rPr>
        <w:t>For option 1, separate power scaling thresholds are defined for different UL channels/signals</w:t>
      </w:r>
      <w:r w:rsidR="002474CD">
        <w:rPr>
          <w:rFonts w:eastAsiaTheme="minorEastAsia"/>
          <w:lang w:eastAsia="zh-CN"/>
        </w:rPr>
        <w:t xml:space="preserve">, and </w:t>
      </w:r>
      <w:r w:rsidR="009F2AD6">
        <w:rPr>
          <w:rFonts w:eastAsiaTheme="minorEastAsia"/>
          <w:lang w:eastAsia="zh-CN"/>
        </w:rPr>
        <w:t>this</w:t>
      </w:r>
      <w:r w:rsidR="002474CD">
        <w:rPr>
          <w:rFonts w:eastAsiaTheme="minorEastAsia"/>
          <w:lang w:eastAsia="zh-CN"/>
        </w:rPr>
        <w:t xml:space="preserve"> option is motivated by the </w:t>
      </w:r>
      <w:r w:rsidR="009F2AD6">
        <w:rPr>
          <w:rFonts w:eastAsiaTheme="minorEastAsia"/>
          <w:lang w:eastAsia="zh-CN"/>
        </w:rPr>
        <w:t xml:space="preserve">issue of varying </w:t>
      </w:r>
      <w:r w:rsidR="002474CD">
        <w:rPr>
          <w:rFonts w:eastAsiaTheme="minorEastAsia"/>
          <w:lang w:eastAsia="zh-CN"/>
        </w:rPr>
        <w:t xml:space="preserve">SRS </w:t>
      </w:r>
      <w:r w:rsidR="009F2AD6">
        <w:rPr>
          <w:rFonts w:eastAsiaTheme="minorEastAsia"/>
          <w:lang w:eastAsia="zh-CN"/>
        </w:rPr>
        <w:t>power</w:t>
      </w:r>
      <w:r w:rsidR="002474CD">
        <w:rPr>
          <w:rFonts w:eastAsiaTheme="minorEastAsia"/>
          <w:lang w:eastAsia="zh-CN"/>
        </w:rPr>
        <w:t xml:space="preserve"> </w:t>
      </w:r>
      <w:r w:rsidR="009F2AD6">
        <w:rPr>
          <w:rFonts w:eastAsiaTheme="minorEastAsia"/>
          <w:lang w:eastAsia="zh-CN"/>
        </w:rPr>
        <w:t xml:space="preserve">during </w:t>
      </w:r>
      <w:r w:rsidR="002474CD">
        <w:rPr>
          <w:rFonts w:eastAsiaTheme="minorEastAsia"/>
          <w:lang w:eastAsia="zh-CN"/>
        </w:rPr>
        <w:t>uplink beam measurement assist</w:t>
      </w:r>
      <w:r w:rsidR="009F2AD6">
        <w:rPr>
          <w:rFonts w:eastAsiaTheme="minorEastAsia"/>
          <w:lang w:eastAsia="zh-CN"/>
        </w:rPr>
        <w:t>ing</w:t>
      </w:r>
      <w:r w:rsidR="002474CD">
        <w:rPr>
          <w:rFonts w:eastAsiaTheme="minorEastAsia"/>
          <w:lang w:eastAsia="zh-CN"/>
        </w:rPr>
        <w:t xml:space="preserve"> </w:t>
      </w:r>
      <w:r w:rsidR="00E012B7">
        <w:rPr>
          <w:rFonts w:eastAsiaTheme="minorEastAsia"/>
          <w:lang w:eastAsia="zh-CN"/>
        </w:rPr>
        <w:t xml:space="preserve">codebook and </w:t>
      </w:r>
      <w:r w:rsidR="002474CD">
        <w:rPr>
          <w:rFonts w:eastAsiaTheme="minorEastAsia"/>
          <w:lang w:eastAsia="zh-CN"/>
        </w:rPr>
        <w:t>non-codebook based PUSCH transmission. Note that, a UE transmit</w:t>
      </w:r>
      <w:r w:rsidR="009F2AD6">
        <w:rPr>
          <w:rFonts w:eastAsiaTheme="minorEastAsia"/>
          <w:lang w:eastAsia="zh-CN"/>
        </w:rPr>
        <w:t>s</w:t>
      </w:r>
      <w:r w:rsidR="002474CD">
        <w:rPr>
          <w:rFonts w:eastAsiaTheme="minorEastAsia"/>
          <w:lang w:eastAsia="zh-CN"/>
        </w:rPr>
        <w:t xml:space="preserve"> </w:t>
      </w:r>
      <w:r w:rsidR="00E012B7">
        <w:rPr>
          <w:rFonts w:eastAsiaTheme="minorEastAsia"/>
          <w:lang w:eastAsia="zh-CN"/>
        </w:rPr>
        <w:t>all</w:t>
      </w:r>
      <w:r w:rsidR="002474CD">
        <w:rPr>
          <w:rFonts w:eastAsiaTheme="minorEastAsia"/>
          <w:lang w:eastAsia="zh-CN"/>
        </w:rPr>
        <w:t xml:space="preserve"> SRS</w:t>
      </w:r>
      <w:r w:rsidR="00E012B7">
        <w:rPr>
          <w:rFonts w:eastAsiaTheme="minorEastAsia"/>
          <w:lang w:eastAsia="zh-CN"/>
        </w:rPr>
        <w:t>s</w:t>
      </w:r>
      <w:r w:rsidR="002474CD">
        <w:rPr>
          <w:rFonts w:eastAsiaTheme="minorEastAsia"/>
          <w:lang w:eastAsia="zh-CN"/>
        </w:rPr>
        <w:t xml:space="preserve"> </w:t>
      </w:r>
      <w:r w:rsidR="00E012B7">
        <w:rPr>
          <w:rFonts w:eastAsiaTheme="minorEastAsia"/>
          <w:lang w:eastAsia="zh-CN"/>
        </w:rPr>
        <w:t>for</w:t>
      </w:r>
      <w:r w:rsidR="005911B7">
        <w:rPr>
          <w:rFonts w:eastAsiaTheme="minorEastAsia"/>
          <w:lang w:eastAsia="zh-CN"/>
        </w:rPr>
        <w:t xml:space="preserve"> </w:t>
      </w:r>
      <w:r w:rsidR="002474CD">
        <w:rPr>
          <w:rFonts w:eastAsiaTheme="minorEastAsia"/>
          <w:lang w:eastAsia="zh-CN"/>
        </w:rPr>
        <w:t xml:space="preserve">different UL beams </w:t>
      </w:r>
      <w:r w:rsidR="00E012B7">
        <w:rPr>
          <w:rFonts w:eastAsiaTheme="minorEastAsia"/>
          <w:lang w:eastAsia="zh-CN"/>
        </w:rPr>
        <w:t xml:space="preserve">or Tx antenna </w:t>
      </w:r>
      <w:r w:rsidR="002474CD">
        <w:rPr>
          <w:rFonts w:eastAsiaTheme="minorEastAsia"/>
          <w:lang w:eastAsia="zh-CN"/>
        </w:rPr>
        <w:t>in the same slot in Rel-15. Thu</w:t>
      </w:r>
      <w:r w:rsidR="004225A1">
        <w:rPr>
          <w:rFonts w:eastAsiaTheme="minorEastAsia"/>
          <w:lang w:eastAsia="zh-CN"/>
        </w:rPr>
        <w:t>s, UE can</w:t>
      </w:r>
      <w:r w:rsidR="002474CD">
        <w:rPr>
          <w:rFonts w:eastAsiaTheme="minorEastAsia"/>
          <w:lang w:eastAsia="zh-CN"/>
        </w:rPr>
        <w:t xml:space="preserve"> always </w:t>
      </w:r>
      <w:r w:rsidR="004225A1">
        <w:rPr>
          <w:rFonts w:eastAsiaTheme="minorEastAsia"/>
          <w:lang w:eastAsia="zh-CN"/>
        </w:rPr>
        <w:t>assure</w:t>
      </w:r>
      <w:r w:rsidR="002474CD">
        <w:rPr>
          <w:rFonts w:eastAsiaTheme="minorEastAsia"/>
          <w:lang w:eastAsia="zh-CN"/>
        </w:rPr>
        <w:t xml:space="preserve"> the same transmit power for all these SRS even power scaling is </w:t>
      </w:r>
      <w:r w:rsidR="004225A1">
        <w:rPr>
          <w:rFonts w:eastAsiaTheme="minorEastAsia"/>
          <w:lang w:eastAsia="zh-CN"/>
        </w:rPr>
        <w:t>performed. Then it is feasible for network to perform UL beam selection based on the received SRS</w:t>
      </w:r>
      <w:r w:rsidR="00E012B7">
        <w:rPr>
          <w:rFonts w:eastAsiaTheme="minorEastAsia"/>
          <w:lang w:eastAsia="zh-CN"/>
        </w:rPr>
        <w:t xml:space="preserve"> regardless of power scaling</w:t>
      </w:r>
      <w:r w:rsidR="004225A1">
        <w:rPr>
          <w:rFonts w:eastAsiaTheme="minorEastAsia"/>
          <w:lang w:eastAsia="zh-CN"/>
        </w:rPr>
        <w:t xml:space="preserve">. Hence, it </w:t>
      </w:r>
      <w:r w:rsidR="005911B7">
        <w:rPr>
          <w:rFonts w:eastAsiaTheme="minorEastAsia"/>
          <w:lang w:eastAsia="zh-CN"/>
        </w:rPr>
        <w:t xml:space="preserve">can be observed </w:t>
      </w:r>
      <w:r w:rsidR="004225A1">
        <w:rPr>
          <w:rFonts w:eastAsiaTheme="minorEastAsia"/>
          <w:lang w:eastAsia="zh-CN"/>
        </w:rPr>
        <w:t xml:space="preserve">that performing power scaling for SRS is better than dropping them directly. In addition, </w:t>
      </w:r>
      <w:r w:rsidR="005911B7">
        <w:rPr>
          <w:rFonts w:eastAsiaTheme="minorEastAsia"/>
          <w:lang w:eastAsia="zh-CN"/>
        </w:rPr>
        <w:t xml:space="preserve">in the case of uplink CA, UE is allowed to scale down the transmission power of SRS if the total UE transmit power of multiple uplink carriers exceeds the maximum transmit power. Thus, scaling down the transmit power for SRS can </w:t>
      </w:r>
      <w:r w:rsidR="00E012B7">
        <w:rPr>
          <w:rFonts w:eastAsiaTheme="minorEastAsia"/>
          <w:lang w:eastAsia="zh-CN"/>
        </w:rPr>
        <w:t xml:space="preserve">also </w:t>
      </w:r>
      <w:r w:rsidR="005911B7">
        <w:rPr>
          <w:rFonts w:eastAsiaTheme="minorEastAsia"/>
          <w:lang w:eastAsia="zh-CN"/>
        </w:rPr>
        <w:t xml:space="preserve">be effective for EN-DC. </w:t>
      </w:r>
      <w:r w:rsidR="004225A1">
        <w:rPr>
          <w:rFonts w:eastAsiaTheme="minorEastAsia"/>
          <w:lang w:eastAsia="zh-CN"/>
        </w:rPr>
        <w:t>I</w:t>
      </w:r>
      <w:r w:rsidR="00E64D63">
        <w:rPr>
          <w:rFonts w:eastAsiaTheme="minorEastAsia"/>
          <w:lang w:eastAsia="zh-CN"/>
        </w:rPr>
        <w:t xml:space="preserve">f option </w:t>
      </w:r>
      <w:r w:rsidR="004225A1">
        <w:rPr>
          <w:rFonts w:eastAsiaTheme="minorEastAsia"/>
          <w:lang w:eastAsia="zh-CN"/>
        </w:rPr>
        <w:t xml:space="preserve">1 </w:t>
      </w:r>
      <w:r w:rsidR="00E64D63">
        <w:rPr>
          <w:rFonts w:eastAsiaTheme="minorEastAsia"/>
          <w:lang w:eastAsia="zh-CN"/>
        </w:rPr>
        <w:t>is adopted</w:t>
      </w:r>
      <w:r>
        <w:rPr>
          <w:rFonts w:eastAsiaTheme="minorEastAsia"/>
          <w:lang w:eastAsia="zh-CN"/>
        </w:rPr>
        <w:t>, another power scaling threshold may be introduced for PRACH, e.g., X4-dB</w:t>
      </w:r>
      <w:r w:rsidR="00EC650B">
        <w:rPr>
          <w:rFonts w:eastAsiaTheme="minorEastAsia"/>
          <w:lang w:eastAsia="zh-CN"/>
        </w:rPr>
        <w:t xml:space="preserve"> for PRACH</w:t>
      </w:r>
      <w:r>
        <w:rPr>
          <w:rFonts w:eastAsiaTheme="minorEastAsia"/>
          <w:lang w:eastAsia="zh-CN"/>
        </w:rPr>
        <w:t xml:space="preserve">. </w:t>
      </w:r>
      <w:r w:rsidR="002E647E">
        <w:rPr>
          <w:rFonts w:eastAsiaTheme="minorEastAsia"/>
          <w:lang w:eastAsia="zh-CN"/>
        </w:rPr>
        <w:t xml:space="preserve">Apparently, </w:t>
      </w:r>
      <w:r w:rsidR="00E64D63">
        <w:rPr>
          <w:rFonts w:eastAsiaTheme="minorEastAsia"/>
          <w:lang w:eastAsia="zh-CN"/>
        </w:rPr>
        <w:t xml:space="preserve">such approach </w:t>
      </w:r>
      <w:r w:rsidR="002E647E">
        <w:rPr>
          <w:lang w:eastAsia="x-none"/>
        </w:rPr>
        <w:t xml:space="preserve">would increase the implementation </w:t>
      </w:r>
      <w:r w:rsidR="002E647E" w:rsidRPr="00F20067">
        <w:rPr>
          <w:lang w:eastAsia="x-none"/>
        </w:rPr>
        <w:t>complexity</w:t>
      </w:r>
      <w:r w:rsidR="00E64D63">
        <w:rPr>
          <w:lang w:eastAsia="x-none"/>
        </w:rPr>
        <w:t xml:space="preserve"> </w:t>
      </w:r>
      <w:r w:rsidR="00FB364E">
        <w:rPr>
          <w:lang w:eastAsia="x-none"/>
        </w:rPr>
        <w:t xml:space="preserve">at </w:t>
      </w:r>
      <w:r w:rsidR="00E64D63">
        <w:rPr>
          <w:lang w:eastAsia="x-none"/>
        </w:rPr>
        <w:t>both UE and network sides</w:t>
      </w:r>
      <w:r w:rsidR="002E647E">
        <w:rPr>
          <w:lang w:eastAsia="x-none"/>
        </w:rPr>
        <w:t xml:space="preserve">. </w:t>
      </w:r>
      <w:r w:rsidR="00D52826">
        <w:rPr>
          <w:lang w:eastAsia="x-none"/>
        </w:rPr>
        <w:t xml:space="preserve">For simplicity, </w:t>
      </w:r>
      <w:r w:rsidR="002E647E">
        <w:rPr>
          <w:lang w:eastAsia="x-none"/>
        </w:rPr>
        <w:t xml:space="preserve">it is preferred </w:t>
      </w:r>
      <w:r w:rsidR="00660A59">
        <w:rPr>
          <w:lang w:eastAsia="x-none"/>
        </w:rPr>
        <w:t>to define</w:t>
      </w:r>
      <w:r w:rsidR="002E647E">
        <w:rPr>
          <w:lang w:eastAsia="x-none"/>
        </w:rPr>
        <w:t xml:space="preserve"> a common</w:t>
      </w:r>
      <w:r w:rsidR="00D52826">
        <w:rPr>
          <w:lang w:eastAsia="x-none"/>
        </w:rPr>
        <w:t xml:space="preserve"> th</w:t>
      </w:r>
      <w:r w:rsidR="002E647E">
        <w:rPr>
          <w:lang w:eastAsia="x-none"/>
        </w:rPr>
        <w:t>reshold</w:t>
      </w:r>
      <w:r w:rsidR="00660A59">
        <w:rPr>
          <w:lang w:eastAsia="x-none"/>
        </w:rPr>
        <w:t xml:space="preserve"> </w:t>
      </w:r>
      <w:r w:rsidR="00E012B7">
        <w:rPr>
          <w:lang w:eastAsia="x-none"/>
        </w:rPr>
        <w:t>for</w:t>
      </w:r>
      <w:r w:rsidR="002E647E">
        <w:rPr>
          <w:lang w:eastAsia="x-none"/>
        </w:rPr>
        <w:t xml:space="preserve"> all types of channels/signals</w:t>
      </w:r>
      <w:r w:rsidR="00C913A3">
        <w:rPr>
          <w:lang w:eastAsia="x-none"/>
        </w:rPr>
        <w:t xml:space="preserve"> in order to minimize the UE complexity and reduce specification workload</w:t>
      </w:r>
      <w:r w:rsidR="00D52826">
        <w:rPr>
          <w:lang w:eastAsia="x-none"/>
        </w:rPr>
        <w:t xml:space="preserve">. </w:t>
      </w:r>
    </w:p>
    <w:p w14:paraId="12DF5859" w14:textId="4427EE6F" w:rsidR="000D7E83" w:rsidRDefault="009B677D" w:rsidP="00514836">
      <w:pPr>
        <w:rPr>
          <w:rFonts w:eastAsiaTheme="minorEastAsia"/>
          <w:i/>
          <w:lang w:eastAsia="zh-CN"/>
        </w:rPr>
      </w:pPr>
      <w:r>
        <w:rPr>
          <w:rFonts w:eastAsiaTheme="minorEastAsia" w:hint="eastAsia"/>
          <w:b/>
          <w:i/>
          <w:lang w:eastAsia="zh-CN"/>
        </w:rPr>
        <w:t xml:space="preserve">Proposal </w:t>
      </w:r>
      <w:r w:rsidR="00991A0F">
        <w:rPr>
          <w:rFonts w:eastAsiaTheme="minorEastAsia" w:hint="eastAsia"/>
          <w:b/>
          <w:i/>
          <w:lang w:eastAsia="zh-CN"/>
        </w:rPr>
        <w:t>2</w:t>
      </w:r>
      <w:r w:rsidRPr="009B677D">
        <w:rPr>
          <w:rFonts w:eastAsiaTheme="minorEastAsia" w:hint="eastAsia"/>
          <w:i/>
          <w:lang w:eastAsia="zh-CN"/>
        </w:rPr>
        <w:t>:</w:t>
      </w:r>
      <w:r>
        <w:rPr>
          <w:rFonts w:eastAsiaTheme="minorEastAsia"/>
          <w:i/>
          <w:lang w:eastAsia="zh-CN"/>
        </w:rPr>
        <w:t xml:space="preserve"> </w:t>
      </w:r>
      <w:r w:rsidR="00991A0F">
        <w:rPr>
          <w:rFonts w:eastAsiaTheme="minorEastAsia"/>
          <w:i/>
          <w:lang w:eastAsia="zh-CN"/>
        </w:rPr>
        <w:t>It is preferred to</w:t>
      </w:r>
      <w:r w:rsidR="00D52826">
        <w:rPr>
          <w:rFonts w:eastAsiaTheme="minorEastAsia"/>
          <w:i/>
          <w:lang w:eastAsia="zh-CN"/>
        </w:rPr>
        <w:t xml:space="preserve"> </w:t>
      </w:r>
      <w:r w:rsidR="00660A59">
        <w:rPr>
          <w:rFonts w:eastAsiaTheme="minorEastAsia"/>
          <w:i/>
          <w:lang w:eastAsia="zh-CN"/>
        </w:rPr>
        <w:t>define a common threshold, i.e., X-dB that applies to all channels.</w:t>
      </w:r>
    </w:p>
    <w:p w14:paraId="3B6E20C0" w14:textId="209E22D3" w:rsidR="00EC650B" w:rsidRDefault="00EC650B" w:rsidP="00EC650B">
      <w:pPr>
        <w:pStyle w:val="Heading2"/>
        <w:tabs>
          <w:tab w:val="clear" w:pos="576"/>
        </w:tabs>
        <w:rPr>
          <w:lang w:eastAsia="ja-JP"/>
        </w:rPr>
      </w:pPr>
      <w:r>
        <w:rPr>
          <w:rFonts w:hint="eastAsia"/>
          <w:lang w:eastAsia="ja-JP"/>
        </w:rPr>
        <w:t xml:space="preserve">On </w:t>
      </w:r>
      <w:r>
        <w:rPr>
          <w:lang w:eastAsia="ja-JP"/>
        </w:rPr>
        <w:t xml:space="preserve">synchronization for Intra-band </w:t>
      </w:r>
      <w:r>
        <w:rPr>
          <w:rFonts w:hint="eastAsia"/>
          <w:lang w:eastAsia="ja-JP"/>
        </w:rPr>
        <w:t xml:space="preserve">EN-DC </w:t>
      </w:r>
    </w:p>
    <w:p w14:paraId="426FA590" w14:textId="473604AA" w:rsidR="00991A0F" w:rsidRPr="00991A0F" w:rsidRDefault="00991A0F" w:rsidP="00514836">
      <w:pPr>
        <w:rPr>
          <w:rFonts w:eastAsiaTheme="minorEastAsia"/>
          <w:lang w:eastAsia="zh-CN"/>
        </w:rPr>
      </w:pPr>
      <w:r w:rsidRPr="00991A0F">
        <w:rPr>
          <w:rFonts w:eastAsiaTheme="minorEastAsia" w:hint="eastAsia"/>
          <w:lang w:eastAsia="zh-CN"/>
        </w:rPr>
        <w:t xml:space="preserve">As for the mechanisms to achieve synchronization intra-band EN-DC, </w:t>
      </w:r>
      <w:r w:rsidR="00A90483">
        <w:rPr>
          <w:rFonts w:eastAsiaTheme="minorEastAsia"/>
          <w:lang w:eastAsia="zh-CN"/>
        </w:rPr>
        <w:t xml:space="preserve">the </w:t>
      </w:r>
      <w:r w:rsidRPr="00991A0F">
        <w:rPr>
          <w:rFonts w:eastAsiaTheme="minorEastAsia" w:hint="eastAsia"/>
          <w:lang w:eastAsia="zh-CN"/>
        </w:rPr>
        <w:t xml:space="preserve">UE </w:t>
      </w:r>
      <w:r w:rsidR="00A90483">
        <w:rPr>
          <w:rFonts w:eastAsiaTheme="minorEastAsia"/>
          <w:lang w:eastAsia="zh-CN"/>
        </w:rPr>
        <w:t xml:space="preserve">RF </w:t>
      </w:r>
      <w:r w:rsidRPr="00991A0F">
        <w:rPr>
          <w:rFonts w:eastAsiaTheme="minorEastAsia" w:hint="eastAsia"/>
          <w:lang w:eastAsia="zh-CN"/>
        </w:rPr>
        <w:t>architecture</w:t>
      </w:r>
      <w:r w:rsidR="00A90483">
        <w:rPr>
          <w:rFonts w:eastAsiaTheme="minorEastAsia"/>
          <w:lang w:eastAsia="zh-CN"/>
        </w:rPr>
        <w:t xml:space="preserve"> </w:t>
      </w:r>
      <w:r w:rsidR="00992FB1">
        <w:rPr>
          <w:rFonts w:eastAsiaTheme="minorEastAsia"/>
          <w:lang w:eastAsia="zh-CN"/>
        </w:rPr>
        <w:t>shall be taken into account</w:t>
      </w:r>
      <w:r w:rsidRPr="00991A0F">
        <w:rPr>
          <w:rFonts w:eastAsiaTheme="minorEastAsia" w:hint="eastAsia"/>
          <w:lang w:eastAsia="zh-CN"/>
        </w:rPr>
        <w:t xml:space="preserve">. </w:t>
      </w:r>
      <w:r w:rsidRPr="00991A0F">
        <w:rPr>
          <w:rFonts w:eastAsiaTheme="minorEastAsia"/>
          <w:lang w:eastAsia="zh-CN"/>
        </w:rPr>
        <w:t>In particular, for UE with two power amplifier</w:t>
      </w:r>
      <w:r w:rsidR="00A90483">
        <w:rPr>
          <w:rFonts w:eastAsiaTheme="minorEastAsia"/>
          <w:lang w:eastAsia="zh-CN"/>
        </w:rPr>
        <w:t>s that are used for LTE and NR transmission, respectively, tolerance of timing difference can be defined by RAN4 similar to inter-band EN-DC. If the UE only has one power amplifier for contiguous intra-band EN-DC, less tolerance or even zero timing tolerance may be</w:t>
      </w:r>
      <w:r w:rsidR="002030F3">
        <w:rPr>
          <w:rFonts w:eastAsiaTheme="minorEastAsia"/>
          <w:lang w:eastAsia="zh-CN"/>
        </w:rPr>
        <w:t xml:space="preserve"> </w:t>
      </w:r>
      <w:r w:rsidR="000F78E9">
        <w:rPr>
          <w:rFonts w:eastAsiaTheme="minorEastAsia"/>
          <w:lang w:eastAsia="zh-CN"/>
        </w:rPr>
        <w:t>required</w:t>
      </w:r>
      <w:r w:rsidR="00A90483">
        <w:rPr>
          <w:rFonts w:eastAsiaTheme="minorEastAsia"/>
          <w:lang w:eastAsia="zh-CN"/>
        </w:rPr>
        <w:t xml:space="preserve">. </w:t>
      </w:r>
    </w:p>
    <w:p w14:paraId="48CF4013" w14:textId="65A2C634" w:rsidR="00B45AD5" w:rsidRDefault="00AE094C" w:rsidP="00B45AD5">
      <w:pPr>
        <w:pStyle w:val="Heading2"/>
        <w:rPr>
          <w:lang w:eastAsia="ja-JP"/>
        </w:rPr>
      </w:pPr>
      <w:r>
        <w:rPr>
          <w:lang w:eastAsia="ja-JP"/>
        </w:rPr>
        <w:t xml:space="preserve">Correction on </w:t>
      </w:r>
      <w:r w:rsidR="0034149C">
        <w:rPr>
          <w:lang w:eastAsia="ja-JP"/>
        </w:rPr>
        <w:t>EN-DC power control</w:t>
      </w:r>
    </w:p>
    <w:p w14:paraId="01F9A70B" w14:textId="326C2269" w:rsidR="00AE094C" w:rsidRDefault="00AE094C" w:rsidP="00AE094C">
      <w:r>
        <w:rPr>
          <w:rFonts w:hint="eastAsia"/>
          <w:lang w:eastAsia="zh-CN"/>
        </w:rPr>
        <w:t>In</w:t>
      </w:r>
      <w:r w:rsidRPr="00603EF2">
        <w:rPr>
          <w:rFonts w:hint="eastAsia"/>
          <w:lang w:eastAsia="zh-CN"/>
        </w:rPr>
        <w:t xml:space="preserve"> </w:t>
      </w:r>
      <w:r>
        <w:rPr>
          <w:lang w:eastAsia="zh-CN"/>
        </w:rPr>
        <w:t>RAN1 #AH 1801 meeting, the following agreement was achieved [4]. It was</w:t>
      </w:r>
      <w:r>
        <w:t xml:space="preserve"> agreed by RAN 1 that maximum total LTE and NR power that the UE should never exceed, i.e. </w:t>
      </w:r>
      <w:r w:rsidRPr="006049B4">
        <w:rPr>
          <w:position w:val="-10"/>
        </w:rPr>
        <w:object w:dxaOrig="600" w:dyaOrig="340" w14:anchorId="615ED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6.7pt" o:ole="">
            <v:imagedata r:id="rId8" o:title=""/>
          </v:shape>
          <o:OLEObject Type="Embed" ProgID="Equation.3" ShapeID="_x0000_i1025" DrawAspect="Content" ObjectID="_1602719789" r:id="rId9"/>
        </w:object>
      </w:r>
      <w:r>
        <w:t xml:space="preserve"> in TS 38.213, would be defined by RAN4.</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AE094C" w:rsidRPr="00127A6F" w14:paraId="6CEA7DA1" w14:textId="77777777" w:rsidTr="00BF059E">
        <w:tc>
          <w:tcPr>
            <w:tcW w:w="9312" w:type="dxa"/>
          </w:tcPr>
          <w:p w14:paraId="7A77722D" w14:textId="77777777" w:rsidR="00AE094C" w:rsidRPr="00AE094C" w:rsidRDefault="00AE094C" w:rsidP="00AE094C">
            <w:pPr>
              <w:rPr>
                <w:b/>
                <w:i/>
                <w:sz w:val="20"/>
                <w:szCs w:val="20"/>
                <w:highlight w:val="green"/>
              </w:rPr>
            </w:pPr>
            <w:r w:rsidRPr="00AE094C">
              <w:rPr>
                <w:b/>
                <w:i/>
                <w:sz w:val="20"/>
                <w:szCs w:val="20"/>
                <w:highlight w:val="green"/>
              </w:rPr>
              <w:t>Agreement:</w:t>
            </w:r>
          </w:p>
          <w:p w14:paraId="536412AC" w14:textId="77777777" w:rsidR="00AE094C" w:rsidRPr="001C529D" w:rsidRDefault="00AE094C" w:rsidP="00FA5310">
            <w:pPr>
              <w:pStyle w:val="BodyText"/>
              <w:numPr>
                <w:ilvl w:val="0"/>
                <w:numId w:val="5"/>
              </w:numPr>
              <w:autoSpaceDE/>
              <w:autoSpaceDN/>
              <w:adjustRightInd/>
              <w:snapToGrid/>
              <w:ind w:leftChars="264" w:left="941"/>
              <w:rPr>
                <w:i/>
                <w:lang w:val="en-GB"/>
              </w:rPr>
            </w:pPr>
            <w:r w:rsidRPr="001C529D">
              <w:rPr>
                <w:i/>
                <w:lang w:val="en-GB"/>
              </w:rPr>
              <w:lastRenderedPageBreak/>
              <w:t>P_LTE and P_NR are configured separately via UE specific RRC (i.e., as dBm numbers with similar value range as p-Max in LTE)</w:t>
            </w:r>
          </w:p>
          <w:p w14:paraId="412D20BC" w14:textId="77777777" w:rsidR="00AE094C" w:rsidRPr="001C529D" w:rsidRDefault="00AE094C" w:rsidP="00FA5310">
            <w:pPr>
              <w:pStyle w:val="BodyText"/>
              <w:numPr>
                <w:ilvl w:val="1"/>
                <w:numId w:val="5"/>
              </w:numPr>
              <w:autoSpaceDE/>
              <w:autoSpaceDN/>
              <w:adjustRightInd/>
              <w:snapToGrid/>
              <w:ind w:leftChars="591" w:left="1660"/>
              <w:rPr>
                <w:i/>
                <w:lang w:val="en-GB"/>
              </w:rPr>
            </w:pPr>
            <w:r w:rsidRPr="001C529D">
              <w:rPr>
                <w:i/>
                <w:lang w:val="en-GB"/>
              </w:rPr>
              <w:t>P_LTE and P_NR are UE-specific</w:t>
            </w:r>
          </w:p>
          <w:p w14:paraId="7B4D9460" w14:textId="77777777" w:rsidR="00AE094C" w:rsidRPr="001C529D" w:rsidRDefault="00AE094C" w:rsidP="00FA5310">
            <w:pPr>
              <w:pStyle w:val="BodyText"/>
              <w:numPr>
                <w:ilvl w:val="0"/>
                <w:numId w:val="5"/>
              </w:numPr>
              <w:autoSpaceDE/>
              <w:autoSpaceDN/>
              <w:adjustRightInd/>
              <w:snapToGrid/>
              <w:ind w:leftChars="264" w:left="941"/>
              <w:rPr>
                <w:i/>
                <w:lang w:val="en-GB"/>
              </w:rPr>
            </w:pPr>
            <w:r w:rsidRPr="001C529D">
              <w:rPr>
                <w:i/>
                <w:lang w:val="en-GB"/>
              </w:rPr>
              <w:t>P_cmax for LTE and P_cmax for NR are derived based on P_LTE and/or P_NR (details to be decided by RAN4)</w:t>
            </w:r>
          </w:p>
          <w:p w14:paraId="6A421D09" w14:textId="77777777" w:rsidR="00AE094C" w:rsidRPr="001C529D" w:rsidRDefault="00AE094C" w:rsidP="00FA5310">
            <w:pPr>
              <w:pStyle w:val="BodyText"/>
              <w:numPr>
                <w:ilvl w:val="0"/>
                <w:numId w:val="5"/>
              </w:numPr>
              <w:autoSpaceDE/>
              <w:autoSpaceDN/>
              <w:adjustRightInd/>
              <w:snapToGrid/>
              <w:ind w:leftChars="264" w:left="941"/>
              <w:rPr>
                <w:i/>
                <w:highlight w:val="yellow"/>
                <w:lang w:val="en-GB"/>
              </w:rPr>
            </w:pPr>
            <w:r w:rsidRPr="001C529D">
              <w:rPr>
                <w:i/>
                <w:highlight w:val="yellow"/>
                <w:lang w:val="en-GB"/>
              </w:rPr>
              <w:t>RAN4 to define maximum total LTE and NR power in FR1 (X_total) that the UE should never exceed.</w:t>
            </w:r>
          </w:p>
          <w:p w14:paraId="0560CD59" w14:textId="77777777" w:rsidR="00AE094C" w:rsidRPr="001C529D" w:rsidRDefault="00AE094C" w:rsidP="00FA5310">
            <w:pPr>
              <w:pStyle w:val="BodyText"/>
              <w:numPr>
                <w:ilvl w:val="0"/>
                <w:numId w:val="5"/>
              </w:numPr>
              <w:autoSpaceDE/>
              <w:autoSpaceDN/>
              <w:adjustRightInd/>
              <w:snapToGrid/>
              <w:ind w:leftChars="264" w:left="941"/>
              <w:rPr>
                <w:i/>
                <w:lang w:val="en-GB"/>
              </w:rPr>
            </w:pPr>
            <w:r w:rsidRPr="001C529D">
              <w:rPr>
                <w:i/>
                <w:lang w:val="en-GB"/>
              </w:rPr>
              <w:t xml:space="preserve">When dynamic power sharing is used, </w:t>
            </w:r>
          </w:p>
          <w:p w14:paraId="6DB27219" w14:textId="77777777" w:rsidR="00AE094C" w:rsidRPr="001C529D" w:rsidRDefault="00AE094C" w:rsidP="00FA5310">
            <w:pPr>
              <w:pStyle w:val="BodyText"/>
              <w:numPr>
                <w:ilvl w:val="1"/>
                <w:numId w:val="5"/>
              </w:numPr>
              <w:autoSpaceDE/>
              <w:autoSpaceDN/>
              <w:adjustRightInd/>
              <w:snapToGrid/>
              <w:ind w:leftChars="591" w:left="1660"/>
              <w:rPr>
                <w:i/>
                <w:lang w:val="en-GB"/>
              </w:rPr>
            </w:pPr>
            <w:r w:rsidRPr="001C529D">
              <w:rPr>
                <w:i/>
                <w:lang w:val="en-GB"/>
              </w:rPr>
              <w:t>If total power for LTE and NR in FR1 exceeds X_total, UE reduces NR transmission power or drops NR transmission so that total power does not exceed X_total</w:t>
            </w:r>
          </w:p>
          <w:p w14:paraId="40C8A83A" w14:textId="6AD241CF" w:rsidR="00AE094C" w:rsidRPr="00AE094C" w:rsidRDefault="00AE094C" w:rsidP="00FA5310">
            <w:pPr>
              <w:pStyle w:val="BodyText"/>
              <w:numPr>
                <w:ilvl w:val="2"/>
                <w:numId w:val="5"/>
              </w:numPr>
              <w:autoSpaceDE/>
              <w:autoSpaceDN/>
              <w:adjustRightInd/>
              <w:snapToGrid/>
              <w:ind w:leftChars="918" w:left="2380"/>
              <w:rPr>
                <w:i/>
                <w:lang w:val="en-GB"/>
              </w:rPr>
            </w:pPr>
            <w:r w:rsidRPr="001C529D">
              <w:rPr>
                <w:i/>
                <w:lang w:val="en-GB"/>
              </w:rPr>
              <w:t>Note: As per previous agreement LTE power control procedure is not changed</w:t>
            </w:r>
          </w:p>
        </w:tc>
      </w:tr>
    </w:tbl>
    <w:p w14:paraId="4930A42A" w14:textId="7E739854" w:rsidR="00AE094C" w:rsidRDefault="00AE094C" w:rsidP="00AE094C">
      <w:pPr>
        <w:rPr>
          <w:i/>
          <w:iCs/>
          <w:sz w:val="20"/>
          <w:szCs w:val="20"/>
          <w:lang w:val="en-GB"/>
        </w:rPr>
      </w:pPr>
      <w:r>
        <w:rPr>
          <w:lang w:eastAsia="zh-CN"/>
        </w:rPr>
        <w:lastRenderedPageBreak/>
        <w:t>In</w:t>
      </w:r>
      <w:r>
        <w:rPr>
          <w:rFonts w:hint="eastAsia"/>
          <w:lang w:eastAsia="zh-CN"/>
        </w:rPr>
        <w:t xml:space="preserve"> </w:t>
      </w:r>
      <w:r>
        <w:rPr>
          <w:lang w:eastAsia="zh-CN"/>
        </w:rPr>
        <w:t xml:space="preserve">RAN4 #86bis meeting, X_total is defined as power class for EN-DC, and </w:t>
      </w:r>
      <m:oMath>
        <m:sSub>
          <m:sSubPr>
            <m:ctrlPr>
              <w:rPr>
                <w:rFonts w:ascii="Cambria Math" w:hAnsi="Cambria Math"/>
                <w:lang w:eastAsia="zh-CN"/>
              </w:rPr>
            </m:ctrlPr>
          </m:sSubPr>
          <m:e>
            <m:acc>
              <m:accPr>
                <m:ctrlPr>
                  <w:rPr>
                    <w:rFonts w:ascii="Cambria Math" w:hAnsi="Cambria Math"/>
                    <w:lang w:eastAsia="zh-CN"/>
                  </w:rPr>
                </m:ctrlPr>
              </m:accPr>
              <m:e>
                <m:r>
                  <w:rPr>
                    <w:rFonts w:ascii="Cambria Math" w:hAnsi="Cambria Math" w:hint="eastAsia"/>
                    <w:lang w:eastAsia="zh-CN"/>
                  </w:rPr>
                  <m:t>P</m:t>
                </m:r>
              </m:e>
            </m:acc>
          </m:e>
          <m:sub>
            <m:r>
              <m:rPr>
                <m:sty m:val="p"/>
              </m:rPr>
              <w:rPr>
                <w:rFonts w:ascii="Cambria Math" w:hAnsi="Cambria Math" w:hint="eastAsia"/>
                <w:lang w:eastAsia="zh-CN"/>
              </w:rPr>
              <m:t>EMAX,ENDC</m:t>
            </m:r>
          </m:sub>
        </m:sSub>
      </m:oMath>
      <w:r w:rsidRPr="001C529D">
        <w:rPr>
          <w:rFonts w:hint="eastAsia"/>
          <w:lang w:eastAsia="zh-CN"/>
        </w:rPr>
        <w:t xml:space="preserve"> </w:t>
      </w:r>
      <w:r w:rsidRPr="001C529D">
        <w:rPr>
          <w:lang w:eastAsia="zh-CN"/>
        </w:rPr>
        <w:t>should be introduced for some power limited cases.</w:t>
      </w:r>
      <w:r>
        <w:rPr>
          <w:lang w:eastAsia="zh-CN"/>
        </w:rPr>
        <w:t xml:space="preserve"> Then in RAN4 #88 meeting, the agreed CR [5] captures that </w:t>
      </w:r>
      <w:r>
        <w:t xml:space="preserve">X_total was defined separately, i.e. </w:t>
      </w:r>
      <m:oMath>
        <m:r>
          <w:rPr>
            <w:rFonts w:ascii="Cambria Math" w:hAnsi="Cambria Math"/>
            <w:sz w:val="20"/>
            <w:szCs w:val="20"/>
          </w:rPr>
          <m:t>MIN{</m:t>
        </m:r>
        <m:sSub>
          <m:sSubPr>
            <m:ctrlPr>
              <w:rPr>
                <w:rFonts w:ascii="Cambria Math" w:hAnsi="Cambria Math" w:cs="宋体"/>
                <w:i/>
                <w:iCs/>
                <w:sz w:val="24"/>
                <w:szCs w:val="24"/>
              </w:rPr>
            </m:ctrlPr>
          </m:sSubPr>
          <m:e>
            <m:acc>
              <m:accPr>
                <m:ctrlPr>
                  <w:rPr>
                    <w:rFonts w:ascii="Cambria Math" w:hAnsi="Cambria Math" w:cs="宋体"/>
                    <w:i/>
                    <w:iCs/>
                    <w:sz w:val="24"/>
                    <w:szCs w:val="24"/>
                  </w:rPr>
                </m:ctrlPr>
              </m:accPr>
              <m:e>
                <m:r>
                  <w:rPr>
                    <w:rFonts w:ascii="Cambria Math" w:hAnsi="Cambria Math"/>
                    <w:sz w:val="20"/>
                    <w:szCs w:val="20"/>
                  </w:rPr>
                  <m:t>P</m:t>
                </m:r>
              </m:e>
            </m:acc>
          </m:e>
          <m:sub>
            <m:r>
              <w:rPr>
                <w:rFonts w:ascii="Cambria Math" w:hAnsi="Cambria Math"/>
                <w:sz w:val="20"/>
                <w:szCs w:val="20"/>
              </w:rPr>
              <m:t>EMAX,ENDC</m:t>
            </m:r>
          </m:sub>
        </m:sSub>
        <m:r>
          <w:rPr>
            <w:rFonts w:ascii="Cambria Math" w:hAnsi="Cambria Math"/>
            <w:sz w:val="20"/>
            <w:szCs w:val="20"/>
          </w:rPr>
          <m:t>,</m:t>
        </m:r>
        <m:sSub>
          <m:sSubPr>
            <m:ctrlPr>
              <w:rPr>
                <w:rFonts w:ascii="Cambria Math" w:hAnsi="Cambria Math" w:cs="宋体"/>
                <w:i/>
                <w:iCs/>
                <w:sz w:val="24"/>
                <w:szCs w:val="24"/>
              </w:rPr>
            </m:ctrlPr>
          </m:sSubPr>
          <m:e>
            <m:acc>
              <m:accPr>
                <m:ctrlPr>
                  <w:rPr>
                    <w:rFonts w:ascii="Cambria Math" w:hAnsi="Cambria Math" w:cs="宋体"/>
                    <w:i/>
                    <w:iCs/>
                    <w:sz w:val="24"/>
                    <w:szCs w:val="24"/>
                  </w:rPr>
                </m:ctrlPr>
              </m:accPr>
              <m:e>
                <m:r>
                  <w:rPr>
                    <w:rFonts w:ascii="Cambria Math" w:hAnsi="Cambria Math"/>
                    <w:sz w:val="20"/>
                    <w:szCs w:val="20"/>
                  </w:rPr>
                  <m:t>P</m:t>
                </m:r>
              </m:e>
            </m:acc>
          </m:e>
          <m:sub>
            <m:r>
              <w:rPr>
                <w:rFonts w:ascii="Cambria Math" w:hAnsi="Cambria Math"/>
                <w:sz w:val="20"/>
                <w:szCs w:val="20"/>
              </w:rPr>
              <m:t>PowerClass,ENDC</m:t>
            </m:r>
          </m:sub>
        </m:sSub>
        <m:r>
          <w:rPr>
            <w:rFonts w:ascii="Cambria Math" w:hAnsi="Cambria Math"/>
            <w:sz w:val="20"/>
            <w:szCs w:val="20"/>
          </w:rPr>
          <m:t>}</m:t>
        </m:r>
      </m:oMath>
      <w:r>
        <w:rPr>
          <w:sz w:val="20"/>
          <w:szCs w:val="20"/>
        </w:rPr>
        <w:t xml:space="preserve"> </w:t>
      </w:r>
      <w:r>
        <w:t xml:space="preserve">for SUO case 1 TDM and </w:t>
      </w:r>
      <w:r w:rsidR="006A5F84" w:rsidRPr="00AA3BEC">
        <w:rPr>
          <w:i/>
        </w:rPr>
        <w:t>P</w:t>
      </w:r>
      <w:r w:rsidR="006A5F84" w:rsidRPr="00AA3BEC">
        <w:rPr>
          <w:i/>
          <w:vertAlign w:val="subscript"/>
        </w:rPr>
        <w:t>CMAX</w:t>
      </w:r>
      <w:r w:rsidR="006A5F84" w:rsidRPr="00AA3BEC">
        <w:rPr>
          <w:i/>
        </w:rPr>
        <w:t>(p,q)</w:t>
      </w:r>
      <w:r>
        <w:rPr>
          <w:i/>
          <w:iCs/>
        </w:rPr>
        <w:t xml:space="preserve"> </w:t>
      </w:r>
      <w:r>
        <w:t> for</w:t>
      </w:r>
      <w:r>
        <w:rPr>
          <w:i/>
          <w:iCs/>
          <w:sz w:val="20"/>
          <w:szCs w:val="20"/>
        </w:rPr>
        <w:t xml:space="preserve"> </w:t>
      </w:r>
      <w:r>
        <w:t xml:space="preserve">dynamic power sharing where </w:t>
      </w:r>
      <w:r>
        <w:rPr>
          <w:i/>
          <w:iCs/>
          <w:sz w:val="20"/>
          <w:szCs w:val="20"/>
          <w:lang w:val="en-GB"/>
        </w:rPr>
        <w:t>P</w:t>
      </w:r>
      <w:r>
        <w:rPr>
          <w:i/>
          <w:iCs/>
          <w:sz w:val="20"/>
          <w:szCs w:val="20"/>
          <w:vertAlign w:val="subscript"/>
          <w:lang w:val="en-GB"/>
        </w:rPr>
        <w:t>CMAX</w:t>
      </w:r>
      <w:r>
        <w:rPr>
          <w:i/>
          <w:iCs/>
          <w:sz w:val="20"/>
          <w:szCs w:val="20"/>
          <w:lang w:val="en-GB"/>
        </w:rPr>
        <w:t>(p,q</w:t>
      </w:r>
      <w:r>
        <w:rPr>
          <w:i/>
          <w:iCs/>
        </w:rPr>
        <w:t xml:space="preserve">) </w:t>
      </w:r>
      <w:r>
        <w:t xml:space="preserve"> is also limited by </w:t>
      </w:r>
      <m:oMath>
        <m:r>
          <w:rPr>
            <w:rFonts w:ascii="Cambria Math" w:hAnsi="Cambria Math"/>
            <w:sz w:val="20"/>
            <w:szCs w:val="20"/>
          </w:rPr>
          <m:t>MIN{</m:t>
        </m:r>
        <m:sSub>
          <m:sSubPr>
            <m:ctrlPr>
              <w:rPr>
                <w:rFonts w:ascii="Cambria Math" w:hAnsi="Cambria Math" w:cs="宋体"/>
                <w:i/>
                <w:iCs/>
                <w:sz w:val="24"/>
                <w:szCs w:val="24"/>
              </w:rPr>
            </m:ctrlPr>
          </m:sSubPr>
          <m:e>
            <m:acc>
              <m:accPr>
                <m:ctrlPr>
                  <w:rPr>
                    <w:rFonts w:ascii="Cambria Math" w:hAnsi="Cambria Math" w:cs="宋体"/>
                    <w:i/>
                    <w:iCs/>
                    <w:sz w:val="24"/>
                    <w:szCs w:val="24"/>
                  </w:rPr>
                </m:ctrlPr>
              </m:accPr>
              <m:e>
                <m:r>
                  <w:rPr>
                    <w:rFonts w:ascii="Cambria Math" w:hAnsi="Cambria Math"/>
                    <w:sz w:val="20"/>
                    <w:szCs w:val="20"/>
                  </w:rPr>
                  <m:t>P</m:t>
                </m:r>
              </m:e>
            </m:acc>
          </m:e>
          <m:sub>
            <m:r>
              <w:rPr>
                <w:rFonts w:ascii="Cambria Math" w:hAnsi="Cambria Math"/>
                <w:sz w:val="20"/>
                <w:szCs w:val="20"/>
              </w:rPr>
              <m:t>EMAX,ENDC</m:t>
            </m:r>
          </m:sub>
        </m:sSub>
        <m:r>
          <w:rPr>
            <w:rFonts w:ascii="Cambria Math" w:hAnsi="Cambria Math"/>
            <w:sz w:val="20"/>
            <w:szCs w:val="20"/>
          </w:rPr>
          <m:t>,</m:t>
        </m:r>
        <m:sSub>
          <m:sSubPr>
            <m:ctrlPr>
              <w:rPr>
                <w:rFonts w:ascii="Cambria Math" w:hAnsi="Cambria Math" w:cs="宋体"/>
                <w:i/>
                <w:iCs/>
                <w:sz w:val="24"/>
                <w:szCs w:val="24"/>
              </w:rPr>
            </m:ctrlPr>
          </m:sSubPr>
          <m:e>
            <m:acc>
              <m:accPr>
                <m:ctrlPr>
                  <w:rPr>
                    <w:rFonts w:ascii="Cambria Math" w:hAnsi="Cambria Math" w:cs="宋体"/>
                    <w:i/>
                    <w:iCs/>
                    <w:sz w:val="24"/>
                    <w:szCs w:val="24"/>
                  </w:rPr>
                </m:ctrlPr>
              </m:accPr>
              <m:e>
                <m:r>
                  <w:rPr>
                    <w:rFonts w:ascii="Cambria Math" w:hAnsi="Cambria Math"/>
                    <w:sz w:val="20"/>
                    <w:szCs w:val="20"/>
                  </w:rPr>
                  <m:t>P</m:t>
                </m:r>
              </m:e>
            </m:acc>
          </m:e>
          <m:sub>
            <m:r>
              <w:rPr>
                <w:rFonts w:ascii="Cambria Math" w:hAnsi="Cambria Math"/>
                <w:sz w:val="20"/>
                <w:szCs w:val="20"/>
              </w:rPr>
              <m:t>PowerClass,ENDC</m:t>
            </m:r>
          </m:sub>
        </m:sSub>
        <m:r>
          <w:rPr>
            <w:rFonts w:ascii="Cambria Math" w:hAnsi="Cambria Math"/>
            <w:sz w:val="20"/>
            <w:szCs w:val="20"/>
          </w:rPr>
          <m:t>}</m:t>
        </m:r>
      </m:oMath>
      <w:r>
        <w:rPr>
          <w:rFonts w:hint="eastAsia"/>
          <w:iCs/>
          <w:sz w:val="20"/>
          <w:szCs w:val="20"/>
          <w:lang w:eastAsia="zh-CN"/>
        </w:rPr>
        <w:t>.</w:t>
      </w:r>
      <w:r>
        <w:rPr>
          <w:iCs/>
          <w:sz w:val="20"/>
          <w:szCs w:val="20"/>
          <w:lang w:eastAsia="zh-CN"/>
        </w:rPr>
        <w:t xml:space="preserve"> </w:t>
      </w:r>
    </w:p>
    <w:p w14:paraId="0187A659" w14:textId="33A7D3E4" w:rsidR="006A5F84" w:rsidRDefault="006A5F84" w:rsidP="006A5F84">
      <w:pPr>
        <w:rPr>
          <w:b/>
          <w:bCs/>
        </w:rPr>
      </w:pPr>
      <w:r>
        <w:rPr>
          <w:b/>
          <w:bCs/>
        </w:rPr>
        <w:t>===Agreed CR Text ====</w:t>
      </w:r>
    </w:p>
    <w:p w14:paraId="4C055483" w14:textId="77777777" w:rsidR="006A5F84" w:rsidRDefault="006A5F84" w:rsidP="006A5F84">
      <w:pPr>
        <w:spacing w:after="160" w:line="252" w:lineRule="auto"/>
        <w:rPr>
          <w:i/>
          <w:iCs/>
          <w:sz w:val="20"/>
          <w:szCs w:val="20"/>
        </w:rPr>
      </w:pPr>
      <w:r>
        <w:rPr>
          <w:i/>
          <w:iCs/>
          <w:sz w:val="20"/>
          <w:szCs w:val="20"/>
          <w:highlight w:val="yellow"/>
        </w:rPr>
        <w:t>If the transmissions from NR and E-UTRA do not overlap,</w:t>
      </w:r>
      <w:r>
        <w:rPr>
          <w:i/>
          <w:iCs/>
          <w:sz w:val="20"/>
          <w:szCs w:val="20"/>
        </w:rPr>
        <w:t xml:space="preserve"> then the complete sub-clauses for configured transmitted power for E-UTRA and NR respectively from their own specifications apply with the modifications specified above. The </w:t>
      </w:r>
      <w:r>
        <w:rPr>
          <w:i/>
          <w:iCs/>
          <w:sz w:val="20"/>
          <w:szCs w:val="20"/>
          <w:highlight w:val="yellow"/>
        </w:rPr>
        <w:t xml:space="preserve">lower value between </w:t>
      </w:r>
      <w:r>
        <w:rPr>
          <w:i/>
          <w:iCs/>
          <w:sz w:val="20"/>
          <w:szCs w:val="20"/>
          <w:highlight w:val="yellow"/>
          <w:lang w:val="en-GB"/>
        </w:rPr>
        <w:t>P</w:t>
      </w:r>
      <w:r>
        <w:rPr>
          <w:i/>
          <w:iCs/>
          <w:sz w:val="20"/>
          <w:szCs w:val="20"/>
          <w:highlight w:val="yellow"/>
          <w:vertAlign w:val="subscript"/>
          <w:lang w:val="en-GB"/>
        </w:rPr>
        <w:t>PowerClass, EN-DC</w:t>
      </w:r>
      <w:r>
        <w:rPr>
          <w:i/>
          <w:iCs/>
          <w:sz w:val="20"/>
          <w:szCs w:val="20"/>
          <w:highlight w:val="yellow"/>
        </w:rPr>
        <w:t xml:space="preserve"> or </w:t>
      </w:r>
      <w:r>
        <w:rPr>
          <w:i/>
          <w:iCs/>
          <w:highlight w:val="yellow"/>
        </w:rPr>
        <w:t>P</w:t>
      </w:r>
      <w:r>
        <w:rPr>
          <w:i/>
          <w:iCs/>
          <w:highlight w:val="yellow"/>
          <w:vertAlign w:val="subscript"/>
        </w:rPr>
        <w:t>EMAX, EN-DC</w:t>
      </w:r>
      <w:r>
        <w:rPr>
          <w:i/>
          <w:iCs/>
          <w:highlight w:val="yellow"/>
        </w:rPr>
        <w:t xml:space="preserve"> </w:t>
      </w:r>
      <w:r>
        <w:rPr>
          <w:i/>
          <w:iCs/>
          <w:sz w:val="20"/>
          <w:szCs w:val="20"/>
          <w:highlight w:val="yellow"/>
        </w:rPr>
        <w:t>shall not be exceeded at any time by UE.</w:t>
      </w:r>
    </w:p>
    <w:p w14:paraId="0387F791" w14:textId="77777777" w:rsidR="006A5F84" w:rsidRDefault="006A5F84" w:rsidP="006A5F84">
      <w:pPr>
        <w:spacing w:after="160" w:line="252" w:lineRule="auto"/>
        <w:rPr>
          <w:i/>
          <w:iCs/>
          <w:sz w:val="20"/>
          <w:szCs w:val="20"/>
        </w:rPr>
      </w:pPr>
      <w:r>
        <w:rPr>
          <w:i/>
          <w:iCs/>
          <w:sz w:val="20"/>
          <w:szCs w:val="20"/>
          <w:highlight w:val="yellow"/>
        </w:rPr>
        <w:t>If the EN-DC UE is not supporting dynamic power sharing,</w:t>
      </w:r>
      <w:r>
        <w:rPr>
          <w:i/>
          <w:iCs/>
          <w:sz w:val="20"/>
          <w:szCs w:val="20"/>
        </w:rPr>
        <w:t xml:space="preserve"> then the complete sub-clauses for configured transmitted power for E-UTRA and NR respectively from their own specifications 36.101 and 38.101-1 respectively apply with the modifications specified above. </w:t>
      </w:r>
      <w:r>
        <w:rPr>
          <w:i/>
          <w:iCs/>
          <w:sz w:val="20"/>
          <w:szCs w:val="20"/>
          <w:highlight w:val="yellow"/>
        </w:rPr>
        <w:t xml:space="preserve">The lower value between </w:t>
      </w:r>
      <w:r>
        <w:rPr>
          <w:i/>
          <w:iCs/>
          <w:sz w:val="20"/>
          <w:szCs w:val="20"/>
          <w:highlight w:val="yellow"/>
          <w:lang w:val="en-GB"/>
        </w:rPr>
        <w:t>P</w:t>
      </w:r>
      <w:r>
        <w:rPr>
          <w:i/>
          <w:iCs/>
          <w:sz w:val="20"/>
          <w:szCs w:val="20"/>
          <w:highlight w:val="yellow"/>
          <w:vertAlign w:val="subscript"/>
          <w:lang w:val="en-GB"/>
        </w:rPr>
        <w:t>PowerClass, EN-DC</w:t>
      </w:r>
      <w:r>
        <w:rPr>
          <w:i/>
          <w:iCs/>
          <w:sz w:val="20"/>
          <w:szCs w:val="20"/>
          <w:highlight w:val="yellow"/>
        </w:rPr>
        <w:t xml:space="preserve"> or </w:t>
      </w:r>
      <w:r>
        <w:rPr>
          <w:i/>
          <w:iCs/>
          <w:highlight w:val="yellow"/>
        </w:rPr>
        <w:t>P</w:t>
      </w:r>
      <w:r>
        <w:rPr>
          <w:i/>
          <w:iCs/>
          <w:highlight w:val="yellow"/>
          <w:vertAlign w:val="subscript"/>
        </w:rPr>
        <w:t>EMAX, EN-DC</w:t>
      </w:r>
      <w:r>
        <w:rPr>
          <w:i/>
          <w:iCs/>
          <w:highlight w:val="yellow"/>
        </w:rPr>
        <w:t xml:space="preserve"> </w:t>
      </w:r>
      <w:r>
        <w:rPr>
          <w:i/>
          <w:iCs/>
          <w:sz w:val="20"/>
          <w:szCs w:val="20"/>
          <w:highlight w:val="yellow"/>
        </w:rPr>
        <w:t>shall not be exceeded at any time by UE.</w:t>
      </w:r>
    </w:p>
    <w:p w14:paraId="70EE5033" w14:textId="123129AE" w:rsidR="006A5F84" w:rsidRDefault="006A5F84" w:rsidP="006A5F84">
      <w:pPr>
        <w:spacing w:after="160" w:line="252" w:lineRule="auto"/>
        <w:rPr>
          <w:i/>
          <w:iCs/>
          <w:sz w:val="20"/>
          <w:szCs w:val="20"/>
        </w:rPr>
      </w:pPr>
      <w:r>
        <w:rPr>
          <w:i/>
          <w:iCs/>
          <w:sz w:val="20"/>
          <w:szCs w:val="20"/>
          <w:highlight w:val="yellow"/>
          <w:lang w:val="en-GB"/>
        </w:rPr>
        <w:t>When a UE supporting dynamic sharing is configured for overlapping E-UTRA uplink and NR uplink transmissions,</w:t>
      </w:r>
      <w:r>
        <w:rPr>
          <w:i/>
          <w:iCs/>
          <w:sz w:val="20"/>
          <w:szCs w:val="20"/>
          <w:lang w:val="en-GB"/>
        </w:rPr>
        <w:t xml:space="preserve"> the UE can set its configured maximum output power </w:t>
      </w:r>
      <w:r>
        <w:rPr>
          <w:i/>
          <w:iCs/>
          <w:sz w:val="20"/>
          <w:szCs w:val="20"/>
        </w:rPr>
        <w:t>P</w:t>
      </w:r>
      <w:r>
        <w:rPr>
          <w:i/>
          <w:iCs/>
          <w:sz w:val="20"/>
          <w:szCs w:val="20"/>
          <w:vertAlign w:val="subscript"/>
        </w:rPr>
        <w:t xml:space="preserve">CMAX_ E-UTRA,c </w:t>
      </w:r>
      <w:r>
        <w:rPr>
          <w:i/>
          <w:iCs/>
          <w:sz w:val="20"/>
          <w:szCs w:val="20"/>
          <w:lang w:val="en-GB"/>
        </w:rPr>
        <w:t xml:space="preserve">and </w:t>
      </w:r>
      <w:r>
        <w:rPr>
          <w:i/>
          <w:iCs/>
          <w:sz w:val="20"/>
          <w:szCs w:val="20"/>
        </w:rPr>
        <w:t>P</w:t>
      </w:r>
      <w:r>
        <w:rPr>
          <w:i/>
          <w:iCs/>
          <w:sz w:val="20"/>
          <w:szCs w:val="20"/>
          <w:vertAlign w:val="subscript"/>
        </w:rPr>
        <w:t xml:space="preserve">CMAX_ NR,c </w:t>
      </w:r>
      <w:r>
        <w:rPr>
          <w:i/>
          <w:iCs/>
          <w:sz w:val="20"/>
          <w:szCs w:val="20"/>
          <w:lang w:val="en-GB"/>
        </w:rPr>
        <w:t xml:space="preserve">for the configured E-UTRA and NR uplink carriers, respectively, </w:t>
      </w:r>
      <w:r>
        <w:rPr>
          <w:i/>
          <w:iCs/>
          <w:sz w:val="20"/>
          <w:szCs w:val="20"/>
          <w:highlight w:val="yellow"/>
          <w:lang w:val="en-GB"/>
        </w:rPr>
        <w:t>as specified above and its total configured maximum output power P</w:t>
      </w:r>
      <w:r>
        <w:rPr>
          <w:i/>
          <w:iCs/>
          <w:sz w:val="20"/>
          <w:szCs w:val="20"/>
          <w:highlight w:val="yellow"/>
          <w:vertAlign w:val="subscript"/>
          <w:lang w:val="en-GB"/>
        </w:rPr>
        <w:t>CMAX</w:t>
      </w:r>
      <w:r>
        <w:rPr>
          <w:i/>
          <w:iCs/>
          <w:sz w:val="20"/>
          <w:szCs w:val="20"/>
          <w:highlight w:val="yellow"/>
          <w:lang w:val="en-GB"/>
        </w:rPr>
        <w:t>.</w:t>
      </w:r>
    </w:p>
    <w:p w14:paraId="06D2EE38" w14:textId="77777777" w:rsidR="00AE094C" w:rsidRDefault="00AE094C" w:rsidP="00AE094C">
      <w:pPr>
        <w:spacing w:after="160" w:line="252" w:lineRule="auto"/>
        <w:rPr>
          <w:i/>
          <w:iCs/>
          <w:sz w:val="20"/>
          <w:szCs w:val="20"/>
          <w:vertAlign w:val="subscript"/>
        </w:rPr>
      </w:pPr>
      <w:r>
        <w:rPr>
          <w:i/>
          <w:iCs/>
          <w:sz w:val="20"/>
          <w:szCs w:val="20"/>
        </w:rPr>
        <w:t>When an UL subframe transmission p from E-UTRA overlap with a slot q from the NR, then for P</w:t>
      </w:r>
      <w:r>
        <w:rPr>
          <w:i/>
          <w:iCs/>
          <w:sz w:val="20"/>
          <w:szCs w:val="20"/>
          <w:vertAlign w:val="subscript"/>
        </w:rPr>
        <w:t xml:space="preserve">CMAX </w:t>
      </w:r>
      <w:r>
        <w:rPr>
          <w:i/>
          <w:iCs/>
          <w:sz w:val="20"/>
          <w:szCs w:val="20"/>
        </w:rPr>
        <w:t xml:space="preserve">(p,q) evaluation, </w:t>
      </w:r>
      <w:r>
        <w:rPr>
          <w:i/>
          <w:iCs/>
          <w:sz w:val="20"/>
          <w:szCs w:val="20"/>
          <w:lang w:val="en-GB"/>
        </w:rPr>
        <w:t>the</w:t>
      </w:r>
      <w:r>
        <w:rPr>
          <w:i/>
          <w:iCs/>
          <w:sz w:val="20"/>
          <w:szCs w:val="20"/>
        </w:rPr>
        <w:t xml:space="preserve"> E-UTRA subframe p is taken as reference period T</w:t>
      </w:r>
      <w:r>
        <w:rPr>
          <w:i/>
          <w:iCs/>
          <w:sz w:val="20"/>
          <w:szCs w:val="20"/>
          <w:vertAlign w:val="subscript"/>
        </w:rPr>
        <w:t>REF</w:t>
      </w:r>
      <w:r>
        <w:rPr>
          <w:i/>
          <w:iCs/>
          <w:sz w:val="20"/>
          <w:szCs w:val="20"/>
        </w:rPr>
        <w:t xml:space="preserve"> and always considered as the reference measurement duration and the following rules are applicable.</w:t>
      </w:r>
    </w:p>
    <w:p w14:paraId="65099E9A" w14:textId="77777777" w:rsidR="00AE094C" w:rsidRDefault="00AE094C" w:rsidP="00AE094C">
      <w:pPr>
        <w:spacing w:after="160" w:line="252" w:lineRule="auto"/>
        <w:rPr>
          <w:i/>
          <w:iCs/>
          <w:sz w:val="20"/>
          <w:szCs w:val="20"/>
        </w:rPr>
      </w:pPr>
      <w:r>
        <w:rPr>
          <w:i/>
          <w:iCs/>
          <w:sz w:val="20"/>
          <w:szCs w:val="20"/>
        </w:rPr>
        <w:t>The total UE configured maximum output power P</w:t>
      </w:r>
      <w:r>
        <w:rPr>
          <w:i/>
          <w:iCs/>
          <w:sz w:val="20"/>
          <w:szCs w:val="20"/>
          <w:vertAlign w:val="subscript"/>
        </w:rPr>
        <w:t xml:space="preserve">CMAX </w:t>
      </w:r>
      <w:r>
        <w:rPr>
          <w:i/>
          <w:iCs/>
          <w:sz w:val="20"/>
          <w:szCs w:val="20"/>
        </w:rPr>
        <w:t>(p,q) in a subframe p of CG 1 and a scheduling unit (slot) q of CG 2 that overlap in time shall be evaluated for each T</w:t>
      </w:r>
      <w:r>
        <w:rPr>
          <w:i/>
          <w:iCs/>
          <w:sz w:val="20"/>
          <w:szCs w:val="20"/>
          <w:vertAlign w:val="subscript"/>
        </w:rPr>
        <w:t>eval</w:t>
      </w:r>
      <w:r>
        <w:rPr>
          <w:i/>
          <w:iCs/>
          <w:sz w:val="20"/>
          <w:szCs w:val="20"/>
        </w:rPr>
        <w:t xml:space="preserve"> over the T</w:t>
      </w:r>
      <w:r>
        <w:rPr>
          <w:i/>
          <w:iCs/>
          <w:sz w:val="20"/>
          <w:szCs w:val="20"/>
          <w:vertAlign w:val="subscript"/>
        </w:rPr>
        <w:t>REF</w:t>
      </w:r>
      <w:r>
        <w:rPr>
          <w:i/>
          <w:iCs/>
          <w:sz w:val="20"/>
          <w:szCs w:val="20"/>
        </w:rPr>
        <w:t xml:space="preserve"> and respect the following upper and lower limits for synchronous and asynchronous operation unless stated otherwise:</w:t>
      </w:r>
    </w:p>
    <w:p w14:paraId="3D1665FE" w14:textId="77777777" w:rsidR="00AE094C" w:rsidRDefault="00AE094C" w:rsidP="00AE094C">
      <w:pPr>
        <w:overflowPunct w:val="0"/>
        <w:spacing w:after="180"/>
        <w:jc w:val="center"/>
        <w:textAlignment w:val="baseline"/>
        <w:rPr>
          <w:i/>
          <w:iCs/>
          <w:sz w:val="20"/>
          <w:szCs w:val="20"/>
          <w:lang w:val="en-GB"/>
        </w:rPr>
      </w:pPr>
      <w:r>
        <w:rPr>
          <w:i/>
          <w:iCs/>
          <w:sz w:val="20"/>
          <w:szCs w:val="20"/>
          <w:lang w:val="en-GB"/>
        </w:rPr>
        <w:t>P</w:t>
      </w:r>
      <w:r>
        <w:rPr>
          <w:i/>
          <w:iCs/>
          <w:sz w:val="20"/>
          <w:szCs w:val="20"/>
          <w:vertAlign w:val="subscript"/>
          <w:lang w:val="en-GB"/>
        </w:rPr>
        <w:t xml:space="preserve">CMAX_ EN-DC _L </w:t>
      </w:r>
      <w:r>
        <w:rPr>
          <w:i/>
          <w:iCs/>
          <w:sz w:val="20"/>
          <w:szCs w:val="20"/>
          <w:lang w:val="en-GB"/>
        </w:rPr>
        <w:t>(p,q)  ≤  P</w:t>
      </w:r>
      <w:r>
        <w:rPr>
          <w:i/>
          <w:iCs/>
          <w:sz w:val="20"/>
          <w:szCs w:val="20"/>
          <w:vertAlign w:val="subscript"/>
          <w:lang w:val="en-GB"/>
        </w:rPr>
        <w:t xml:space="preserve">CMAX </w:t>
      </w:r>
      <w:r>
        <w:rPr>
          <w:i/>
          <w:iCs/>
          <w:sz w:val="20"/>
          <w:szCs w:val="20"/>
          <w:lang w:val="en-GB"/>
        </w:rPr>
        <w:t>(p,q)  ≤  P</w:t>
      </w:r>
      <w:r>
        <w:rPr>
          <w:i/>
          <w:iCs/>
          <w:sz w:val="20"/>
          <w:szCs w:val="20"/>
          <w:vertAlign w:val="subscript"/>
          <w:lang w:val="en-GB"/>
        </w:rPr>
        <w:t xml:space="preserve">CMAX_ EN-DC _H </w:t>
      </w:r>
      <w:r>
        <w:rPr>
          <w:i/>
          <w:iCs/>
          <w:sz w:val="20"/>
          <w:szCs w:val="20"/>
          <w:lang w:val="en-GB"/>
        </w:rPr>
        <w:t>(p,q)</w:t>
      </w:r>
    </w:p>
    <w:p w14:paraId="1F539844" w14:textId="77777777" w:rsidR="00AE094C" w:rsidRDefault="00AE094C" w:rsidP="00AE094C">
      <w:pPr>
        <w:rPr>
          <w:i/>
          <w:iCs/>
          <w:sz w:val="20"/>
          <w:szCs w:val="20"/>
        </w:rPr>
      </w:pPr>
      <w:r>
        <w:rPr>
          <w:i/>
          <w:iCs/>
          <w:sz w:val="20"/>
          <w:szCs w:val="20"/>
        </w:rPr>
        <w:t>With</w:t>
      </w:r>
    </w:p>
    <w:p w14:paraId="65053E1F" w14:textId="77777777" w:rsidR="00AE094C" w:rsidRDefault="00AE094C" w:rsidP="00AE094C">
      <w:pPr>
        <w:rPr>
          <w:i/>
          <w:iCs/>
          <w:sz w:val="20"/>
          <w:szCs w:val="20"/>
          <w:lang w:val="en-GB"/>
        </w:rPr>
      </w:pPr>
    </w:p>
    <w:p w14:paraId="152D07CD" w14:textId="77777777" w:rsidR="00AE094C" w:rsidRDefault="00AE094C" w:rsidP="00AE094C">
      <w:pPr>
        <w:overflowPunct w:val="0"/>
        <w:spacing w:after="180"/>
        <w:jc w:val="center"/>
        <w:textAlignment w:val="baseline"/>
        <w:rPr>
          <w:i/>
          <w:iCs/>
          <w:sz w:val="20"/>
          <w:szCs w:val="20"/>
          <w:lang w:val="en-GB"/>
        </w:rPr>
      </w:pPr>
      <w:r>
        <w:rPr>
          <w:i/>
          <w:iCs/>
          <w:sz w:val="20"/>
          <w:szCs w:val="20"/>
          <w:lang w:val="en-GB"/>
        </w:rPr>
        <w:t>P</w:t>
      </w:r>
      <w:r>
        <w:rPr>
          <w:i/>
          <w:iCs/>
          <w:sz w:val="20"/>
          <w:szCs w:val="20"/>
          <w:vertAlign w:val="subscript"/>
          <w:lang w:val="en-GB"/>
        </w:rPr>
        <w:t>CMAX_ EN-DC _H</w:t>
      </w:r>
      <w:r>
        <w:rPr>
          <w:i/>
          <w:iCs/>
          <w:sz w:val="20"/>
          <w:szCs w:val="20"/>
          <w:lang w:val="en-GB"/>
        </w:rPr>
        <w:t xml:space="preserve">(p,q) = </w:t>
      </w:r>
      <w:r>
        <w:rPr>
          <w:i/>
          <w:iCs/>
          <w:sz w:val="20"/>
          <w:szCs w:val="20"/>
          <w:highlight w:val="yellow"/>
          <w:lang w:val="en-GB"/>
        </w:rPr>
        <w:t>MIN {</w:t>
      </w:r>
      <w:r>
        <w:rPr>
          <w:i/>
          <w:iCs/>
          <w:sz w:val="20"/>
          <w:szCs w:val="20"/>
          <w:lang w:val="en-GB"/>
        </w:rPr>
        <w:t>10 log</w:t>
      </w:r>
      <w:r>
        <w:rPr>
          <w:i/>
          <w:iCs/>
          <w:sz w:val="20"/>
          <w:szCs w:val="20"/>
          <w:vertAlign w:val="subscript"/>
          <w:lang w:val="en-GB"/>
        </w:rPr>
        <w:t>10</w:t>
      </w:r>
      <w:r>
        <w:rPr>
          <w:i/>
          <w:iCs/>
          <w:sz w:val="20"/>
          <w:szCs w:val="20"/>
          <w:lang w:val="en-GB"/>
        </w:rPr>
        <w:t xml:space="preserve"> [p</w:t>
      </w:r>
      <w:r>
        <w:rPr>
          <w:i/>
          <w:iCs/>
          <w:sz w:val="20"/>
          <w:szCs w:val="20"/>
          <w:vertAlign w:val="subscript"/>
          <w:lang w:val="en-GB"/>
        </w:rPr>
        <w:t>CMAX</w:t>
      </w:r>
      <w:r>
        <w:rPr>
          <w:i/>
          <w:iCs/>
          <w:sz w:val="20"/>
          <w:szCs w:val="20"/>
          <w:lang w:val="en-GB"/>
        </w:rPr>
        <w:t xml:space="preserve"> </w:t>
      </w:r>
      <w:r>
        <w:rPr>
          <w:i/>
          <w:iCs/>
          <w:sz w:val="20"/>
          <w:szCs w:val="20"/>
          <w:vertAlign w:val="subscript"/>
        </w:rPr>
        <w:t>H</w:t>
      </w:r>
      <w:r>
        <w:rPr>
          <w:i/>
          <w:iCs/>
          <w:sz w:val="20"/>
          <w:szCs w:val="20"/>
          <w:vertAlign w:val="subscript"/>
          <w:lang w:val="en-GB"/>
        </w:rPr>
        <w:t xml:space="preserve"> _ </w:t>
      </w:r>
      <w:r>
        <w:rPr>
          <w:i/>
          <w:iCs/>
          <w:sz w:val="20"/>
          <w:szCs w:val="20"/>
          <w:vertAlign w:val="subscript"/>
        </w:rPr>
        <w:t>E-UTRA</w:t>
      </w:r>
      <w:r>
        <w:rPr>
          <w:i/>
          <w:iCs/>
          <w:sz w:val="20"/>
          <w:szCs w:val="20"/>
          <w:vertAlign w:val="subscript"/>
          <w:lang w:val="en-GB"/>
        </w:rPr>
        <w:t xml:space="preserve">,c </w:t>
      </w:r>
      <w:r>
        <w:rPr>
          <w:i/>
          <w:iCs/>
          <w:sz w:val="20"/>
          <w:szCs w:val="20"/>
          <w:lang w:val="en-GB"/>
        </w:rPr>
        <w:t>(p) + p</w:t>
      </w:r>
      <w:r>
        <w:rPr>
          <w:i/>
          <w:iCs/>
          <w:sz w:val="20"/>
          <w:szCs w:val="20"/>
          <w:vertAlign w:val="subscript"/>
          <w:lang w:val="en-GB"/>
        </w:rPr>
        <w:t>CMAX</w:t>
      </w:r>
      <w:r>
        <w:rPr>
          <w:i/>
          <w:iCs/>
          <w:sz w:val="20"/>
          <w:szCs w:val="20"/>
          <w:lang w:val="en-GB"/>
        </w:rPr>
        <w:t xml:space="preserve"> </w:t>
      </w:r>
      <w:r>
        <w:rPr>
          <w:i/>
          <w:iCs/>
          <w:vertAlign w:val="subscript"/>
        </w:rPr>
        <w:t>H,f,c,NR</w:t>
      </w:r>
      <w:r>
        <w:rPr>
          <w:i/>
          <w:iCs/>
        </w:rPr>
        <w:t xml:space="preserve"> </w:t>
      </w:r>
      <w:r>
        <w:rPr>
          <w:i/>
          <w:iCs/>
          <w:sz w:val="20"/>
          <w:szCs w:val="20"/>
          <w:vertAlign w:val="subscript"/>
          <w:lang w:val="en-GB"/>
        </w:rPr>
        <w:t>c</w:t>
      </w:r>
      <w:r>
        <w:rPr>
          <w:i/>
          <w:iCs/>
          <w:sz w:val="20"/>
          <w:szCs w:val="20"/>
          <w:lang w:val="en-GB"/>
        </w:rPr>
        <w:t xml:space="preserve">(q)], </w:t>
      </w:r>
      <w:r>
        <w:rPr>
          <w:i/>
          <w:iCs/>
          <w:highlight w:val="yellow"/>
        </w:rPr>
        <w:t>P</w:t>
      </w:r>
      <w:r>
        <w:rPr>
          <w:i/>
          <w:iCs/>
          <w:highlight w:val="yellow"/>
          <w:vertAlign w:val="subscript"/>
        </w:rPr>
        <w:t>EMAX, EN-DC</w:t>
      </w:r>
      <w:r>
        <w:rPr>
          <w:i/>
          <w:iCs/>
          <w:highlight w:val="yellow"/>
        </w:rPr>
        <w:t xml:space="preserve"> ,</w:t>
      </w:r>
      <w:r>
        <w:rPr>
          <w:i/>
          <w:iCs/>
          <w:sz w:val="20"/>
          <w:szCs w:val="20"/>
          <w:highlight w:val="yellow"/>
          <w:lang w:val="en-GB"/>
        </w:rPr>
        <w:t>P</w:t>
      </w:r>
      <w:r>
        <w:rPr>
          <w:i/>
          <w:iCs/>
          <w:sz w:val="20"/>
          <w:szCs w:val="20"/>
          <w:highlight w:val="yellow"/>
          <w:vertAlign w:val="subscript"/>
          <w:lang w:val="en-GB"/>
        </w:rPr>
        <w:t>PowerClass, EN-DC</w:t>
      </w:r>
      <w:r>
        <w:rPr>
          <w:i/>
          <w:iCs/>
          <w:sz w:val="20"/>
          <w:szCs w:val="20"/>
          <w:highlight w:val="yellow"/>
          <w:lang w:val="en-GB"/>
        </w:rPr>
        <w:t>}</w:t>
      </w:r>
    </w:p>
    <w:p w14:paraId="7B910375" w14:textId="77777777" w:rsidR="00AE094C" w:rsidRDefault="00AE094C" w:rsidP="00AE094C">
      <w:pPr>
        <w:overflowPunct w:val="0"/>
        <w:spacing w:after="180"/>
        <w:textAlignment w:val="baseline"/>
        <w:rPr>
          <w:i/>
          <w:iCs/>
          <w:sz w:val="20"/>
          <w:szCs w:val="20"/>
          <w:lang w:val="en-GB"/>
        </w:rPr>
      </w:pPr>
      <w:r>
        <w:rPr>
          <w:i/>
          <w:iCs/>
          <w:sz w:val="20"/>
          <w:szCs w:val="20"/>
          <w:lang w:val="en-GB"/>
        </w:rPr>
        <w:t>And:</w:t>
      </w:r>
    </w:p>
    <w:p w14:paraId="053EA45B" w14:textId="77777777" w:rsidR="00AE094C" w:rsidRDefault="00AE094C" w:rsidP="00AE094C">
      <w:pPr>
        <w:overflowPunct w:val="0"/>
        <w:spacing w:after="180"/>
        <w:textAlignment w:val="baseline"/>
        <w:rPr>
          <w:i/>
          <w:iCs/>
          <w:sz w:val="20"/>
          <w:szCs w:val="20"/>
          <w:vertAlign w:val="subscript"/>
          <w:lang w:val="en-GB"/>
        </w:rPr>
      </w:pPr>
      <w:r>
        <w:rPr>
          <w:i/>
          <w:iCs/>
          <w:sz w:val="20"/>
          <w:szCs w:val="20"/>
          <w:lang w:val="en-GB"/>
        </w:rPr>
        <w:t>If 10 log</w:t>
      </w:r>
      <w:r>
        <w:rPr>
          <w:i/>
          <w:iCs/>
          <w:sz w:val="20"/>
          <w:szCs w:val="20"/>
          <w:vertAlign w:val="subscript"/>
          <w:lang w:val="en-GB"/>
        </w:rPr>
        <w:t>10</w:t>
      </w:r>
      <w:r>
        <w:rPr>
          <w:i/>
          <w:iCs/>
          <w:sz w:val="20"/>
          <w:szCs w:val="20"/>
          <w:lang w:val="en-GB"/>
        </w:rPr>
        <w:t xml:space="preserve"> [p</w:t>
      </w:r>
      <w:r>
        <w:rPr>
          <w:i/>
          <w:iCs/>
          <w:sz w:val="20"/>
          <w:szCs w:val="20"/>
          <w:vertAlign w:val="subscript"/>
          <w:lang w:val="en-GB"/>
        </w:rPr>
        <w:t>CMAX</w:t>
      </w:r>
      <w:r>
        <w:rPr>
          <w:i/>
          <w:iCs/>
          <w:sz w:val="20"/>
          <w:szCs w:val="20"/>
          <w:lang w:val="en-GB"/>
        </w:rPr>
        <w:t xml:space="preserve"> </w:t>
      </w:r>
      <w:r>
        <w:rPr>
          <w:i/>
          <w:iCs/>
          <w:sz w:val="20"/>
          <w:szCs w:val="20"/>
          <w:vertAlign w:val="subscript"/>
        </w:rPr>
        <w:t>L</w:t>
      </w:r>
      <w:r>
        <w:rPr>
          <w:i/>
          <w:iCs/>
          <w:sz w:val="20"/>
          <w:szCs w:val="20"/>
          <w:vertAlign w:val="subscript"/>
          <w:lang w:val="en-GB"/>
        </w:rPr>
        <w:t xml:space="preserve"> _ </w:t>
      </w:r>
      <w:r>
        <w:rPr>
          <w:i/>
          <w:iCs/>
          <w:sz w:val="20"/>
          <w:szCs w:val="20"/>
          <w:vertAlign w:val="subscript"/>
        </w:rPr>
        <w:t>E-UTRA</w:t>
      </w:r>
      <w:r>
        <w:rPr>
          <w:i/>
          <w:iCs/>
          <w:sz w:val="20"/>
          <w:szCs w:val="20"/>
          <w:vertAlign w:val="subscript"/>
          <w:lang w:val="en-GB"/>
        </w:rPr>
        <w:t xml:space="preserve">,c </w:t>
      </w:r>
      <w:r>
        <w:rPr>
          <w:i/>
          <w:iCs/>
          <w:sz w:val="20"/>
          <w:szCs w:val="20"/>
          <w:lang w:val="en-GB"/>
        </w:rPr>
        <w:t>(p) + p</w:t>
      </w:r>
      <w:r>
        <w:rPr>
          <w:i/>
          <w:iCs/>
          <w:sz w:val="20"/>
          <w:szCs w:val="20"/>
          <w:vertAlign w:val="subscript"/>
          <w:lang w:val="en-GB"/>
        </w:rPr>
        <w:t>CMAX</w:t>
      </w:r>
      <w:r>
        <w:rPr>
          <w:i/>
          <w:iCs/>
          <w:sz w:val="20"/>
          <w:szCs w:val="20"/>
          <w:lang w:val="en-GB"/>
        </w:rPr>
        <w:t xml:space="preserve"> </w:t>
      </w:r>
      <w:r>
        <w:rPr>
          <w:i/>
          <w:iCs/>
          <w:vertAlign w:val="subscript"/>
        </w:rPr>
        <w:t>L,f,c,,NR</w:t>
      </w:r>
      <w:r>
        <w:rPr>
          <w:i/>
          <w:iCs/>
        </w:rPr>
        <w:t xml:space="preserve"> </w:t>
      </w:r>
      <w:r>
        <w:rPr>
          <w:i/>
          <w:iCs/>
          <w:sz w:val="20"/>
          <w:szCs w:val="20"/>
          <w:vertAlign w:val="subscript"/>
          <w:lang w:val="en-GB"/>
        </w:rPr>
        <w:t>c</w:t>
      </w:r>
      <w:r>
        <w:rPr>
          <w:i/>
          <w:iCs/>
          <w:sz w:val="20"/>
          <w:szCs w:val="20"/>
          <w:lang w:val="en-GB"/>
        </w:rPr>
        <w:t>(q)] &gt; MIN {</w:t>
      </w:r>
      <w:r>
        <w:rPr>
          <w:i/>
          <w:iCs/>
        </w:rPr>
        <w:t xml:space="preserve"> P</w:t>
      </w:r>
      <w:r>
        <w:rPr>
          <w:i/>
          <w:iCs/>
          <w:vertAlign w:val="subscript"/>
        </w:rPr>
        <w:t>EMAX, EN-DC</w:t>
      </w:r>
      <w:r>
        <w:rPr>
          <w:i/>
          <w:iCs/>
        </w:rPr>
        <w:t xml:space="preserve"> ,</w:t>
      </w:r>
      <w:r>
        <w:rPr>
          <w:i/>
          <w:iCs/>
          <w:sz w:val="20"/>
          <w:szCs w:val="20"/>
          <w:lang w:val="en-GB"/>
        </w:rPr>
        <w:t>P</w:t>
      </w:r>
      <w:r>
        <w:rPr>
          <w:i/>
          <w:iCs/>
          <w:sz w:val="20"/>
          <w:szCs w:val="20"/>
          <w:vertAlign w:val="subscript"/>
          <w:lang w:val="en-GB"/>
        </w:rPr>
        <w:t>PowerClass, EN-DC</w:t>
      </w:r>
      <w:r>
        <w:rPr>
          <w:i/>
          <w:iCs/>
          <w:sz w:val="20"/>
          <w:szCs w:val="20"/>
          <w:lang w:val="en-GB"/>
        </w:rPr>
        <w:t>}</w:t>
      </w:r>
    </w:p>
    <w:p w14:paraId="4F33EC7B" w14:textId="77777777" w:rsidR="00AE094C" w:rsidRDefault="00AE094C" w:rsidP="00AE094C">
      <w:pPr>
        <w:spacing w:after="160" w:line="252" w:lineRule="auto"/>
        <w:ind w:firstLine="1304"/>
        <w:rPr>
          <w:i/>
          <w:iCs/>
          <w:sz w:val="20"/>
          <w:szCs w:val="20"/>
        </w:rPr>
      </w:pPr>
      <w:r>
        <w:rPr>
          <w:i/>
          <w:iCs/>
          <w:sz w:val="20"/>
          <w:szCs w:val="20"/>
        </w:rPr>
        <w:t xml:space="preserve">Then </w:t>
      </w:r>
    </w:p>
    <w:p w14:paraId="16041815" w14:textId="77777777" w:rsidR="00AE094C" w:rsidRDefault="00AE094C" w:rsidP="00AE094C">
      <w:pPr>
        <w:overflowPunct w:val="0"/>
        <w:spacing w:after="180"/>
        <w:jc w:val="center"/>
        <w:textAlignment w:val="baseline"/>
        <w:rPr>
          <w:i/>
          <w:iCs/>
          <w:sz w:val="20"/>
          <w:szCs w:val="20"/>
          <w:lang w:val="en-GB"/>
        </w:rPr>
      </w:pPr>
      <w:r>
        <w:rPr>
          <w:i/>
          <w:iCs/>
          <w:sz w:val="20"/>
          <w:szCs w:val="20"/>
          <w:lang w:val="en-GB"/>
        </w:rPr>
        <w:t>P</w:t>
      </w:r>
      <w:r>
        <w:rPr>
          <w:i/>
          <w:iCs/>
          <w:sz w:val="20"/>
          <w:szCs w:val="20"/>
          <w:vertAlign w:val="subscript"/>
          <w:lang w:val="en-GB"/>
        </w:rPr>
        <w:t>CMAX_ EN-DC _L</w:t>
      </w:r>
      <w:r>
        <w:rPr>
          <w:i/>
          <w:iCs/>
          <w:sz w:val="20"/>
          <w:szCs w:val="20"/>
          <w:lang w:val="en-GB"/>
        </w:rPr>
        <w:t xml:space="preserve">(p,q) = </w:t>
      </w:r>
      <w:r>
        <w:rPr>
          <w:i/>
          <w:iCs/>
          <w:sz w:val="20"/>
          <w:szCs w:val="20"/>
          <w:highlight w:val="yellow"/>
          <w:lang w:val="en-GB"/>
        </w:rPr>
        <w:t>MIN {</w:t>
      </w:r>
      <w:r>
        <w:rPr>
          <w:i/>
          <w:iCs/>
          <w:sz w:val="20"/>
          <w:szCs w:val="20"/>
          <w:lang w:val="en-GB"/>
        </w:rPr>
        <w:t>10 log</w:t>
      </w:r>
      <w:r>
        <w:rPr>
          <w:i/>
          <w:iCs/>
          <w:sz w:val="20"/>
          <w:szCs w:val="20"/>
          <w:vertAlign w:val="subscript"/>
          <w:lang w:val="en-GB"/>
        </w:rPr>
        <w:t>10</w:t>
      </w:r>
      <w:r>
        <w:rPr>
          <w:i/>
          <w:iCs/>
          <w:sz w:val="20"/>
          <w:szCs w:val="20"/>
          <w:lang w:val="en-GB"/>
        </w:rPr>
        <w:t xml:space="preserve"> [p</w:t>
      </w:r>
      <w:r>
        <w:rPr>
          <w:i/>
          <w:iCs/>
          <w:sz w:val="20"/>
          <w:szCs w:val="20"/>
          <w:vertAlign w:val="subscript"/>
          <w:lang w:val="en-GB"/>
        </w:rPr>
        <w:t>CMAX</w:t>
      </w:r>
      <w:r>
        <w:rPr>
          <w:i/>
          <w:iCs/>
          <w:sz w:val="20"/>
          <w:szCs w:val="20"/>
          <w:lang w:val="en-GB"/>
        </w:rPr>
        <w:t xml:space="preserve"> </w:t>
      </w:r>
      <w:r>
        <w:rPr>
          <w:i/>
          <w:iCs/>
          <w:sz w:val="20"/>
          <w:szCs w:val="20"/>
          <w:vertAlign w:val="subscript"/>
        </w:rPr>
        <w:t>L</w:t>
      </w:r>
      <w:r>
        <w:rPr>
          <w:i/>
          <w:iCs/>
          <w:sz w:val="20"/>
          <w:szCs w:val="20"/>
          <w:vertAlign w:val="subscript"/>
          <w:lang w:val="en-GB"/>
        </w:rPr>
        <w:t xml:space="preserve"> _ </w:t>
      </w:r>
      <w:r>
        <w:rPr>
          <w:i/>
          <w:iCs/>
          <w:sz w:val="20"/>
          <w:szCs w:val="20"/>
          <w:vertAlign w:val="subscript"/>
        </w:rPr>
        <w:t>E-UTRA</w:t>
      </w:r>
      <w:r>
        <w:rPr>
          <w:i/>
          <w:iCs/>
          <w:sz w:val="20"/>
          <w:szCs w:val="20"/>
          <w:vertAlign w:val="subscript"/>
          <w:lang w:val="en-GB"/>
        </w:rPr>
        <w:t xml:space="preserve">,c </w:t>
      </w:r>
      <w:r>
        <w:rPr>
          <w:i/>
          <w:iCs/>
          <w:sz w:val="20"/>
          <w:szCs w:val="20"/>
          <w:lang w:val="en-GB"/>
        </w:rPr>
        <w:t xml:space="preserve">(p) ], </w:t>
      </w:r>
      <w:r>
        <w:rPr>
          <w:i/>
          <w:iCs/>
          <w:highlight w:val="yellow"/>
        </w:rPr>
        <w:t>P</w:t>
      </w:r>
      <w:r>
        <w:rPr>
          <w:i/>
          <w:iCs/>
          <w:highlight w:val="yellow"/>
          <w:vertAlign w:val="subscript"/>
        </w:rPr>
        <w:t>EMAX, EN-DC</w:t>
      </w:r>
      <w:r>
        <w:rPr>
          <w:i/>
          <w:iCs/>
          <w:highlight w:val="yellow"/>
        </w:rPr>
        <w:t xml:space="preserve"> ,</w:t>
      </w:r>
      <w:r>
        <w:rPr>
          <w:i/>
          <w:iCs/>
          <w:sz w:val="20"/>
          <w:szCs w:val="20"/>
          <w:highlight w:val="yellow"/>
          <w:lang w:val="en-GB"/>
        </w:rPr>
        <w:t>P</w:t>
      </w:r>
      <w:r>
        <w:rPr>
          <w:i/>
          <w:iCs/>
          <w:sz w:val="20"/>
          <w:szCs w:val="20"/>
          <w:highlight w:val="yellow"/>
          <w:vertAlign w:val="subscript"/>
          <w:lang w:val="en-GB"/>
        </w:rPr>
        <w:t>PowerClass, EN-DC</w:t>
      </w:r>
      <w:r>
        <w:rPr>
          <w:i/>
          <w:iCs/>
          <w:sz w:val="20"/>
          <w:szCs w:val="20"/>
          <w:highlight w:val="yellow"/>
          <w:lang w:val="en-GB"/>
        </w:rPr>
        <w:t>}</w:t>
      </w:r>
    </w:p>
    <w:p w14:paraId="361C9899" w14:textId="77777777" w:rsidR="00AE094C" w:rsidRDefault="00AE094C" w:rsidP="00AE094C">
      <w:pPr>
        <w:overflowPunct w:val="0"/>
        <w:spacing w:after="180"/>
        <w:textAlignment w:val="baseline"/>
        <w:rPr>
          <w:i/>
          <w:iCs/>
          <w:sz w:val="20"/>
          <w:szCs w:val="20"/>
          <w:lang w:val="en-GB"/>
        </w:rPr>
      </w:pPr>
      <w:r>
        <w:rPr>
          <w:i/>
          <w:iCs/>
          <w:sz w:val="20"/>
          <w:szCs w:val="20"/>
          <w:lang w:val="en-GB"/>
        </w:rPr>
        <w:t>                        Else</w:t>
      </w:r>
    </w:p>
    <w:p w14:paraId="0216FD8D" w14:textId="77777777" w:rsidR="00AE094C" w:rsidRDefault="00AE094C" w:rsidP="00AE094C">
      <w:pPr>
        <w:overflowPunct w:val="0"/>
        <w:spacing w:after="180"/>
        <w:jc w:val="center"/>
        <w:textAlignment w:val="baseline"/>
        <w:rPr>
          <w:i/>
          <w:iCs/>
          <w:sz w:val="20"/>
          <w:szCs w:val="20"/>
          <w:lang w:val="en-GB"/>
        </w:rPr>
      </w:pPr>
      <w:r>
        <w:rPr>
          <w:i/>
          <w:iCs/>
          <w:sz w:val="20"/>
          <w:szCs w:val="20"/>
          <w:lang w:val="en-GB"/>
        </w:rPr>
        <w:t>P</w:t>
      </w:r>
      <w:r>
        <w:rPr>
          <w:i/>
          <w:iCs/>
          <w:sz w:val="20"/>
          <w:szCs w:val="20"/>
          <w:vertAlign w:val="subscript"/>
          <w:lang w:val="en-GB"/>
        </w:rPr>
        <w:t>CMAX_ EN-DC _L</w:t>
      </w:r>
      <w:r>
        <w:rPr>
          <w:i/>
          <w:iCs/>
          <w:sz w:val="20"/>
          <w:szCs w:val="20"/>
          <w:lang w:val="en-GB"/>
        </w:rPr>
        <w:t xml:space="preserve">(p,q) = </w:t>
      </w:r>
      <w:r>
        <w:rPr>
          <w:i/>
          <w:iCs/>
          <w:sz w:val="20"/>
          <w:szCs w:val="20"/>
          <w:highlight w:val="yellow"/>
          <w:lang w:val="en-GB"/>
        </w:rPr>
        <w:t>MIN {</w:t>
      </w:r>
      <w:r>
        <w:rPr>
          <w:i/>
          <w:iCs/>
          <w:sz w:val="20"/>
          <w:szCs w:val="20"/>
          <w:lang w:val="en-GB"/>
        </w:rPr>
        <w:t>10 log</w:t>
      </w:r>
      <w:r>
        <w:rPr>
          <w:i/>
          <w:iCs/>
          <w:sz w:val="20"/>
          <w:szCs w:val="20"/>
          <w:vertAlign w:val="subscript"/>
          <w:lang w:val="en-GB"/>
        </w:rPr>
        <w:t>10</w:t>
      </w:r>
      <w:r>
        <w:rPr>
          <w:i/>
          <w:iCs/>
          <w:sz w:val="20"/>
          <w:szCs w:val="20"/>
          <w:lang w:val="en-GB"/>
        </w:rPr>
        <w:t xml:space="preserve"> [p</w:t>
      </w:r>
      <w:r>
        <w:rPr>
          <w:i/>
          <w:iCs/>
          <w:sz w:val="20"/>
          <w:szCs w:val="20"/>
          <w:vertAlign w:val="subscript"/>
          <w:lang w:val="en-GB"/>
        </w:rPr>
        <w:t>CMAX</w:t>
      </w:r>
      <w:r>
        <w:rPr>
          <w:i/>
          <w:iCs/>
          <w:sz w:val="20"/>
          <w:szCs w:val="20"/>
          <w:lang w:val="en-GB"/>
        </w:rPr>
        <w:t xml:space="preserve"> </w:t>
      </w:r>
      <w:r>
        <w:rPr>
          <w:i/>
          <w:iCs/>
          <w:sz w:val="20"/>
          <w:szCs w:val="20"/>
          <w:vertAlign w:val="subscript"/>
        </w:rPr>
        <w:t>L</w:t>
      </w:r>
      <w:r>
        <w:rPr>
          <w:i/>
          <w:iCs/>
          <w:sz w:val="20"/>
          <w:szCs w:val="20"/>
          <w:vertAlign w:val="subscript"/>
          <w:lang w:val="en-GB"/>
        </w:rPr>
        <w:t xml:space="preserve"> _ </w:t>
      </w:r>
      <w:r>
        <w:rPr>
          <w:i/>
          <w:iCs/>
          <w:sz w:val="20"/>
          <w:szCs w:val="20"/>
          <w:vertAlign w:val="subscript"/>
        </w:rPr>
        <w:t>E-UTRA</w:t>
      </w:r>
      <w:r>
        <w:rPr>
          <w:i/>
          <w:iCs/>
          <w:sz w:val="20"/>
          <w:szCs w:val="20"/>
          <w:vertAlign w:val="subscript"/>
          <w:lang w:val="en-GB"/>
        </w:rPr>
        <w:t xml:space="preserve">,c </w:t>
      </w:r>
      <w:r>
        <w:rPr>
          <w:i/>
          <w:iCs/>
          <w:sz w:val="20"/>
          <w:szCs w:val="20"/>
          <w:lang w:val="en-GB"/>
        </w:rPr>
        <w:t>(p) + p</w:t>
      </w:r>
      <w:r>
        <w:rPr>
          <w:i/>
          <w:iCs/>
          <w:sz w:val="20"/>
          <w:szCs w:val="20"/>
          <w:vertAlign w:val="subscript"/>
          <w:lang w:val="en-GB"/>
        </w:rPr>
        <w:t>CMAX</w:t>
      </w:r>
      <w:r>
        <w:rPr>
          <w:i/>
          <w:iCs/>
          <w:sz w:val="20"/>
          <w:szCs w:val="20"/>
          <w:lang w:val="en-GB"/>
        </w:rPr>
        <w:t xml:space="preserve"> </w:t>
      </w:r>
      <w:r>
        <w:rPr>
          <w:i/>
          <w:iCs/>
          <w:vertAlign w:val="subscript"/>
        </w:rPr>
        <w:t>L,f,c,,NR</w:t>
      </w:r>
      <w:r>
        <w:rPr>
          <w:i/>
          <w:iCs/>
        </w:rPr>
        <w:t xml:space="preserve"> </w:t>
      </w:r>
      <w:r>
        <w:rPr>
          <w:i/>
          <w:iCs/>
          <w:sz w:val="20"/>
          <w:szCs w:val="20"/>
          <w:vertAlign w:val="subscript"/>
          <w:lang w:val="en-GB"/>
        </w:rPr>
        <w:t>c</w:t>
      </w:r>
      <w:r>
        <w:rPr>
          <w:i/>
          <w:iCs/>
          <w:sz w:val="20"/>
          <w:szCs w:val="20"/>
          <w:lang w:val="en-GB"/>
        </w:rPr>
        <w:t xml:space="preserve">(q)], </w:t>
      </w:r>
      <w:r>
        <w:rPr>
          <w:i/>
          <w:iCs/>
          <w:highlight w:val="yellow"/>
        </w:rPr>
        <w:t>P</w:t>
      </w:r>
      <w:r>
        <w:rPr>
          <w:i/>
          <w:iCs/>
          <w:highlight w:val="yellow"/>
          <w:vertAlign w:val="subscript"/>
        </w:rPr>
        <w:t>EMAX, EN-DC</w:t>
      </w:r>
      <w:r>
        <w:rPr>
          <w:i/>
          <w:iCs/>
          <w:highlight w:val="yellow"/>
        </w:rPr>
        <w:t xml:space="preserve"> ,</w:t>
      </w:r>
      <w:r>
        <w:rPr>
          <w:i/>
          <w:iCs/>
          <w:sz w:val="20"/>
          <w:szCs w:val="20"/>
          <w:highlight w:val="yellow"/>
          <w:lang w:val="en-GB"/>
        </w:rPr>
        <w:t>P</w:t>
      </w:r>
      <w:r>
        <w:rPr>
          <w:i/>
          <w:iCs/>
          <w:sz w:val="20"/>
          <w:szCs w:val="20"/>
          <w:highlight w:val="yellow"/>
          <w:vertAlign w:val="subscript"/>
          <w:lang w:val="en-GB"/>
        </w:rPr>
        <w:t>PowerClass, EN-DC</w:t>
      </w:r>
      <w:r>
        <w:rPr>
          <w:i/>
          <w:iCs/>
          <w:sz w:val="20"/>
          <w:szCs w:val="20"/>
          <w:highlight w:val="yellow"/>
          <w:lang w:val="en-GB"/>
        </w:rPr>
        <w:t>}</w:t>
      </w:r>
    </w:p>
    <w:p w14:paraId="4709C724" w14:textId="77777777" w:rsidR="00AE094C" w:rsidRDefault="00AE094C" w:rsidP="00AE094C">
      <w:pPr>
        <w:spacing w:after="160" w:line="252" w:lineRule="auto"/>
        <w:rPr>
          <w:i/>
          <w:iCs/>
          <w:sz w:val="20"/>
          <w:szCs w:val="20"/>
        </w:rPr>
      </w:pPr>
      <w:r>
        <w:rPr>
          <w:i/>
          <w:iCs/>
          <w:sz w:val="20"/>
          <w:szCs w:val="20"/>
        </w:rPr>
        <w:lastRenderedPageBreak/>
        <w:t xml:space="preserve">where </w:t>
      </w:r>
    </w:p>
    <w:p w14:paraId="5D297D68" w14:textId="77777777" w:rsidR="00AE094C" w:rsidRDefault="00AE094C" w:rsidP="00FA5310">
      <w:pPr>
        <w:numPr>
          <w:ilvl w:val="0"/>
          <w:numId w:val="6"/>
        </w:numPr>
        <w:autoSpaceDE/>
        <w:autoSpaceDN/>
        <w:adjustRightInd/>
        <w:snapToGrid/>
        <w:spacing w:after="160" w:line="252" w:lineRule="auto"/>
        <w:jc w:val="left"/>
        <w:rPr>
          <w:i/>
          <w:iCs/>
          <w:sz w:val="20"/>
          <w:szCs w:val="20"/>
        </w:rPr>
      </w:pPr>
      <w:r>
        <w:rPr>
          <w:i/>
          <w:iCs/>
          <w:sz w:val="20"/>
          <w:szCs w:val="20"/>
          <w:lang w:val="en-GB"/>
        </w:rPr>
        <w:t>p</w:t>
      </w:r>
      <w:r>
        <w:rPr>
          <w:i/>
          <w:iCs/>
          <w:sz w:val="20"/>
          <w:szCs w:val="20"/>
          <w:vertAlign w:val="subscript"/>
          <w:lang w:val="en-GB"/>
        </w:rPr>
        <w:t>CMAX</w:t>
      </w:r>
      <w:r>
        <w:rPr>
          <w:i/>
          <w:iCs/>
          <w:sz w:val="20"/>
          <w:szCs w:val="20"/>
          <w:lang w:val="en-GB"/>
        </w:rPr>
        <w:t xml:space="preserve"> </w:t>
      </w:r>
      <w:r>
        <w:rPr>
          <w:i/>
          <w:iCs/>
          <w:sz w:val="20"/>
          <w:szCs w:val="20"/>
          <w:vertAlign w:val="subscript"/>
        </w:rPr>
        <w:t>H</w:t>
      </w:r>
      <w:r>
        <w:rPr>
          <w:i/>
          <w:iCs/>
          <w:sz w:val="20"/>
          <w:szCs w:val="20"/>
          <w:vertAlign w:val="subscript"/>
          <w:lang w:val="en-GB"/>
        </w:rPr>
        <w:t xml:space="preserve"> _ </w:t>
      </w:r>
      <w:r>
        <w:rPr>
          <w:i/>
          <w:iCs/>
          <w:sz w:val="20"/>
          <w:szCs w:val="20"/>
          <w:vertAlign w:val="subscript"/>
        </w:rPr>
        <w:t>E-UTRA</w:t>
      </w:r>
      <w:r>
        <w:rPr>
          <w:i/>
          <w:iCs/>
          <w:sz w:val="20"/>
          <w:szCs w:val="20"/>
          <w:vertAlign w:val="subscript"/>
          <w:lang w:val="en-GB"/>
        </w:rPr>
        <w:t xml:space="preserve">,c </w:t>
      </w:r>
      <w:r>
        <w:rPr>
          <w:i/>
          <w:iCs/>
          <w:sz w:val="20"/>
          <w:szCs w:val="20"/>
          <w:lang w:val="en-GB"/>
        </w:rPr>
        <w:t xml:space="preserve">(p) is the E-UTRA higher limit of the maximum configured power </w:t>
      </w:r>
      <w:r>
        <w:rPr>
          <w:i/>
          <w:iCs/>
          <w:sz w:val="20"/>
          <w:szCs w:val="20"/>
        </w:rPr>
        <w:t xml:space="preserve">expressed in linear scale; </w:t>
      </w:r>
    </w:p>
    <w:p w14:paraId="1BBCDAA5" w14:textId="77777777" w:rsidR="00AE094C" w:rsidRDefault="00AE094C" w:rsidP="00FA5310">
      <w:pPr>
        <w:numPr>
          <w:ilvl w:val="0"/>
          <w:numId w:val="6"/>
        </w:numPr>
        <w:autoSpaceDE/>
        <w:autoSpaceDN/>
        <w:adjustRightInd/>
        <w:snapToGrid/>
        <w:spacing w:after="160" w:line="252" w:lineRule="auto"/>
        <w:jc w:val="left"/>
        <w:rPr>
          <w:i/>
          <w:iCs/>
          <w:sz w:val="20"/>
          <w:szCs w:val="20"/>
        </w:rPr>
      </w:pPr>
      <w:r>
        <w:rPr>
          <w:i/>
          <w:iCs/>
          <w:sz w:val="20"/>
          <w:szCs w:val="20"/>
          <w:lang w:val="en-GB"/>
        </w:rPr>
        <w:t>p</w:t>
      </w:r>
      <w:r>
        <w:rPr>
          <w:i/>
          <w:iCs/>
          <w:sz w:val="20"/>
          <w:szCs w:val="20"/>
          <w:vertAlign w:val="subscript"/>
          <w:lang w:val="en-GB"/>
        </w:rPr>
        <w:t>CMAX</w:t>
      </w:r>
      <w:r>
        <w:rPr>
          <w:i/>
          <w:iCs/>
          <w:sz w:val="20"/>
          <w:szCs w:val="20"/>
          <w:lang w:val="en-GB"/>
        </w:rPr>
        <w:t xml:space="preserve"> </w:t>
      </w:r>
      <w:r>
        <w:rPr>
          <w:i/>
          <w:iCs/>
          <w:sz w:val="20"/>
          <w:szCs w:val="20"/>
          <w:vertAlign w:val="subscript"/>
        </w:rPr>
        <w:t>H</w:t>
      </w:r>
      <w:r>
        <w:rPr>
          <w:i/>
          <w:iCs/>
          <w:sz w:val="20"/>
          <w:szCs w:val="20"/>
          <w:vertAlign w:val="subscript"/>
          <w:lang w:val="en-GB"/>
        </w:rPr>
        <w:t xml:space="preserve"> _ </w:t>
      </w:r>
      <w:r>
        <w:rPr>
          <w:i/>
          <w:iCs/>
          <w:sz w:val="20"/>
          <w:szCs w:val="20"/>
          <w:vertAlign w:val="subscript"/>
        </w:rPr>
        <w:t>NR</w:t>
      </w:r>
      <w:r>
        <w:rPr>
          <w:i/>
          <w:iCs/>
          <w:sz w:val="20"/>
          <w:szCs w:val="20"/>
          <w:vertAlign w:val="subscript"/>
          <w:lang w:val="en-GB"/>
        </w:rPr>
        <w:t xml:space="preserve">,c </w:t>
      </w:r>
      <w:r>
        <w:rPr>
          <w:i/>
          <w:iCs/>
          <w:sz w:val="20"/>
          <w:szCs w:val="20"/>
          <w:lang w:val="en-GB"/>
        </w:rPr>
        <w:t xml:space="preserve">(q) is the NR higher limit of the maximum configured power </w:t>
      </w:r>
      <w:r>
        <w:rPr>
          <w:i/>
          <w:iCs/>
          <w:sz w:val="20"/>
          <w:szCs w:val="20"/>
        </w:rPr>
        <w:t xml:space="preserve">expressed in linear scale; </w:t>
      </w:r>
    </w:p>
    <w:p w14:paraId="371CB9F1" w14:textId="77777777" w:rsidR="00AE094C" w:rsidRDefault="00AE094C" w:rsidP="00FA5310">
      <w:pPr>
        <w:numPr>
          <w:ilvl w:val="0"/>
          <w:numId w:val="6"/>
        </w:numPr>
        <w:autoSpaceDE/>
        <w:autoSpaceDN/>
        <w:adjustRightInd/>
        <w:snapToGrid/>
        <w:spacing w:after="160" w:line="252" w:lineRule="auto"/>
        <w:jc w:val="left"/>
        <w:rPr>
          <w:i/>
          <w:iCs/>
          <w:sz w:val="20"/>
          <w:szCs w:val="20"/>
        </w:rPr>
      </w:pPr>
      <w:r>
        <w:rPr>
          <w:i/>
          <w:iCs/>
          <w:sz w:val="20"/>
          <w:szCs w:val="20"/>
          <w:lang w:val="en-GB"/>
        </w:rPr>
        <w:t>p</w:t>
      </w:r>
      <w:r>
        <w:rPr>
          <w:i/>
          <w:iCs/>
          <w:sz w:val="20"/>
          <w:szCs w:val="20"/>
          <w:vertAlign w:val="subscript"/>
          <w:lang w:val="en-GB"/>
        </w:rPr>
        <w:t>CMAX</w:t>
      </w:r>
      <w:r>
        <w:rPr>
          <w:i/>
          <w:iCs/>
          <w:sz w:val="20"/>
          <w:szCs w:val="20"/>
          <w:lang w:val="en-GB"/>
        </w:rPr>
        <w:t xml:space="preserve"> </w:t>
      </w:r>
      <w:r>
        <w:rPr>
          <w:i/>
          <w:iCs/>
          <w:sz w:val="20"/>
          <w:szCs w:val="20"/>
          <w:vertAlign w:val="subscript"/>
        </w:rPr>
        <w:t>L</w:t>
      </w:r>
      <w:r>
        <w:rPr>
          <w:i/>
          <w:iCs/>
          <w:sz w:val="20"/>
          <w:szCs w:val="20"/>
          <w:vertAlign w:val="subscript"/>
          <w:lang w:val="en-GB"/>
        </w:rPr>
        <w:t xml:space="preserve"> _ </w:t>
      </w:r>
      <w:r>
        <w:rPr>
          <w:i/>
          <w:iCs/>
          <w:sz w:val="20"/>
          <w:szCs w:val="20"/>
          <w:vertAlign w:val="subscript"/>
        </w:rPr>
        <w:t>E-UTRA</w:t>
      </w:r>
      <w:r>
        <w:rPr>
          <w:i/>
          <w:iCs/>
          <w:sz w:val="20"/>
          <w:szCs w:val="20"/>
          <w:vertAlign w:val="subscript"/>
          <w:lang w:val="en-GB"/>
        </w:rPr>
        <w:t xml:space="preserve">,c </w:t>
      </w:r>
      <w:r>
        <w:rPr>
          <w:i/>
          <w:iCs/>
          <w:sz w:val="20"/>
          <w:szCs w:val="20"/>
          <w:lang w:val="en-GB"/>
        </w:rPr>
        <w:t xml:space="preserve">(p) is the E-UTRA lower limit of the maximum configured power </w:t>
      </w:r>
      <w:r>
        <w:rPr>
          <w:i/>
          <w:iCs/>
          <w:sz w:val="20"/>
          <w:szCs w:val="20"/>
        </w:rPr>
        <w:t xml:space="preserve">expressed in linear scale; </w:t>
      </w:r>
    </w:p>
    <w:p w14:paraId="64162FC2" w14:textId="77777777" w:rsidR="00AE094C" w:rsidRDefault="00AE094C" w:rsidP="00FA5310">
      <w:pPr>
        <w:numPr>
          <w:ilvl w:val="0"/>
          <w:numId w:val="6"/>
        </w:numPr>
        <w:autoSpaceDE/>
        <w:autoSpaceDN/>
        <w:adjustRightInd/>
        <w:snapToGrid/>
        <w:spacing w:after="160" w:line="252" w:lineRule="auto"/>
        <w:jc w:val="left"/>
        <w:rPr>
          <w:i/>
          <w:iCs/>
          <w:sz w:val="20"/>
          <w:szCs w:val="20"/>
        </w:rPr>
      </w:pPr>
      <w:r>
        <w:rPr>
          <w:i/>
          <w:iCs/>
          <w:sz w:val="20"/>
          <w:szCs w:val="20"/>
          <w:lang w:val="en-GB"/>
        </w:rPr>
        <w:t>p</w:t>
      </w:r>
      <w:r>
        <w:rPr>
          <w:i/>
          <w:iCs/>
          <w:sz w:val="20"/>
          <w:szCs w:val="20"/>
          <w:vertAlign w:val="subscript"/>
          <w:lang w:val="en-GB"/>
        </w:rPr>
        <w:t>CMAX</w:t>
      </w:r>
      <w:r>
        <w:rPr>
          <w:i/>
          <w:iCs/>
          <w:sz w:val="20"/>
          <w:szCs w:val="20"/>
          <w:lang w:val="en-GB"/>
        </w:rPr>
        <w:t xml:space="preserve"> </w:t>
      </w:r>
      <w:r>
        <w:rPr>
          <w:i/>
          <w:iCs/>
          <w:sz w:val="20"/>
          <w:szCs w:val="20"/>
          <w:vertAlign w:val="subscript"/>
        </w:rPr>
        <w:t>L</w:t>
      </w:r>
      <w:r>
        <w:rPr>
          <w:i/>
          <w:iCs/>
          <w:sz w:val="20"/>
          <w:szCs w:val="20"/>
          <w:vertAlign w:val="subscript"/>
          <w:lang w:val="en-GB"/>
        </w:rPr>
        <w:t xml:space="preserve"> _ </w:t>
      </w:r>
      <w:r>
        <w:rPr>
          <w:i/>
          <w:iCs/>
          <w:sz w:val="20"/>
          <w:szCs w:val="20"/>
          <w:vertAlign w:val="subscript"/>
        </w:rPr>
        <w:t>NR,</w:t>
      </w:r>
      <w:r>
        <w:rPr>
          <w:i/>
          <w:iCs/>
          <w:sz w:val="20"/>
          <w:szCs w:val="20"/>
          <w:vertAlign w:val="subscript"/>
          <w:lang w:val="en-GB"/>
        </w:rPr>
        <w:t>c</w:t>
      </w:r>
      <w:r>
        <w:rPr>
          <w:i/>
          <w:iCs/>
          <w:sz w:val="20"/>
          <w:szCs w:val="20"/>
          <w:lang w:val="en-GB"/>
        </w:rPr>
        <w:t xml:space="preserve">(q) is the NR lower limit of the maximum configured power </w:t>
      </w:r>
      <w:r>
        <w:rPr>
          <w:i/>
          <w:iCs/>
          <w:sz w:val="20"/>
          <w:szCs w:val="20"/>
        </w:rPr>
        <w:t>expressed in linear scale;</w:t>
      </w:r>
    </w:p>
    <w:p w14:paraId="4233242E" w14:textId="77777777" w:rsidR="00AE094C" w:rsidRDefault="00AE094C" w:rsidP="00FA5310">
      <w:pPr>
        <w:numPr>
          <w:ilvl w:val="0"/>
          <w:numId w:val="6"/>
        </w:numPr>
        <w:autoSpaceDE/>
        <w:autoSpaceDN/>
        <w:adjustRightInd/>
        <w:snapToGrid/>
        <w:spacing w:after="0"/>
        <w:jc w:val="left"/>
        <w:rPr>
          <w:i/>
          <w:iCs/>
          <w:sz w:val="20"/>
          <w:szCs w:val="20"/>
          <w:lang w:val="en-GB"/>
        </w:rPr>
      </w:pPr>
      <w:r>
        <w:rPr>
          <w:i/>
          <w:iCs/>
          <w:sz w:val="20"/>
          <w:szCs w:val="20"/>
          <w:lang w:val="en-GB"/>
        </w:rPr>
        <w:t>P</w:t>
      </w:r>
      <w:r>
        <w:rPr>
          <w:i/>
          <w:iCs/>
          <w:sz w:val="20"/>
          <w:szCs w:val="20"/>
          <w:vertAlign w:val="subscript"/>
          <w:lang w:val="en-GB"/>
        </w:rPr>
        <w:t>PowerClass, EN-DC</w:t>
      </w:r>
      <w:r>
        <w:rPr>
          <w:i/>
          <w:iCs/>
          <w:sz w:val="20"/>
          <w:szCs w:val="20"/>
          <w:lang w:val="en-GB"/>
        </w:rPr>
        <w:t xml:space="preserve"> is defined in sub-clause 6.2B.1.3-1 for inter-band EN-DC;</w:t>
      </w:r>
    </w:p>
    <w:p w14:paraId="3EFFD878" w14:textId="77777777" w:rsidR="00AE094C" w:rsidRDefault="00AE094C" w:rsidP="00AE094C">
      <w:pPr>
        <w:ind w:left="720"/>
        <w:rPr>
          <w:i/>
          <w:iCs/>
          <w:sz w:val="20"/>
          <w:szCs w:val="20"/>
          <w:lang w:val="en-GB"/>
        </w:rPr>
      </w:pPr>
    </w:p>
    <w:p w14:paraId="782052AD" w14:textId="77777777" w:rsidR="00AE094C" w:rsidRDefault="00AE094C" w:rsidP="00FA5310">
      <w:pPr>
        <w:numPr>
          <w:ilvl w:val="0"/>
          <w:numId w:val="6"/>
        </w:numPr>
        <w:autoSpaceDE/>
        <w:autoSpaceDN/>
        <w:adjustRightInd/>
        <w:snapToGrid/>
        <w:spacing w:after="0"/>
        <w:jc w:val="left"/>
        <w:rPr>
          <w:i/>
          <w:iCs/>
          <w:sz w:val="20"/>
          <w:szCs w:val="20"/>
          <w:lang w:val="en-GB"/>
        </w:rPr>
      </w:pPr>
      <w:r>
        <w:rPr>
          <w:i/>
          <w:iCs/>
        </w:rPr>
        <w:t>P</w:t>
      </w:r>
      <w:r>
        <w:rPr>
          <w:i/>
          <w:iCs/>
          <w:vertAlign w:val="subscript"/>
        </w:rPr>
        <w:t xml:space="preserve">EMAX, EN-DC </w:t>
      </w:r>
      <w:r>
        <w:rPr>
          <w:i/>
          <w:iCs/>
          <w:sz w:val="20"/>
          <w:szCs w:val="20"/>
        </w:rPr>
        <w:t xml:space="preserve">is  </w:t>
      </w:r>
      <w:r>
        <w:rPr>
          <w:i/>
          <w:iCs/>
        </w:rPr>
        <w:t>P</w:t>
      </w:r>
      <w:r>
        <w:rPr>
          <w:i/>
          <w:iCs/>
          <w:vertAlign w:val="subscript"/>
        </w:rPr>
        <w:t xml:space="preserve">MAX, EN-DC </w:t>
      </w:r>
      <w:r>
        <w:rPr>
          <w:i/>
          <w:iCs/>
          <w:sz w:val="20"/>
          <w:szCs w:val="20"/>
        </w:rPr>
        <w:t>value signaled by RRC and defined in [7];</w:t>
      </w:r>
    </w:p>
    <w:p w14:paraId="0B10A3F2" w14:textId="77777777" w:rsidR="00AE094C" w:rsidRDefault="00AE094C" w:rsidP="00AE094C">
      <w:pPr>
        <w:rPr>
          <w:rFonts w:ascii="Arial" w:hAnsi="Arial" w:cs="Arial"/>
          <w:lang w:val="en-GB"/>
        </w:rPr>
      </w:pPr>
    </w:p>
    <w:p w14:paraId="186E4060" w14:textId="48789198" w:rsidR="00AE094C" w:rsidRDefault="00AE094C" w:rsidP="00AE094C">
      <w:pPr>
        <w:rPr>
          <w:rFonts w:ascii="Calibri" w:hAnsi="Calibri" w:cs="Calibri"/>
          <w:b/>
          <w:bCs/>
        </w:rPr>
      </w:pPr>
      <w:r>
        <w:rPr>
          <w:b/>
          <w:bCs/>
        </w:rPr>
        <w:t>===End of CR Text ====</w:t>
      </w:r>
    </w:p>
    <w:p w14:paraId="52B2972A" w14:textId="5DEE8108" w:rsidR="005A5CB4" w:rsidRPr="0042602D" w:rsidRDefault="00AE094C" w:rsidP="00AE094C">
      <w:r>
        <w:t xml:space="preserve">In RAN2 #103 meeting, it has been agreed that </w:t>
      </w:r>
      <w:r w:rsidRPr="00E82F00">
        <w:t>the transmit power available per UE is not only determined by the power class but also by the conf</w:t>
      </w:r>
      <w:r>
        <w:t>igured power restriction per UE for FR1</w:t>
      </w:r>
      <w:r w:rsidR="00AA3BEC">
        <w:t xml:space="preserve">, i.e. restricted by </w:t>
      </w:r>
      <w:r w:rsidR="00AA3BEC" w:rsidRPr="00B93BEE">
        <w:t>min {p-UE-FR1, power class}</w:t>
      </w:r>
      <w:r>
        <w:t xml:space="preserve"> [6]</w:t>
      </w:r>
      <w:r w:rsidRPr="00E82F00">
        <w:t>.</w:t>
      </w:r>
      <w:r>
        <w:t xml:space="preserve"> The RRC parameter</w:t>
      </w:r>
      <w:r w:rsidRPr="00E82F00">
        <w:t xml:space="preserve"> </w:t>
      </w:r>
      <m:oMath>
        <m:sSub>
          <m:sSubPr>
            <m:ctrlPr>
              <w:rPr>
                <w:rFonts w:ascii="Cambria Math" w:hAnsi="Cambria Math"/>
              </w:rPr>
            </m:ctrlPr>
          </m:sSubPr>
          <m:e>
            <m:r>
              <w:rPr>
                <w:rFonts w:ascii="Cambria Math" w:hAnsi="Cambria Math"/>
              </w:rPr>
              <m:t>P</m:t>
            </m:r>
          </m:e>
          <m:sub>
            <m:r>
              <w:rPr>
                <w:rFonts w:ascii="Cambria Math" w:hAnsi="Cambria Math"/>
              </w:rPr>
              <m:t>EMAX</m:t>
            </m:r>
            <m:r>
              <m:rPr>
                <m:sty m:val="p"/>
              </m:rPr>
              <w:rPr>
                <w:rFonts w:ascii="Cambria Math" w:hAnsi="Cambria Math"/>
              </w:rPr>
              <m:t>,</m:t>
            </m:r>
            <m:r>
              <w:rPr>
                <w:rFonts w:ascii="Cambria Math" w:hAnsi="Cambria Math"/>
              </w:rPr>
              <m:t>ENDC</m:t>
            </m:r>
          </m:sub>
        </m:sSub>
      </m:oMath>
      <w:r>
        <w:t xml:space="preserve"> is named as </w:t>
      </w:r>
      <w:r w:rsidRPr="00AE094C">
        <w:rPr>
          <w:i/>
        </w:rPr>
        <w:t>p-UE-FR1</w:t>
      </w:r>
      <w:r>
        <w:t xml:space="preserve"> by RAN2 [7]. According to the above analysis, we propose </w:t>
      </w:r>
      <w:r w:rsidR="008F2CE4">
        <w:t>to make changes for TS 38.213</w:t>
      </w:r>
      <w:r w:rsidR="005A5CB4">
        <w:t xml:space="preserve"> </w:t>
      </w:r>
      <w:r>
        <w:t>to align with RAN2 and RAN4 description.</w:t>
      </w:r>
      <w:r w:rsidR="005A5CB4">
        <w:t xml:space="preserve"> </w:t>
      </w:r>
    </w:p>
    <w:p w14:paraId="309A9774" w14:textId="21D8F057" w:rsidR="00AE094C" w:rsidRDefault="00AE094C" w:rsidP="00AE094C">
      <w:pPr>
        <w:rPr>
          <w:highlight w:val="green"/>
        </w:rPr>
      </w:pPr>
      <w:r w:rsidRPr="00F602F7">
        <w:rPr>
          <w:rFonts w:hint="eastAsia"/>
          <w:b/>
          <w:i/>
          <w:lang w:eastAsia="zh-CN"/>
        </w:rPr>
        <w:t xml:space="preserve">Proposal </w:t>
      </w:r>
      <w:r w:rsidR="00991A0F">
        <w:rPr>
          <w:b/>
          <w:i/>
          <w:lang w:eastAsia="zh-CN"/>
        </w:rPr>
        <w:t>3</w:t>
      </w:r>
      <w:r w:rsidRPr="00F602F7">
        <w:rPr>
          <w:rFonts w:hint="eastAsia"/>
          <w:i/>
          <w:lang w:eastAsia="zh-CN"/>
        </w:rPr>
        <w:t>:</w:t>
      </w:r>
      <w:r>
        <w:rPr>
          <w:i/>
          <w:lang w:eastAsia="zh-CN"/>
        </w:rPr>
        <w:t xml:space="preserve"> </w:t>
      </w:r>
      <w:r w:rsidR="008F2CE4" w:rsidRPr="008F2CE4">
        <w:rPr>
          <w:i/>
          <w:lang w:eastAsia="zh-CN"/>
        </w:rPr>
        <w:t>Adopt the changes in the accompanied Draft_CR_</w:t>
      </w:r>
      <w:r w:rsidR="008F2CE4">
        <w:rPr>
          <w:i/>
          <w:lang w:eastAsia="zh-CN"/>
        </w:rPr>
        <w:t>1</w:t>
      </w:r>
      <w:r>
        <w:rPr>
          <w:i/>
          <w:lang w:eastAsia="zh-CN"/>
        </w:rPr>
        <w:t>.</w:t>
      </w:r>
    </w:p>
    <w:p w14:paraId="4FBE52A1" w14:textId="77777777" w:rsidR="00BE3736" w:rsidRPr="00F76057" w:rsidRDefault="00BE3736" w:rsidP="00BE3736">
      <w:pPr>
        <w:rPr>
          <w:rFonts w:eastAsia="MS Mincho"/>
          <w:lang w:eastAsia="ja-JP"/>
        </w:rPr>
      </w:pPr>
    </w:p>
    <w:p w14:paraId="2C9B1DF4" w14:textId="77777777" w:rsidR="00157FC3" w:rsidRPr="00CF195E" w:rsidRDefault="00747F48" w:rsidP="00CF195E">
      <w:pPr>
        <w:pStyle w:val="Heading1"/>
      </w:pPr>
      <w:r w:rsidRPr="00CF195E">
        <w:t>Conclusion</w:t>
      </w:r>
      <w:r w:rsidR="006B1FD5" w:rsidRPr="00CF195E">
        <w:t>s</w:t>
      </w:r>
    </w:p>
    <w:p w14:paraId="1E438C54" w14:textId="166B7D38" w:rsidR="007757F8" w:rsidRPr="004A05BB" w:rsidRDefault="002F423C" w:rsidP="007757F8">
      <w:pPr>
        <w:rPr>
          <w:rFonts w:eastAsiaTheme="minorEastAsia"/>
          <w:i/>
          <w:lang w:eastAsia="zh-CN"/>
        </w:rPr>
      </w:pPr>
      <w:r>
        <w:rPr>
          <w:kern w:val="2"/>
          <w:lang w:val="en-GB" w:eastAsia="zh-CN"/>
        </w:rPr>
        <w:t xml:space="preserve">In this contribution, </w:t>
      </w:r>
      <w:r w:rsidR="00A90483">
        <w:rPr>
          <w:rFonts w:eastAsiaTheme="minorEastAsia"/>
          <w:lang w:eastAsia="zh-CN"/>
        </w:rPr>
        <w:t>remaining details on NE-DC and EN-DC are discussed</w:t>
      </w:r>
      <w:r>
        <w:rPr>
          <w:kern w:val="2"/>
          <w:lang w:val="en-GB" w:eastAsia="zh-CN"/>
        </w:rPr>
        <w:t>. The following proposals are given:</w:t>
      </w:r>
      <w:bookmarkStart w:id="9" w:name="_Ref124589665"/>
      <w:bookmarkStart w:id="10" w:name="_Ref71620620"/>
      <w:bookmarkStart w:id="11" w:name="_Ref124671424"/>
    </w:p>
    <w:p w14:paraId="12683A0C" w14:textId="77777777" w:rsidR="00A90483" w:rsidRPr="004E14A3" w:rsidRDefault="00A90483" w:rsidP="00A90483">
      <w:pPr>
        <w:rPr>
          <w:i/>
          <w:lang w:eastAsia="zh-CN"/>
        </w:rPr>
      </w:pPr>
      <w:r w:rsidRPr="004E14A3">
        <w:rPr>
          <w:b/>
          <w:i/>
          <w:lang w:eastAsia="zh-CN"/>
        </w:rPr>
        <w:t>Proposal 1</w:t>
      </w:r>
      <w:r w:rsidRPr="004E14A3">
        <w:rPr>
          <w:i/>
          <w:lang w:eastAsia="zh-CN"/>
        </w:rPr>
        <w:t xml:space="preserve">: </w:t>
      </w:r>
      <w:r>
        <w:rPr>
          <w:i/>
          <w:lang w:eastAsia="zh-CN"/>
        </w:rPr>
        <w:t>Support option 1a f</w:t>
      </w:r>
      <w:r w:rsidRPr="004E14A3">
        <w:rPr>
          <w:i/>
          <w:lang w:eastAsia="zh-CN"/>
        </w:rPr>
        <w:t>or NE-DC dynamic power sharing</w:t>
      </w:r>
      <w:r>
        <w:rPr>
          <w:i/>
          <w:lang w:eastAsia="zh-CN"/>
        </w:rPr>
        <w:t>.</w:t>
      </w:r>
    </w:p>
    <w:p w14:paraId="38BD2510" w14:textId="77777777" w:rsidR="004F5154" w:rsidRDefault="004F5154" w:rsidP="004F5154">
      <w:pPr>
        <w:rPr>
          <w:rFonts w:eastAsiaTheme="minorEastAsia"/>
          <w:i/>
          <w:lang w:eastAsia="zh-CN"/>
        </w:rPr>
      </w:pPr>
      <w:r>
        <w:rPr>
          <w:rFonts w:eastAsiaTheme="minorEastAsia" w:hint="eastAsia"/>
          <w:b/>
          <w:i/>
          <w:lang w:eastAsia="zh-CN"/>
        </w:rPr>
        <w:t>Proposal 2</w:t>
      </w:r>
      <w:r w:rsidRPr="009B677D">
        <w:rPr>
          <w:rFonts w:eastAsiaTheme="minorEastAsia" w:hint="eastAsia"/>
          <w:i/>
          <w:lang w:eastAsia="zh-CN"/>
        </w:rPr>
        <w:t>:</w:t>
      </w:r>
      <w:r>
        <w:rPr>
          <w:rFonts w:eastAsiaTheme="minorEastAsia"/>
          <w:i/>
          <w:lang w:eastAsia="zh-CN"/>
        </w:rPr>
        <w:t xml:space="preserve"> It is preferred to define a common threshold, i.e., X-dB that applies to all channels.</w:t>
      </w:r>
    </w:p>
    <w:p w14:paraId="7EDEA506" w14:textId="34D528C6" w:rsidR="00A90483" w:rsidRDefault="00A90483" w:rsidP="00A90483">
      <w:pPr>
        <w:rPr>
          <w:highlight w:val="green"/>
        </w:rPr>
      </w:pPr>
      <w:r w:rsidRPr="00F602F7">
        <w:rPr>
          <w:rFonts w:hint="eastAsia"/>
          <w:b/>
          <w:i/>
          <w:lang w:eastAsia="zh-CN"/>
        </w:rPr>
        <w:t xml:space="preserve">Proposal </w:t>
      </w:r>
      <w:r>
        <w:rPr>
          <w:b/>
          <w:i/>
          <w:lang w:eastAsia="zh-CN"/>
        </w:rPr>
        <w:t>3</w:t>
      </w:r>
      <w:r w:rsidRPr="00F602F7">
        <w:rPr>
          <w:rFonts w:hint="eastAsia"/>
          <w:i/>
          <w:lang w:eastAsia="zh-CN"/>
        </w:rPr>
        <w:t>:</w:t>
      </w:r>
      <w:r>
        <w:rPr>
          <w:i/>
          <w:lang w:eastAsia="zh-CN"/>
        </w:rPr>
        <w:t xml:space="preserve"> </w:t>
      </w:r>
      <w:r w:rsidR="008F2CE4" w:rsidRPr="008F2CE4">
        <w:rPr>
          <w:i/>
          <w:lang w:eastAsia="zh-CN"/>
        </w:rPr>
        <w:t>Adopt the changes in the accompanied Draft_CR_</w:t>
      </w:r>
      <w:r w:rsidR="008F2CE4">
        <w:rPr>
          <w:i/>
          <w:lang w:eastAsia="zh-CN"/>
        </w:rPr>
        <w:t>1.</w:t>
      </w:r>
    </w:p>
    <w:p w14:paraId="3A9BD12F" w14:textId="77777777" w:rsidR="009D333F" w:rsidRPr="00AE094C" w:rsidRDefault="009D333F" w:rsidP="001C0A80">
      <w:pPr>
        <w:rPr>
          <w:i/>
          <w:lang w:eastAsia="zh-CN"/>
        </w:rPr>
      </w:pPr>
    </w:p>
    <w:p w14:paraId="06B4DAAF" w14:textId="77777777" w:rsidR="001D780E" w:rsidRPr="00CF195E" w:rsidRDefault="001D780E" w:rsidP="00CF195E">
      <w:pPr>
        <w:pStyle w:val="Heading1"/>
        <w:numPr>
          <w:ilvl w:val="0"/>
          <w:numId w:val="0"/>
        </w:numPr>
        <w:ind w:left="432" w:hanging="432"/>
      </w:pPr>
      <w:r w:rsidRPr="00CF195E">
        <w:t>References</w:t>
      </w:r>
    </w:p>
    <w:p w14:paraId="6336208C" w14:textId="77777777" w:rsidR="002F423C" w:rsidRPr="00594BC7" w:rsidRDefault="002F423C" w:rsidP="002F423C">
      <w:pPr>
        <w:pStyle w:val="References"/>
        <w:jc w:val="left"/>
        <w:rPr>
          <w:szCs w:val="20"/>
          <w:lang w:eastAsia="zh-CN"/>
        </w:rPr>
      </w:pPr>
      <w:bookmarkStart w:id="12" w:name="_Ref450662982"/>
      <w:bookmarkStart w:id="13" w:name="_Ref457851771"/>
      <w:bookmarkStart w:id="14" w:name="_Ref450661959"/>
      <w:bookmarkStart w:id="15" w:name="_Ref167612875"/>
      <w:bookmarkStart w:id="16" w:name="_Ref167612671"/>
      <w:bookmarkEnd w:id="9"/>
      <w:bookmarkEnd w:id="10"/>
      <w:bookmarkEnd w:id="11"/>
      <w:r w:rsidRPr="00594BC7">
        <w:rPr>
          <w:szCs w:val="20"/>
          <w:lang w:eastAsia="zh-CN"/>
        </w:rPr>
        <w:t>RP-17</w:t>
      </w:r>
      <w:r>
        <w:rPr>
          <w:rFonts w:hint="eastAsia"/>
          <w:szCs w:val="20"/>
          <w:lang w:eastAsia="zh-CN"/>
        </w:rPr>
        <w:t>2115</w:t>
      </w:r>
      <w:r w:rsidRPr="00594BC7">
        <w:rPr>
          <w:szCs w:val="20"/>
          <w:lang w:eastAsia="zh-CN"/>
        </w:rPr>
        <w:t>, “</w:t>
      </w:r>
      <w:r w:rsidRPr="00015838">
        <w:rPr>
          <w:szCs w:val="20"/>
          <w:lang w:eastAsia="zh-CN"/>
        </w:rPr>
        <w:t>Revised WID on New Radio Access Technology</w:t>
      </w:r>
      <w:r w:rsidRPr="00594BC7">
        <w:rPr>
          <w:szCs w:val="20"/>
          <w:lang w:eastAsia="zh-CN"/>
        </w:rPr>
        <w:t xml:space="preserve">”, </w:t>
      </w:r>
      <w:r w:rsidRPr="00015838">
        <w:rPr>
          <w:szCs w:val="20"/>
          <w:lang w:eastAsia="zh-CN"/>
        </w:rPr>
        <w:t>Sapporo, Japan, Sep. 11 - 14, 2017</w:t>
      </w:r>
      <w:r>
        <w:rPr>
          <w:szCs w:val="20"/>
          <w:lang w:eastAsia="zh-CN"/>
        </w:rPr>
        <w:t>.</w:t>
      </w:r>
    </w:p>
    <w:bookmarkEnd w:id="5"/>
    <w:bookmarkEnd w:id="12"/>
    <w:bookmarkEnd w:id="13"/>
    <w:bookmarkEnd w:id="14"/>
    <w:bookmarkEnd w:id="15"/>
    <w:bookmarkEnd w:id="16"/>
    <w:p w14:paraId="6E823FFF" w14:textId="77777777" w:rsidR="00E10C12" w:rsidRDefault="00E10C12" w:rsidP="00E10C12">
      <w:pPr>
        <w:pStyle w:val="References"/>
        <w:rPr>
          <w:lang w:eastAsia="zh-CN"/>
        </w:rPr>
      </w:pPr>
      <w:r w:rsidRPr="00594BC7">
        <w:rPr>
          <w:lang w:eastAsia="zh-CN"/>
        </w:rPr>
        <w:t>RP-1</w:t>
      </w:r>
      <w:r>
        <w:rPr>
          <w:lang w:eastAsia="zh-CN"/>
        </w:rPr>
        <w:t>181473</w:t>
      </w:r>
      <w:r w:rsidRPr="00594BC7">
        <w:rPr>
          <w:lang w:eastAsia="zh-CN"/>
        </w:rPr>
        <w:t>, “</w:t>
      </w:r>
      <w:r w:rsidRPr="00B27B3A">
        <w:rPr>
          <w:lang w:eastAsia="zh-CN"/>
        </w:rPr>
        <w:t>Rel-15 Work Item Exception for New Radio Access Technology - Core</w:t>
      </w:r>
      <w:r w:rsidRPr="00594BC7">
        <w:rPr>
          <w:lang w:eastAsia="zh-CN"/>
        </w:rPr>
        <w:t xml:space="preserve">”, </w:t>
      </w:r>
      <w:r w:rsidRPr="00B27B3A">
        <w:rPr>
          <w:szCs w:val="20"/>
          <w:lang w:eastAsia="zh-CN"/>
        </w:rPr>
        <w:t>La Jolla, USA</w:t>
      </w:r>
      <w:r>
        <w:rPr>
          <w:szCs w:val="20"/>
          <w:lang w:eastAsia="zh-CN"/>
        </w:rPr>
        <w:t xml:space="preserve">, </w:t>
      </w:r>
      <w:r w:rsidRPr="00B27B3A">
        <w:rPr>
          <w:szCs w:val="20"/>
          <w:lang w:eastAsia="zh-CN"/>
        </w:rPr>
        <w:t xml:space="preserve">June </w:t>
      </w:r>
      <w:r>
        <w:rPr>
          <w:szCs w:val="20"/>
          <w:lang w:eastAsia="zh-CN"/>
        </w:rPr>
        <w:t xml:space="preserve">11 – 14, </w:t>
      </w:r>
      <w:r w:rsidRPr="00B27B3A">
        <w:rPr>
          <w:szCs w:val="20"/>
          <w:lang w:eastAsia="zh-CN"/>
        </w:rPr>
        <w:t>2018</w:t>
      </w:r>
      <w:r>
        <w:rPr>
          <w:lang w:eastAsia="zh-CN"/>
        </w:rPr>
        <w:t>.</w:t>
      </w:r>
    </w:p>
    <w:p w14:paraId="155E4C89" w14:textId="53F0C107" w:rsidR="006761E1" w:rsidRPr="0006211A" w:rsidRDefault="0059180E" w:rsidP="002E2559">
      <w:pPr>
        <w:pStyle w:val="References"/>
      </w:pPr>
      <w:r w:rsidRPr="0059180E">
        <w:rPr>
          <w:szCs w:val="20"/>
          <w:lang w:eastAsia="zh-CN"/>
        </w:rPr>
        <w:t>“RAN1 chairman’s notes”, Chengdu, China, October 8-12, 2018.</w:t>
      </w:r>
    </w:p>
    <w:p w14:paraId="1730AC38" w14:textId="77777777" w:rsidR="00AE094C" w:rsidRDefault="00AE094C" w:rsidP="00AE094C">
      <w:pPr>
        <w:pStyle w:val="References"/>
      </w:pPr>
      <w:bookmarkStart w:id="17" w:name="OLE_LINK62"/>
      <w:r w:rsidRPr="00C36534">
        <w:rPr>
          <w:rFonts w:hint="eastAsia"/>
          <w:lang w:eastAsia="zh-CN"/>
        </w:rPr>
        <w:t xml:space="preserve">3GPP TSG RAN WG1, </w:t>
      </w:r>
      <w:r w:rsidRPr="00C36534">
        <w:rPr>
          <w:lang w:eastAsia="zh-CN"/>
        </w:rPr>
        <w:t>“</w:t>
      </w:r>
      <w:r w:rsidRPr="00C36534">
        <w:t>Final Repor</w:t>
      </w:r>
      <w:r>
        <w:t>t of 3GPP TSG RAN WG1 AH 1801</w:t>
      </w:r>
      <w:r w:rsidRPr="00566DD9">
        <w:t>”</w:t>
      </w:r>
      <w:r w:rsidRPr="00566DD9">
        <w:rPr>
          <w:rFonts w:hint="eastAsia"/>
          <w:lang w:eastAsia="zh-CN"/>
        </w:rPr>
        <w:t xml:space="preserve">, </w:t>
      </w:r>
      <w:r w:rsidRPr="00566DD9">
        <w:t>Va</w:t>
      </w:r>
      <w:r>
        <w:t>ncouver, Canada, January 22 – 26, 2018.</w:t>
      </w:r>
      <w:bookmarkEnd w:id="17"/>
    </w:p>
    <w:p w14:paraId="414BAF9E" w14:textId="77777777" w:rsidR="00AE094C" w:rsidRDefault="00AE094C" w:rsidP="00AE094C">
      <w:pPr>
        <w:pStyle w:val="References"/>
        <w:rPr>
          <w:rFonts w:cs="Arial"/>
        </w:rPr>
      </w:pPr>
      <w:r w:rsidRPr="00E216C5">
        <w:rPr>
          <w:rFonts w:cs="Arial" w:hint="eastAsia"/>
        </w:rPr>
        <w:t xml:space="preserve">R4-1811484, </w:t>
      </w:r>
      <w:r w:rsidRPr="00E216C5">
        <w:rPr>
          <w:rFonts w:cs="Arial"/>
        </w:rPr>
        <w:t xml:space="preserve">“Pcmax </w:t>
      </w:r>
      <w:r>
        <w:rPr>
          <w:rFonts w:cs="Arial"/>
        </w:rPr>
        <w:t>for Rel-15 inter-band EN-DC within FR1</w:t>
      </w:r>
      <w:r w:rsidRPr="00E216C5">
        <w:rPr>
          <w:rFonts w:cs="Arial"/>
        </w:rPr>
        <w:t>”, Gothenburg, S</w:t>
      </w:r>
      <w:r>
        <w:rPr>
          <w:rFonts w:cs="Arial"/>
        </w:rPr>
        <w:t>weden</w:t>
      </w:r>
      <w:r w:rsidRPr="00E216C5">
        <w:rPr>
          <w:rFonts w:cs="Arial"/>
        </w:rPr>
        <w:t>, August 20 – 24, 2018</w:t>
      </w:r>
      <w:r>
        <w:rPr>
          <w:rFonts w:cs="Arial"/>
        </w:rPr>
        <w:t>.</w:t>
      </w:r>
    </w:p>
    <w:p w14:paraId="0F9D20FC" w14:textId="77777777" w:rsidR="00AE094C" w:rsidRDefault="00AE094C" w:rsidP="00AE094C">
      <w:pPr>
        <w:pStyle w:val="References"/>
        <w:rPr>
          <w:rFonts w:cs="Arial"/>
        </w:rPr>
      </w:pPr>
      <w:r>
        <w:rPr>
          <w:rFonts w:cs="Arial" w:hint="eastAsia"/>
        </w:rPr>
        <w:t>R2-1813401</w:t>
      </w:r>
      <w:r w:rsidRPr="00E216C5">
        <w:rPr>
          <w:rFonts w:cs="Arial" w:hint="eastAsia"/>
        </w:rPr>
        <w:t xml:space="preserve">, </w:t>
      </w:r>
      <w:r w:rsidRPr="00E216C5">
        <w:rPr>
          <w:rFonts w:cs="Arial"/>
        </w:rPr>
        <w:t>“Reply LS on power class for FR1 EN-DC and NR CA”, Gothenburg, S</w:t>
      </w:r>
      <w:r>
        <w:rPr>
          <w:rFonts w:cs="Arial"/>
        </w:rPr>
        <w:t>weden</w:t>
      </w:r>
      <w:r w:rsidRPr="00E216C5">
        <w:rPr>
          <w:rFonts w:cs="Arial"/>
        </w:rPr>
        <w:t>, August 20 – 24, 2018</w:t>
      </w:r>
      <w:r>
        <w:rPr>
          <w:rFonts w:cs="Arial"/>
        </w:rPr>
        <w:t>.</w:t>
      </w:r>
    </w:p>
    <w:p w14:paraId="1A071C32" w14:textId="77777777" w:rsidR="00AE094C" w:rsidRPr="00E216C5" w:rsidRDefault="00AE094C" w:rsidP="00AE094C">
      <w:pPr>
        <w:pStyle w:val="References"/>
        <w:rPr>
          <w:rFonts w:cs="Arial"/>
        </w:rPr>
      </w:pPr>
      <w:r>
        <w:rPr>
          <w:rFonts w:cs="Arial" w:hint="eastAsia"/>
        </w:rPr>
        <w:t>R2-1813282</w:t>
      </w:r>
      <w:r w:rsidRPr="00E216C5">
        <w:rPr>
          <w:rFonts w:cs="Arial" w:hint="eastAsia"/>
        </w:rPr>
        <w:t xml:space="preserve">, </w:t>
      </w:r>
      <w:r w:rsidRPr="00E216C5">
        <w:rPr>
          <w:rFonts w:cs="Arial"/>
        </w:rPr>
        <w:t>“</w:t>
      </w:r>
      <w:r>
        <w:t>Power class and P-max</w:t>
      </w:r>
      <w:r w:rsidRPr="00E216C5">
        <w:rPr>
          <w:rFonts w:cs="Arial"/>
        </w:rPr>
        <w:t>”, Gothenburg, S</w:t>
      </w:r>
      <w:r>
        <w:rPr>
          <w:rFonts w:cs="Arial"/>
        </w:rPr>
        <w:t>weden</w:t>
      </w:r>
      <w:r w:rsidRPr="00E216C5">
        <w:rPr>
          <w:rFonts w:cs="Arial"/>
        </w:rPr>
        <w:t>, August 20 – 24, 2018</w:t>
      </w:r>
      <w:r>
        <w:rPr>
          <w:rFonts w:cs="Arial"/>
        </w:rPr>
        <w:t>.</w:t>
      </w:r>
    </w:p>
    <w:p w14:paraId="0A750C32" w14:textId="77777777" w:rsidR="00012384" w:rsidRDefault="00012384" w:rsidP="00093DD0">
      <w:pPr>
        <w:rPr>
          <w:kern w:val="2"/>
          <w:lang w:eastAsia="zh-CN"/>
        </w:rPr>
      </w:pPr>
    </w:p>
    <w:p w14:paraId="4761950F" w14:textId="77777777" w:rsidR="00012384" w:rsidRPr="004545B0" w:rsidRDefault="00012384" w:rsidP="00093DD0">
      <w:pPr>
        <w:rPr>
          <w:kern w:val="2"/>
          <w:lang w:eastAsia="zh-CN"/>
        </w:rPr>
      </w:pPr>
    </w:p>
    <w:sectPr w:rsidR="00012384" w:rsidRPr="004545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977D4" w14:textId="77777777" w:rsidR="0078509C" w:rsidRDefault="0078509C">
      <w:r>
        <w:separator/>
      </w:r>
    </w:p>
  </w:endnote>
  <w:endnote w:type="continuationSeparator" w:id="0">
    <w:p w14:paraId="7C1F4DE2" w14:textId="77777777" w:rsidR="0078509C" w:rsidRDefault="0078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29263" w14:textId="77777777" w:rsidR="0078509C" w:rsidRDefault="0078509C">
      <w:r>
        <w:separator/>
      </w:r>
    </w:p>
  </w:footnote>
  <w:footnote w:type="continuationSeparator" w:id="0">
    <w:p w14:paraId="37C0C87C" w14:textId="77777777" w:rsidR="0078509C" w:rsidRDefault="007850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074B2"/>
    <w:multiLevelType w:val="hybridMultilevel"/>
    <w:tmpl w:val="59129682"/>
    <w:lvl w:ilvl="0" w:tplc="7556DAE0">
      <w:start w:val="1"/>
      <w:numFmt w:val="bullet"/>
      <w:lvlText w:val="•"/>
      <w:lvlJc w:val="left"/>
      <w:pPr>
        <w:tabs>
          <w:tab w:val="num" w:pos="360"/>
        </w:tabs>
        <w:ind w:left="360" w:hanging="360"/>
      </w:pPr>
      <w:rPr>
        <w:rFonts w:ascii="Arial" w:hAnsi="Arial" w:cs="Times New Roman" w:hint="default"/>
      </w:rPr>
    </w:lvl>
    <w:lvl w:ilvl="1" w:tplc="51186F42">
      <w:start w:val="1"/>
      <w:numFmt w:val="bullet"/>
      <w:lvlText w:val="•"/>
      <w:lvlJc w:val="left"/>
      <w:pPr>
        <w:tabs>
          <w:tab w:val="num" w:pos="1080"/>
        </w:tabs>
        <w:ind w:left="1080" w:hanging="360"/>
      </w:pPr>
      <w:rPr>
        <w:rFonts w:ascii="Arial" w:hAnsi="Arial" w:cs="Times New Roman" w:hint="default"/>
      </w:rPr>
    </w:lvl>
    <w:lvl w:ilvl="2" w:tplc="A9EE823A">
      <w:start w:val="19"/>
      <w:numFmt w:val="bullet"/>
      <w:lvlText w:val="•"/>
      <w:lvlJc w:val="left"/>
      <w:pPr>
        <w:tabs>
          <w:tab w:val="num" w:pos="1800"/>
        </w:tabs>
        <w:ind w:left="1800" w:hanging="360"/>
      </w:pPr>
      <w:rPr>
        <w:rFonts w:ascii="Arial" w:hAnsi="Arial" w:cs="Times New Roman" w:hint="default"/>
      </w:rPr>
    </w:lvl>
    <w:lvl w:ilvl="3" w:tplc="4EDEF5AA">
      <w:start w:val="1"/>
      <w:numFmt w:val="bullet"/>
      <w:lvlText w:val="•"/>
      <w:lvlJc w:val="left"/>
      <w:pPr>
        <w:tabs>
          <w:tab w:val="num" w:pos="2520"/>
        </w:tabs>
        <w:ind w:left="2520" w:hanging="360"/>
      </w:pPr>
      <w:rPr>
        <w:rFonts w:ascii="Arial" w:hAnsi="Arial" w:cs="Times New Roman" w:hint="default"/>
      </w:rPr>
    </w:lvl>
    <w:lvl w:ilvl="4" w:tplc="156A0816">
      <w:start w:val="1"/>
      <w:numFmt w:val="bullet"/>
      <w:lvlText w:val="•"/>
      <w:lvlJc w:val="left"/>
      <w:pPr>
        <w:tabs>
          <w:tab w:val="num" w:pos="3240"/>
        </w:tabs>
        <w:ind w:left="3240" w:hanging="360"/>
      </w:pPr>
      <w:rPr>
        <w:rFonts w:ascii="Arial" w:hAnsi="Arial" w:cs="Times New Roman" w:hint="default"/>
      </w:rPr>
    </w:lvl>
    <w:lvl w:ilvl="5" w:tplc="7876D676">
      <w:start w:val="1"/>
      <w:numFmt w:val="bullet"/>
      <w:lvlText w:val="•"/>
      <w:lvlJc w:val="left"/>
      <w:pPr>
        <w:tabs>
          <w:tab w:val="num" w:pos="3960"/>
        </w:tabs>
        <w:ind w:left="3960" w:hanging="360"/>
      </w:pPr>
      <w:rPr>
        <w:rFonts w:ascii="Arial" w:hAnsi="Arial" w:cs="Times New Roman" w:hint="default"/>
      </w:rPr>
    </w:lvl>
    <w:lvl w:ilvl="6" w:tplc="1F30E74C">
      <w:start w:val="1"/>
      <w:numFmt w:val="bullet"/>
      <w:lvlText w:val="•"/>
      <w:lvlJc w:val="left"/>
      <w:pPr>
        <w:tabs>
          <w:tab w:val="num" w:pos="4680"/>
        </w:tabs>
        <w:ind w:left="4680" w:hanging="360"/>
      </w:pPr>
      <w:rPr>
        <w:rFonts w:ascii="Arial" w:hAnsi="Arial" w:cs="Times New Roman" w:hint="default"/>
      </w:rPr>
    </w:lvl>
    <w:lvl w:ilvl="7" w:tplc="0E74D0A8">
      <w:start w:val="1"/>
      <w:numFmt w:val="bullet"/>
      <w:lvlText w:val="•"/>
      <w:lvlJc w:val="left"/>
      <w:pPr>
        <w:tabs>
          <w:tab w:val="num" w:pos="5400"/>
        </w:tabs>
        <w:ind w:left="5400" w:hanging="360"/>
      </w:pPr>
      <w:rPr>
        <w:rFonts w:ascii="Arial" w:hAnsi="Arial" w:cs="Times New Roman" w:hint="default"/>
      </w:rPr>
    </w:lvl>
    <w:lvl w:ilvl="8" w:tplc="61AA1C32">
      <w:start w:val="1"/>
      <w:numFmt w:val="bullet"/>
      <w:lvlText w:val="•"/>
      <w:lvlJc w:val="left"/>
      <w:pPr>
        <w:tabs>
          <w:tab w:val="num" w:pos="6120"/>
        </w:tabs>
        <w:ind w:left="6120" w:hanging="360"/>
      </w:pPr>
      <w:rPr>
        <w:rFonts w:ascii="Arial" w:hAnsi="Arial" w:cs="Times New Roman" w:hint="default"/>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EA33DD7"/>
    <w:multiLevelType w:val="hybridMultilevel"/>
    <w:tmpl w:val="56940376"/>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6F5891"/>
    <w:multiLevelType w:val="hybridMultilevel"/>
    <w:tmpl w:val="024C657C"/>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73E30EF4"/>
    <w:multiLevelType w:val="hybridMultilevel"/>
    <w:tmpl w:val="1FCEA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8"/>
  </w:num>
  <w:num w:numId="4">
    <w:abstractNumId w:val="3"/>
  </w:num>
  <w:num w:numId="5">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0"/>
  </w:num>
  <w:num w:numId="10">
    <w:abstractNumId w:val="1"/>
  </w:num>
  <w:num w:numId="11">
    <w:abstractNumId w:val="7"/>
  </w:num>
  <w:num w:numId="12">
    <w:abstractNumId w:val="11"/>
  </w:num>
  <w:num w:numId="13">
    <w:abstractNumId w:val="12"/>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D98"/>
    <w:rsid w:val="00004E70"/>
    <w:rsid w:val="00005D99"/>
    <w:rsid w:val="00006522"/>
    <w:rsid w:val="000072B6"/>
    <w:rsid w:val="00007813"/>
    <w:rsid w:val="000109E6"/>
    <w:rsid w:val="00011F67"/>
    <w:rsid w:val="00012384"/>
    <w:rsid w:val="00012862"/>
    <w:rsid w:val="000128E6"/>
    <w:rsid w:val="00013B27"/>
    <w:rsid w:val="00014B9F"/>
    <w:rsid w:val="00015EFB"/>
    <w:rsid w:val="000165E2"/>
    <w:rsid w:val="000172BE"/>
    <w:rsid w:val="00017D8A"/>
    <w:rsid w:val="00023388"/>
    <w:rsid w:val="00023425"/>
    <w:rsid w:val="000241BE"/>
    <w:rsid w:val="000242F2"/>
    <w:rsid w:val="00026989"/>
    <w:rsid w:val="00026D4B"/>
    <w:rsid w:val="000275C6"/>
    <w:rsid w:val="00027AD6"/>
    <w:rsid w:val="0003024C"/>
    <w:rsid w:val="00031210"/>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532"/>
    <w:rsid w:val="00052AD2"/>
    <w:rsid w:val="000530DF"/>
    <w:rsid w:val="00054E0C"/>
    <w:rsid w:val="0005541D"/>
    <w:rsid w:val="000565C8"/>
    <w:rsid w:val="00057DC8"/>
    <w:rsid w:val="0006106C"/>
    <w:rsid w:val="000612E1"/>
    <w:rsid w:val="000614FE"/>
    <w:rsid w:val="00061D60"/>
    <w:rsid w:val="000648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5DE9"/>
    <w:rsid w:val="00076097"/>
    <w:rsid w:val="00076541"/>
    <w:rsid w:val="000772F4"/>
    <w:rsid w:val="000776EB"/>
    <w:rsid w:val="000822D9"/>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04C"/>
    <w:rsid w:val="000A21B4"/>
    <w:rsid w:val="000A2CC7"/>
    <w:rsid w:val="000A2ED6"/>
    <w:rsid w:val="000A4205"/>
    <w:rsid w:val="000A4A19"/>
    <w:rsid w:val="000A6351"/>
    <w:rsid w:val="000A63D6"/>
    <w:rsid w:val="000A7B38"/>
    <w:rsid w:val="000B0343"/>
    <w:rsid w:val="000B13DA"/>
    <w:rsid w:val="000B2985"/>
    <w:rsid w:val="000B2C88"/>
    <w:rsid w:val="000B31BB"/>
    <w:rsid w:val="000B3342"/>
    <w:rsid w:val="000B3B4E"/>
    <w:rsid w:val="000B51FA"/>
    <w:rsid w:val="000B5905"/>
    <w:rsid w:val="000B5975"/>
    <w:rsid w:val="000B6E2C"/>
    <w:rsid w:val="000B76C5"/>
    <w:rsid w:val="000B7A10"/>
    <w:rsid w:val="000B7C82"/>
    <w:rsid w:val="000C115D"/>
    <w:rsid w:val="000C1535"/>
    <w:rsid w:val="000C252B"/>
    <w:rsid w:val="000C2FBD"/>
    <w:rsid w:val="000C3B0C"/>
    <w:rsid w:val="000C422D"/>
    <w:rsid w:val="000C5F91"/>
    <w:rsid w:val="000C6025"/>
    <w:rsid w:val="000D0565"/>
    <w:rsid w:val="000D0826"/>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2B"/>
    <w:rsid w:val="000D71E2"/>
    <w:rsid w:val="000D73A5"/>
    <w:rsid w:val="000D7E83"/>
    <w:rsid w:val="000E07D6"/>
    <w:rsid w:val="000E1380"/>
    <w:rsid w:val="000E18DF"/>
    <w:rsid w:val="000E59A0"/>
    <w:rsid w:val="000E7A84"/>
    <w:rsid w:val="000E7B3F"/>
    <w:rsid w:val="000F15BC"/>
    <w:rsid w:val="000F180A"/>
    <w:rsid w:val="000F1C92"/>
    <w:rsid w:val="000F2EEE"/>
    <w:rsid w:val="000F3697"/>
    <w:rsid w:val="000F4CBB"/>
    <w:rsid w:val="000F78E9"/>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C58"/>
    <w:rsid w:val="001141E3"/>
    <w:rsid w:val="001144DF"/>
    <w:rsid w:val="0011557B"/>
    <w:rsid w:val="00117C85"/>
    <w:rsid w:val="00120B13"/>
    <w:rsid w:val="0012155A"/>
    <w:rsid w:val="00124D84"/>
    <w:rsid w:val="001250DD"/>
    <w:rsid w:val="00125733"/>
    <w:rsid w:val="001263AA"/>
    <w:rsid w:val="00130779"/>
    <w:rsid w:val="001307A1"/>
    <w:rsid w:val="00130C18"/>
    <w:rsid w:val="001321D3"/>
    <w:rsid w:val="00133599"/>
    <w:rsid w:val="00133735"/>
    <w:rsid w:val="00133BF7"/>
    <w:rsid w:val="00134B88"/>
    <w:rsid w:val="00136A23"/>
    <w:rsid w:val="00136B99"/>
    <w:rsid w:val="0014063E"/>
    <w:rsid w:val="0014087D"/>
    <w:rsid w:val="00140F74"/>
    <w:rsid w:val="00141191"/>
    <w:rsid w:val="0014159C"/>
    <w:rsid w:val="00141920"/>
    <w:rsid w:val="00142665"/>
    <w:rsid w:val="0014384A"/>
    <w:rsid w:val="0014450F"/>
    <w:rsid w:val="00144D8F"/>
    <w:rsid w:val="00144EEE"/>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929"/>
    <w:rsid w:val="00171143"/>
    <w:rsid w:val="00172864"/>
    <w:rsid w:val="00172B82"/>
    <w:rsid w:val="00172EFA"/>
    <w:rsid w:val="00173608"/>
    <w:rsid w:val="001745EC"/>
    <w:rsid w:val="001747B7"/>
    <w:rsid w:val="00175C30"/>
    <w:rsid w:val="00177069"/>
    <w:rsid w:val="001772AB"/>
    <w:rsid w:val="00177C9B"/>
    <w:rsid w:val="00177FC1"/>
    <w:rsid w:val="001815A2"/>
    <w:rsid w:val="00181FC1"/>
    <w:rsid w:val="00183034"/>
    <w:rsid w:val="001830F7"/>
    <w:rsid w:val="001833AE"/>
    <w:rsid w:val="00183EE6"/>
    <w:rsid w:val="001851E1"/>
    <w:rsid w:val="0018588A"/>
    <w:rsid w:val="00187252"/>
    <w:rsid w:val="00191C91"/>
    <w:rsid w:val="00192DD9"/>
    <w:rsid w:val="00194339"/>
    <w:rsid w:val="00194848"/>
    <w:rsid w:val="001958EA"/>
    <w:rsid w:val="00195CE2"/>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B6CF2"/>
    <w:rsid w:val="001C02D8"/>
    <w:rsid w:val="001C04E3"/>
    <w:rsid w:val="001C0A80"/>
    <w:rsid w:val="001C2378"/>
    <w:rsid w:val="001C2E6E"/>
    <w:rsid w:val="001C37AA"/>
    <w:rsid w:val="001C3EE9"/>
    <w:rsid w:val="001C3FA4"/>
    <w:rsid w:val="001C40F9"/>
    <w:rsid w:val="001C458B"/>
    <w:rsid w:val="001C5D4F"/>
    <w:rsid w:val="001C64C0"/>
    <w:rsid w:val="001C69DA"/>
    <w:rsid w:val="001C6F06"/>
    <w:rsid w:val="001D2360"/>
    <w:rsid w:val="001D3109"/>
    <w:rsid w:val="001D332E"/>
    <w:rsid w:val="001D48E4"/>
    <w:rsid w:val="001D5033"/>
    <w:rsid w:val="001D576F"/>
    <w:rsid w:val="001D5C88"/>
    <w:rsid w:val="001D6567"/>
    <w:rsid w:val="001D695C"/>
    <w:rsid w:val="001D6FD9"/>
    <w:rsid w:val="001D780E"/>
    <w:rsid w:val="001E05C3"/>
    <w:rsid w:val="001E0AD3"/>
    <w:rsid w:val="001E0FC2"/>
    <w:rsid w:val="001E36E4"/>
    <w:rsid w:val="001E379D"/>
    <w:rsid w:val="001E3A3C"/>
    <w:rsid w:val="001E5C23"/>
    <w:rsid w:val="001E7504"/>
    <w:rsid w:val="001E76DF"/>
    <w:rsid w:val="001F091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42A"/>
    <w:rsid w:val="001F7121"/>
    <w:rsid w:val="00200D2C"/>
    <w:rsid w:val="00201035"/>
    <w:rsid w:val="002019D8"/>
    <w:rsid w:val="00201EC7"/>
    <w:rsid w:val="002030F3"/>
    <w:rsid w:val="0020349A"/>
    <w:rsid w:val="002034B4"/>
    <w:rsid w:val="00204032"/>
    <w:rsid w:val="00204042"/>
    <w:rsid w:val="00204BAD"/>
    <w:rsid w:val="00204D60"/>
    <w:rsid w:val="00205627"/>
    <w:rsid w:val="002056D0"/>
    <w:rsid w:val="00210860"/>
    <w:rsid w:val="00210B6A"/>
    <w:rsid w:val="00212CB6"/>
    <w:rsid w:val="00212E37"/>
    <w:rsid w:val="002140FF"/>
    <w:rsid w:val="00220894"/>
    <w:rsid w:val="00222F6B"/>
    <w:rsid w:val="00224952"/>
    <w:rsid w:val="00224DD2"/>
    <w:rsid w:val="00225A6A"/>
    <w:rsid w:val="00225AC7"/>
    <w:rsid w:val="00225ACC"/>
    <w:rsid w:val="00230FD3"/>
    <w:rsid w:val="00231C25"/>
    <w:rsid w:val="00231C6F"/>
    <w:rsid w:val="0023277B"/>
    <w:rsid w:val="00232A90"/>
    <w:rsid w:val="00233A82"/>
    <w:rsid w:val="00234151"/>
    <w:rsid w:val="00234F8C"/>
    <w:rsid w:val="00235542"/>
    <w:rsid w:val="002369B0"/>
    <w:rsid w:val="00236AD8"/>
    <w:rsid w:val="002401F5"/>
    <w:rsid w:val="00240E54"/>
    <w:rsid w:val="00242453"/>
    <w:rsid w:val="002451C5"/>
    <w:rsid w:val="00245F1F"/>
    <w:rsid w:val="0024663B"/>
    <w:rsid w:val="00247103"/>
    <w:rsid w:val="002474CD"/>
    <w:rsid w:val="00250067"/>
    <w:rsid w:val="002516DE"/>
    <w:rsid w:val="00251F81"/>
    <w:rsid w:val="00252346"/>
    <w:rsid w:val="00252BE0"/>
    <w:rsid w:val="00253588"/>
    <w:rsid w:val="002546F4"/>
    <w:rsid w:val="00254B3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DD5"/>
    <w:rsid w:val="00266B13"/>
    <w:rsid w:val="00270728"/>
    <w:rsid w:val="00270D42"/>
    <w:rsid w:val="00271197"/>
    <w:rsid w:val="0027195D"/>
    <w:rsid w:val="00272B03"/>
    <w:rsid w:val="00272DA3"/>
    <w:rsid w:val="002733E2"/>
    <w:rsid w:val="002750B1"/>
    <w:rsid w:val="00276A35"/>
    <w:rsid w:val="00277835"/>
    <w:rsid w:val="00277BD9"/>
    <w:rsid w:val="00280AB1"/>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48"/>
    <w:rsid w:val="002C0C8B"/>
    <w:rsid w:val="002C0CBB"/>
    <w:rsid w:val="002C1201"/>
    <w:rsid w:val="002C1460"/>
    <w:rsid w:val="002C20F2"/>
    <w:rsid w:val="002C38B2"/>
    <w:rsid w:val="002C3F9C"/>
    <w:rsid w:val="002C5AFA"/>
    <w:rsid w:val="002D0439"/>
    <w:rsid w:val="002D11B7"/>
    <w:rsid w:val="002D3BBC"/>
    <w:rsid w:val="002D438A"/>
    <w:rsid w:val="002D55F8"/>
    <w:rsid w:val="002D5738"/>
    <w:rsid w:val="002D5E53"/>
    <w:rsid w:val="002E0319"/>
    <w:rsid w:val="002E179B"/>
    <w:rsid w:val="002E1C9E"/>
    <w:rsid w:val="002E257B"/>
    <w:rsid w:val="002E3C65"/>
    <w:rsid w:val="002E3F5B"/>
    <w:rsid w:val="002E4362"/>
    <w:rsid w:val="002E5E00"/>
    <w:rsid w:val="002E63D9"/>
    <w:rsid w:val="002E640E"/>
    <w:rsid w:val="002E647E"/>
    <w:rsid w:val="002F0C28"/>
    <w:rsid w:val="002F0F96"/>
    <w:rsid w:val="002F3214"/>
    <w:rsid w:val="002F3CDE"/>
    <w:rsid w:val="002F423C"/>
    <w:rsid w:val="002F489A"/>
    <w:rsid w:val="002F5DD6"/>
    <w:rsid w:val="002F5FEA"/>
    <w:rsid w:val="002F63E7"/>
    <w:rsid w:val="002F7BE3"/>
    <w:rsid w:val="002F7E6A"/>
    <w:rsid w:val="00300165"/>
    <w:rsid w:val="003010CF"/>
    <w:rsid w:val="00303440"/>
    <w:rsid w:val="00304D9B"/>
    <w:rsid w:val="00305117"/>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5CC9"/>
    <w:rsid w:val="00326957"/>
    <w:rsid w:val="00326AE2"/>
    <w:rsid w:val="00331426"/>
    <w:rsid w:val="0033171D"/>
    <w:rsid w:val="00331FC3"/>
    <w:rsid w:val="003336B3"/>
    <w:rsid w:val="00334811"/>
    <w:rsid w:val="00335B75"/>
    <w:rsid w:val="00335D8C"/>
    <w:rsid w:val="00336072"/>
    <w:rsid w:val="003363A1"/>
    <w:rsid w:val="00336FF6"/>
    <w:rsid w:val="0034149C"/>
    <w:rsid w:val="0034226D"/>
    <w:rsid w:val="00342972"/>
    <w:rsid w:val="00342FDD"/>
    <w:rsid w:val="0034429B"/>
    <w:rsid w:val="00344866"/>
    <w:rsid w:val="00344CAD"/>
    <w:rsid w:val="00345D75"/>
    <w:rsid w:val="0034638C"/>
    <w:rsid w:val="00346F7F"/>
    <w:rsid w:val="00347DE6"/>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9E6"/>
    <w:rsid w:val="0036487C"/>
    <w:rsid w:val="00365411"/>
    <w:rsid w:val="00365FA2"/>
    <w:rsid w:val="00366C69"/>
    <w:rsid w:val="00367441"/>
    <w:rsid w:val="00367872"/>
    <w:rsid w:val="00367B1D"/>
    <w:rsid w:val="00370E4F"/>
    <w:rsid w:val="00371215"/>
    <w:rsid w:val="00372F0D"/>
    <w:rsid w:val="00374059"/>
    <w:rsid w:val="0037535B"/>
    <w:rsid w:val="0037552D"/>
    <w:rsid w:val="003756DB"/>
    <w:rsid w:val="003770BB"/>
    <w:rsid w:val="0037729F"/>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A7D2C"/>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E96"/>
    <w:rsid w:val="003D0FC3"/>
    <w:rsid w:val="003D2C1D"/>
    <w:rsid w:val="003D2C34"/>
    <w:rsid w:val="003D3DDD"/>
    <w:rsid w:val="003D4434"/>
    <w:rsid w:val="003D5CBF"/>
    <w:rsid w:val="003D66D2"/>
    <w:rsid w:val="003E07AE"/>
    <w:rsid w:val="003E14FC"/>
    <w:rsid w:val="003E2976"/>
    <w:rsid w:val="003E4527"/>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14A2"/>
    <w:rsid w:val="004020D4"/>
    <w:rsid w:val="004021B6"/>
    <w:rsid w:val="004047C4"/>
    <w:rsid w:val="0040545D"/>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F0D"/>
    <w:rsid w:val="00421DCF"/>
    <w:rsid w:val="00422341"/>
    <w:rsid w:val="004225A1"/>
    <w:rsid w:val="00423641"/>
    <w:rsid w:val="00426266"/>
    <w:rsid w:val="004300A5"/>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A93"/>
    <w:rsid w:val="004461D9"/>
    <w:rsid w:val="00446AC6"/>
    <w:rsid w:val="0044759B"/>
    <w:rsid w:val="00447F54"/>
    <w:rsid w:val="00450B7E"/>
    <w:rsid w:val="0045136B"/>
    <w:rsid w:val="00451C7E"/>
    <w:rsid w:val="00453BB6"/>
    <w:rsid w:val="00453CAA"/>
    <w:rsid w:val="004545B0"/>
    <w:rsid w:val="00455113"/>
    <w:rsid w:val="00456421"/>
    <w:rsid w:val="00456DAB"/>
    <w:rsid w:val="00460CC3"/>
    <w:rsid w:val="00460E86"/>
    <w:rsid w:val="00461837"/>
    <w:rsid w:val="004646B4"/>
    <w:rsid w:val="00464A88"/>
    <w:rsid w:val="004651A0"/>
    <w:rsid w:val="00466532"/>
    <w:rsid w:val="004668C2"/>
    <w:rsid w:val="00467488"/>
    <w:rsid w:val="00467F6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4C6A"/>
    <w:rsid w:val="0048540F"/>
    <w:rsid w:val="00485970"/>
    <w:rsid w:val="00485C0D"/>
    <w:rsid w:val="00486575"/>
    <w:rsid w:val="004866D0"/>
    <w:rsid w:val="00486936"/>
    <w:rsid w:val="0049198E"/>
    <w:rsid w:val="00494242"/>
    <w:rsid w:val="00494E8E"/>
    <w:rsid w:val="004955BC"/>
    <w:rsid w:val="00495D63"/>
    <w:rsid w:val="0049648F"/>
    <w:rsid w:val="00496606"/>
    <w:rsid w:val="00496F05"/>
    <w:rsid w:val="00497370"/>
    <w:rsid w:val="00497386"/>
    <w:rsid w:val="004A0187"/>
    <w:rsid w:val="004A0F39"/>
    <w:rsid w:val="004A251F"/>
    <w:rsid w:val="004A3BF1"/>
    <w:rsid w:val="004A3E42"/>
    <w:rsid w:val="004A4715"/>
    <w:rsid w:val="004A5046"/>
    <w:rsid w:val="004A565E"/>
    <w:rsid w:val="004A5DF3"/>
    <w:rsid w:val="004A6134"/>
    <w:rsid w:val="004A7092"/>
    <w:rsid w:val="004B1F01"/>
    <w:rsid w:val="004B49E6"/>
    <w:rsid w:val="004B4CB8"/>
    <w:rsid w:val="004B4D69"/>
    <w:rsid w:val="004B5DF2"/>
    <w:rsid w:val="004C0189"/>
    <w:rsid w:val="004C01A8"/>
    <w:rsid w:val="004C1840"/>
    <w:rsid w:val="004C24C9"/>
    <w:rsid w:val="004C31B6"/>
    <w:rsid w:val="004C3B8A"/>
    <w:rsid w:val="004C5319"/>
    <w:rsid w:val="004C621F"/>
    <w:rsid w:val="004C6358"/>
    <w:rsid w:val="004C7948"/>
    <w:rsid w:val="004C7BB8"/>
    <w:rsid w:val="004C7C60"/>
    <w:rsid w:val="004D0DFE"/>
    <w:rsid w:val="004D1D91"/>
    <w:rsid w:val="004D22C3"/>
    <w:rsid w:val="004D320F"/>
    <w:rsid w:val="004D5654"/>
    <w:rsid w:val="004D5F4D"/>
    <w:rsid w:val="004D6F4D"/>
    <w:rsid w:val="004D6F95"/>
    <w:rsid w:val="004D72E4"/>
    <w:rsid w:val="004D72FE"/>
    <w:rsid w:val="004D7E91"/>
    <w:rsid w:val="004E003A"/>
    <w:rsid w:val="004E0768"/>
    <w:rsid w:val="004E14A3"/>
    <w:rsid w:val="004E1A31"/>
    <w:rsid w:val="004E1ACD"/>
    <w:rsid w:val="004E2DE0"/>
    <w:rsid w:val="004E4060"/>
    <w:rsid w:val="004E409A"/>
    <w:rsid w:val="004E4712"/>
    <w:rsid w:val="004E7AF0"/>
    <w:rsid w:val="004F0FB9"/>
    <w:rsid w:val="004F2F7E"/>
    <w:rsid w:val="004F32B5"/>
    <w:rsid w:val="004F407E"/>
    <w:rsid w:val="004F5154"/>
    <w:rsid w:val="004F5479"/>
    <w:rsid w:val="004F7528"/>
    <w:rsid w:val="004F7BCA"/>
    <w:rsid w:val="004F7D89"/>
    <w:rsid w:val="00501981"/>
    <w:rsid w:val="00501A85"/>
    <w:rsid w:val="00501BB3"/>
    <w:rsid w:val="005021DD"/>
    <w:rsid w:val="005026CA"/>
    <w:rsid w:val="00502B72"/>
    <w:rsid w:val="00503C13"/>
    <w:rsid w:val="00504BC1"/>
    <w:rsid w:val="00505134"/>
    <w:rsid w:val="00505C04"/>
    <w:rsid w:val="005075D3"/>
    <w:rsid w:val="00511F15"/>
    <w:rsid w:val="0051318C"/>
    <w:rsid w:val="005142CD"/>
    <w:rsid w:val="005143C9"/>
    <w:rsid w:val="00514836"/>
    <w:rsid w:val="005157A9"/>
    <w:rsid w:val="005173A7"/>
    <w:rsid w:val="005177E1"/>
    <w:rsid w:val="00520C0A"/>
    <w:rsid w:val="005218B6"/>
    <w:rsid w:val="00522589"/>
    <w:rsid w:val="00524545"/>
    <w:rsid w:val="005255BF"/>
    <w:rsid w:val="005257DE"/>
    <w:rsid w:val="00527200"/>
    <w:rsid w:val="00530157"/>
    <w:rsid w:val="00531EBE"/>
    <w:rsid w:val="00532F8B"/>
    <w:rsid w:val="00533285"/>
    <w:rsid w:val="00533737"/>
    <w:rsid w:val="00535B79"/>
    <w:rsid w:val="00535D7C"/>
    <w:rsid w:val="0053619E"/>
    <w:rsid w:val="00536579"/>
    <w:rsid w:val="00536C1E"/>
    <w:rsid w:val="0054006F"/>
    <w:rsid w:val="0054343A"/>
    <w:rsid w:val="00543974"/>
    <w:rsid w:val="00543EBF"/>
    <w:rsid w:val="00544ABA"/>
    <w:rsid w:val="0054593A"/>
    <w:rsid w:val="005467FB"/>
    <w:rsid w:val="00546AE9"/>
    <w:rsid w:val="00547989"/>
    <w:rsid w:val="00551320"/>
    <w:rsid w:val="005518A4"/>
    <w:rsid w:val="00551A4A"/>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689"/>
    <w:rsid w:val="00584B39"/>
    <w:rsid w:val="00585028"/>
    <w:rsid w:val="005854D1"/>
    <w:rsid w:val="00585F5B"/>
    <w:rsid w:val="0058620A"/>
    <w:rsid w:val="005867F1"/>
    <w:rsid w:val="00587FC0"/>
    <w:rsid w:val="005906AD"/>
    <w:rsid w:val="00590DA6"/>
    <w:rsid w:val="005911B7"/>
    <w:rsid w:val="0059180E"/>
    <w:rsid w:val="00591C7D"/>
    <w:rsid w:val="00592B03"/>
    <w:rsid w:val="00593AB9"/>
    <w:rsid w:val="00594ABB"/>
    <w:rsid w:val="00594D1C"/>
    <w:rsid w:val="00594E36"/>
    <w:rsid w:val="00594F0A"/>
    <w:rsid w:val="0059525E"/>
    <w:rsid w:val="005952B9"/>
    <w:rsid w:val="00595887"/>
    <w:rsid w:val="005961F7"/>
    <w:rsid w:val="00596B9C"/>
    <w:rsid w:val="005A054D"/>
    <w:rsid w:val="005A0A46"/>
    <w:rsid w:val="005A10B9"/>
    <w:rsid w:val="005A11EA"/>
    <w:rsid w:val="005A269F"/>
    <w:rsid w:val="005A305E"/>
    <w:rsid w:val="005A30BB"/>
    <w:rsid w:val="005A3887"/>
    <w:rsid w:val="005A5993"/>
    <w:rsid w:val="005A5CB4"/>
    <w:rsid w:val="005B0542"/>
    <w:rsid w:val="005B2225"/>
    <w:rsid w:val="005B2799"/>
    <w:rsid w:val="005B2B77"/>
    <w:rsid w:val="005B3D4A"/>
    <w:rsid w:val="005B4D87"/>
    <w:rsid w:val="005B73A6"/>
    <w:rsid w:val="005B7DD1"/>
    <w:rsid w:val="005C00A0"/>
    <w:rsid w:val="005C28FA"/>
    <w:rsid w:val="005C40F4"/>
    <w:rsid w:val="005C43BE"/>
    <w:rsid w:val="005C44F3"/>
    <w:rsid w:val="005C61E4"/>
    <w:rsid w:val="005C712D"/>
    <w:rsid w:val="005C7C75"/>
    <w:rsid w:val="005D0E4F"/>
    <w:rsid w:val="005D1E32"/>
    <w:rsid w:val="005D206B"/>
    <w:rsid w:val="005D22B7"/>
    <w:rsid w:val="005D2BDE"/>
    <w:rsid w:val="005D321C"/>
    <w:rsid w:val="005D3D76"/>
    <w:rsid w:val="005D4578"/>
    <w:rsid w:val="005D4EFA"/>
    <w:rsid w:val="005D55BA"/>
    <w:rsid w:val="005D5ADB"/>
    <w:rsid w:val="005D5F77"/>
    <w:rsid w:val="005D648A"/>
    <w:rsid w:val="005D7E0D"/>
    <w:rsid w:val="005E234A"/>
    <w:rsid w:val="005E35CC"/>
    <w:rsid w:val="005E371E"/>
    <w:rsid w:val="005E53F9"/>
    <w:rsid w:val="005E775D"/>
    <w:rsid w:val="005F0A43"/>
    <w:rsid w:val="005F0CF3"/>
    <w:rsid w:val="005F27BF"/>
    <w:rsid w:val="005F4171"/>
    <w:rsid w:val="005F46D6"/>
    <w:rsid w:val="005F4DD6"/>
    <w:rsid w:val="005F50D8"/>
    <w:rsid w:val="005F53A1"/>
    <w:rsid w:val="005F5732"/>
    <w:rsid w:val="005F68F3"/>
    <w:rsid w:val="005F6B77"/>
    <w:rsid w:val="005F7487"/>
    <w:rsid w:val="005F7F54"/>
    <w:rsid w:val="006002C7"/>
    <w:rsid w:val="00600F95"/>
    <w:rsid w:val="0060139B"/>
    <w:rsid w:val="00601839"/>
    <w:rsid w:val="00602759"/>
    <w:rsid w:val="0060277A"/>
    <w:rsid w:val="00602B7C"/>
    <w:rsid w:val="0060324E"/>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0BD4"/>
    <w:rsid w:val="00621F53"/>
    <w:rsid w:val="00622E2A"/>
    <w:rsid w:val="00623089"/>
    <w:rsid w:val="0062308E"/>
    <w:rsid w:val="006234C4"/>
    <w:rsid w:val="006244C9"/>
    <w:rsid w:val="006245F6"/>
    <w:rsid w:val="0062475D"/>
    <w:rsid w:val="0062495F"/>
    <w:rsid w:val="00624E2D"/>
    <w:rsid w:val="0062660B"/>
    <w:rsid w:val="00626AD1"/>
    <w:rsid w:val="006304BC"/>
    <w:rsid w:val="00630DCE"/>
    <w:rsid w:val="0063120A"/>
    <w:rsid w:val="0063150B"/>
    <w:rsid w:val="00631585"/>
    <w:rsid w:val="00634ACF"/>
    <w:rsid w:val="00635035"/>
    <w:rsid w:val="0063580D"/>
    <w:rsid w:val="00635CAE"/>
    <w:rsid w:val="00637240"/>
    <w:rsid w:val="00643660"/>
    <w:rsid w:val="00644902"/>
    <w:rsid w:val="00644AE6"/>
    <w:rsid w:val="00650139"/>
    <w:rsid w:val="00652756"/>
    <w:rsid w:val="00652AD8"/>
    <w:rsid w:val="00652B79"/>
    <w:rsid w:val="006533C3"/>
    <w:rsid w:val="00654068"/>
    <w:rsid w:val="00654B38"/>
    <w:rsid w:val="00654B83"/>
    <w:rsid w:val="00655061"/>
    <w:rsid w:val="0065510C"/>
    <w:rsid w:val="00655B63"/>
    <w:rsid w:val="006571F6"/>
    <w:rsid w:val="00660A59"/>
    <w:rsid w:val="006618CC"/>
    <w:rsid w:val="00662111"/>
    <w:rsid w:val="00662118"/>
    <w:rsid w:val="006638AD"/>
    <w:rsid w:val="00664700"/>
    <w:rsid w:val="00667238"/>
    <w:rsid w:val="0066732C"/>
    <w:rsid w:val="006679F5"/>
    <w:rsid w:val="00667B77"/>
    <w:rsid w:val="00670CBC"/>
    <w:rsid w:val="006716DA"/>
    <w:rsid w:val="006728ED"/>
    <w:rsid w:val="006732B1"/>
    <w:rsid w:val="0067446F"/>
    <w:rsid w:val="006746A4"/>
    <w:rsid w:val="00675558"/>
    <w:rsid w:val="00675611"/>
    <w:rsid w:val="00675A60"/>
    <w:rsid w:val="006761E1"/>
    <w:rsid w:val="0067697E"/>
    <w:rsid w:val="00677443"/>
    <w:rsid w:val="0067769A"/>
    <w:rsid w:val="006806A3"/>
    <w:rsid w:val="006806A6"/>
    <w:rsid w:val="00681211"/>
    <w:rsid w:val="00681B36"/>
    <w:rsid w:val="00682E14"/>
    <w:rsid w:val="0068436C"/>
    <w:rsid w:val="0068545E"/>
    <w:rsid w:val="00685FD4"/>
    <w:rsid w:val="00686612"/>
    <w:rsid w:val="0068661E"/>
    <w:rsid w:val="00687FE2"/>
    <w:rsid w:val="00690A49"/>
    <w:rsid w:val="00690BB6"/>
    <w:rsid w:val="00691B30"/>
    <w:rsid w:val="00693E1F"/>
    <w:rsid w:val="00693ECB"/>
    <w:rsid w:val="00694797"/>
    <w:rsid w:val="00695887"/>
    <w:rsid w:val="00697733"/>
    <w:rsid w:val="006A254E"/>
    <w:rsid w:val="006A2C30"/>
    <w:rsid w:val="006A301C"/>
    <w:rsid w:val="006A3E2B"/>
    <w:rsid w:val="006A5F84"/>
    <w:rsid w:val="006A6E17"/>
    <w:rsid w:val="006A72BF"/>
    <w:rsid w:val="006B120D"/>
    <w:rsid w:val="006B17E7"/>
    <w:rsid w:val="006B19E8"/>
    <w:rsid w:val="006B1A8A"/>
    <w:rsid w:val="006B1FD5"/>
    <w:rsid w:val="006B3B23"/>
    <w:rsid w:val="006B555A"/>
    <w:rsid w:val="006B600A"/>
    <w:rsid w:val="006B6635"/>
    <w:rsid w:val="006B7759"/>
    <w:rsid w:val="006B7D22"/>
    <w:rsid w:val="006B7D2C"/>
    <w:rsid w:val="006C1019"/>
    <w:rsid w:val="006C2BB5"/>
    <w:rsid w:val="006C2BEE"/>
    <w:rsid w:val="006C3AD8"/>
    <w:rsid w:val="006C4516"/>
    <w:rsid w:val="006C455E"/>
    <w:rsid w:val="006C5958"/>
    <w:rsid w:val="006C5B4F"/>
    <w:rsid w:val="006C643C"/>
    <w:rsid w:val="006C6E3A"/>
    <w:rsid w:val="006C6FD7"/>
    <w:rsid w:val="006C75EC"/>
    <w:rsid w:val="006C7D9C"/>
    <w:rsid w:val="006D0073"/>
    <w:rsid w:val="006D00DB"/>
    <w:rsid w:val="006D0361"/>
    <w:rsid w:val="006D16B0"/>
    <w:rsid w:val="006D2182"/>
    <w:rsid w:val="006D2444"/>
    <w:rsid w:val="006D254B"/>
    <w:rsid w:val="006D289B"/>
    <w:rsid w:val="006D3BE1"/>
    <w:rsid w:val="006D48FC"/>
    <w:rsid w:val="006D4FEF"/>
    <w:rsid w:val="006D5FB4"/>
    <w:rsid w:val="006D62BC"/>
    <w:rsid w:val="006D6450"/>
    <w:rsid w:val="006D6939"/>
    <w:rsid w:val="006D7EB0"/>
    <w:rsid w:val="006E0138"/>
    <w:rsid w:val="006E0BB0"/>
    <w:rsid w:val="006E12C3"/>
    <w:rsid w:val="006E2529"/>
    <w:rsid w:val="006E45F3"/>
    <w:rsid w:val="006E4A2F"/>
    <w:rsid w:val="006E4ED4"/>
    <w:rsid w:val="006E5534"/>
    <w:rsid w:val="006E5E19"/>
    <w:rsid w:val="006E61C3"/>
    <w:rsid w:val="006E799D"/>
    <w:rsid w:val="006F0593"/>
    <w:rsid w:val="006F1064"/>
    <w:rsid w:val="006F1EB7"/>
    <w:rsid w:val="006F349A"/>
    <w:rsid w:val="006F3637"/>
    <w:rsid w:val="006F4DF0"/>
    <w:rsid w:val="006F52E5"/>
    <w:rsid w:val="006F5583"/>
    <w:rsid w:val="006F6066"/>
    <w:rsid w:val="006F6850"/>
    <w:rsid w:val="006F707E"/>
    <w:rsid w:val="007001DC"/>
    <w:rsid w:val="007025CB"/>
    <w:rsid w:val="007034AA"/>
    <w:rsid w:val="00703C9D"/>
    <w:rsid w:val="0070490C"/>
    <w:rsid w:val="00705C38"/>
    <w:rsid w:val="00706465"/>
    <w:rsid w:val="0070695A"/>
    <w:rsid w:val="0070782D"/>
    <w:rsid w:val="007109C2"/>
    <w:rsid w:val="00710E28"/>
    <w:rsid w:val="00711340"/>
    <w:rsid w:val="00712C42"/>
    <w:rsid w:val="00713DE4"/>
    <w:rsid w:val="00714C47"/>
    <w:rsid w:val="00716303"/>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2B83"/>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C11"/>
    <w:rsid w:val="0074638D"/>
    <w:rsid w:val="00746484"/>
    <w:rsid w:val="0074704F"/>
    <w:rsid w:val="00747A6E"/>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2947"/>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7F8"/>
    <w:rsid w:val="00775F76"/>
    <w:rsid w:val="00776AEA"/>
    <w:rsid w:val="00777BA0"/>
    <w:rsid w:val="007803BD"/>
    <w:rsid w:val="007811DC"/>
    <w:rsid w:val="007820FA"/>
    <w:rsid w:val="0078285F"/>
    <w:rsid w:val="00783207"/>
    <w:rsid w:val="00783B61"/>
    <w:rsid w:val="00783E1D"/>
    <w:rsid w:val="0078483B"/>
    <w:rsid w:val="00784EED"/>
    <w:rsid w:val="0078509C"/>
    <w:rsid w:val="00785900"/>
    <w:rsid w:val="00786958"/>
    <w:rsid w:val="00786E71"/>
    <w:rsid w:val="007905DF"/>
    <w:rsid w:val="0079162F"/>
    <w:rsid w:val="0079317A"/>
    <w:rsid w:val="00794924"/>
    <w:rsid w:val="007A0BC2"/>
    <w:rsid w:val="007A1F44"/>
    <w:rsid w:val="007A23FF"/>
    <w:rsid w:val="007A295B"/>
    <w:rsid w:val="007A3424"/>
    <w:rsid w:val="007A35EF"/>
    <w:rsid w:val="007A43A2"/>
    <w:rsid w:val="007A4D04"/>
    <w:rsid w:val="007A7A96"/>
    <w:rsid w:val="007B03AF"/>
    <w:rsid w:val="007B07B3"/>
    <w:rsid w:val="007B1543"/>
    <w:rsid w:val="007B1AC0"/>
    <w:rsid w:val="007B270A"/>
    <w:rsid w:val="007B2D3B"/>
    <w:rsid w:val="007B52CD"/>
    <w:rsid w:val="007B6227"/>
    <w:rsid w:val="007B7DC1"/>
    <w:rsid w:val="007B7EDB"/>
    <w:rsid w:val="007C19AD"/>
    <w:rsid w:val="007C3598"/>
    <w:rsid w:val="007C3A1B"/>
    <w:rsid w:val="007C3BA3"/>
    <w:rsid w:val="007C3FA8"/>
    <w:rsid w:val="007C68DA"/>
    <w:rsid w:val="007D1A95"/>
    <w:rsid w:val="007D229A"/>
    <w:rsid w:val="007D2F44"/>
    <w:rsid w:val="007D2F4D"/>
    <w:rsid w:val="007D38C3"/>
    <w:rsid w:val="007D3E65"/>
    <w:rsid w:val="007D4178"/>
    <w:rsid w:val="007D47C3"/>
    <w:rsid w:val="007D4D33"/>
    <w:rsid w:val="007D7175"/>
    <w:rsid w:val="007E1369"/>
    <w:rsid w:val="007E1A1B"/>
    <w:rsid w:val="007E1A88"/>
    <w:rsid w:val="007E4C88"/>
    <w:rsid w:val="007E4E99"/>
    <w:rsid w:val="007E585E"/>
    <w:rsid w:val="007E7DDF"/>
    <w:rsid w:val="007F11C8"/>
    <w:rsid w:val="007F1CFB"/>
    <w:rsid w:val="007F220B"/>
    <w:rsid w:val="007F27DD"/>
    <w:rsid w:val="007F512B"/>
    <w:rsid w:val="007F6880"/>
    <w:rsid w:val="007F76B4"/>
    <w:rsid w:val="008001B4"/>
    <w:rsid w:val="00800769"/>
    <w:rsid w:val="0080093E"/>
    <w:rsid w:val="00800ED2"/>
    <w:rsid w:val="00802E74"/>
    <w:rsid w:val="00804B92"/>
    <w:rsid w:val="00804E21"/>
    <w:rsid w:val="00805092"/>
    <w:rsid w:val="00806AAF"/>
    <w:rsid w:val="008070AC"/>
    <w:rsid w:val="008101FD"/>
    <w:rsid w:val="00810D8D"/>
    <w:rsid w:val="00811835"/>
    <w:rsid w:val="008155BF"/>
    <w:rsid w:val="0081581D"/>
    <w:rsid w:val="00815831"/>
    <w:rsid w:val="008172BE"/>
    <w:rsid w:val="008174BA"/>
    <w:rsid w:val="00817B71"/>
    <w:rsid w:val="00820244"/>
    <w:rsid w:val="00821D82"/>
    <w:rsid w:val="008221B3"/>
    <w:rsid w:val="0082248E"/>
    <w:rsid w:val="00824FDF"/>
    <w:rsid w:val="00825125"/>
    <w:rsid w:val="008257CC"/>
    <w:rsid w:val="008274BF"/>
    <w:rsid w:val="00830DC3"/>
    <w:rsid w:val="00831555"/>
    <w:rsid w:val="00831F52"/>
    <w:rsid w:val="00832154"/>
    <w:rsid w:val="00832F5C"/>
    <w:rsid w:val="00834F2A"/>
    <w:rsid w:val="008359E0"/>
    <w:rsid w:val="008376F6"/>
    <w:rsid w:val="00837D5B"/>
    <w:rsid w:val="00840607"/>
    <w:rsid w:val="00841CD2"/>
    <w:rsid w:val="00842B77"/>
    <w:rsid w:val="0084309F"/>
    <w:rsid w:val="00845C12"/>
    <w:rsid w:val="008469D9"/>
    <w:rsid w:val="00846DC0"/>
    <w:rsid w:val="008474A7"/>
    <w:rsid w:val="00847646"/>
    <w:rsid w:val="0085042D"/>
    <w:rsid w:val="008506B6"/>
    <w:rsid w:val="00850AE0"/>
    <w:rsid w:val="0085206E"/>
    <w:rsid w:val="008524D2"/>
    <w:rsid w:val="00852E19"/>
    <w:rsid w:val="008542D4"/>
    <w:rsid w:val="008565D5"/>
    <w:rsid w:val="00856833"/>
    <w:rsid w:val="00856840"/>
    <w:rsid w:val="0086087C"/>
    <w:rsid w:val="00860D8E"/>
    <w:rsid w:val="008619E2"/>
    <w:rsid w:val="0086275E"/>
    <w:rsid w:val="00864440"/>
    <w:rsid w:val="00864D76"/>
    <w:rsid w:val="008650FC"/>
    <w:rsid w:val="00866EB3"/>
    <w:rsid w:val="0086701A"/>
    <w:rsid w:val="00867923"/>
    <w:rsid w:val="00867BD2"/>
    <w:rsid w:val="008712FD"/>
    <w:rsid w:val="008716A1"/>
    <w:rsid w:val="00872D3F"/>
    <w:rsid w:val="008733E4"/>
    <w:rsid w:val="00873F15"/>
    <w:rsid w:val="00874096"/>
    <w:rsid w:val="008756A4"/>
    <w:rsid w:val="00875F73"/>
    <w:rsid w:val="00880F30"/>
    <w:rsid w:val="008826C6"/>
    <w:rsid w:val="008833E8"/>
    <w:rsid w:val="00883484"/>
    <w:rsid w:val="0088348C"/>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B5C"/>
    <w:rsid w:val="008B043F"/>
    <w:rsid w:val="008B0808"/>
    <w:rsid w:val="008B0AEC"/>
    <w:rsid w:val="008B1E53"/>
    <w:rsid w:val="008B1E5B"/>
    <w:rsid w:val="008B289C"/>
    <w:rsid w:val="008B389D"/>
    <w:rsid w:val="008B3C5C"/>
    <w:rsid w:val="008B4C4F"/>
    <w:rsid w:val="008B5299"/>
    <w:rsid w:val="008B5A5F"/>
    <w:rsid w:val="008B5AB0"/>
    <w:rsid w:val="008B6054"/>
    <w:rsid w:val="008B7B08"/>
    <w:rsid w:val="008C13F0"/>
    <w:rsid w:val="008C1F26"/>
    <w:rsid w:val="008C21E1"/>
    <w:rsid w:val="008C2A3A"/>
    <w:rsid w:val="008C4C7E"/>
    <w:rsid w:val="008C5C46"/>
    <w:rsid w:val="008C6184"/>
    <w:rsid w:val="008C785E"/>
    <w:rsid w:val="008C7BE0"/>
    <w:rsid w:val="008D03C9"/>
    <w:rsid w:val="008D0AFB"/>
    <w:rsid w:val="008D1511"/>
    <w:rsid w:val="008D32DF"/>
    <w:rsid w:val="008D35E9"/>
    <w:rsid w:val="008D3959"/>
    <w:rsid w:val="008D3966"/>
    <w:rsid w:val="008D4352"/>
    <w:rsid w:val="008D4F67"/>
    <w:rsid w:val="008D5588"/>
    <w:rsid w:val="008D6066"/>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CE4"/>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B4F"/>
    <w:rsid w:val="00907E00"/>
    <w:rsid w:val="0091088D"/>
    <w:rsid w:val="00910FC9"/>
    <w:rsid w:val="0091291A"/>
    <w:rsid w:val="00913612"/>
    <w:rsid w:val="0091366A"/>
    <w:rsid w:val="00913824"/>
    <w:rsid w:val="00915757"/>
    <w:rsid w:val="009159B3"/>
    <w:rsid w:val="00916181"/>
    <w:rsid w:val="009204C5"/>
    <w:rsid w:val="00920A99"/>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3EA3"/>
    <w:rsid w:val="00954353"/>
    <w:rsid w:val="00955C0A"/>
    <w:rsid w:val="00955C4F"/>
    <w:rsid w:val="009639BF"/>
    <w:rsid w:val="009657F1"/>
    <w:rsid w:val="0096625D"/>
    <w:rsid w:val="009709F8"/>
    <w:rsid w:val="00972929"/>
    <w:rsid w:val="00972F91"/>
    <w:rsid w:val="00973827"/>
    <w:rsid w:val="00973F83"/>
    <w:rsid w:val="009742D3"/>
    <w:rsid w:val="00977BA7"/>
    <w:rsid w:val="00980517"/>
    <w:rsid w:val="0098194F"/>
    <w:rsid w:val="00981AC4"/>
    <w:rsid w:val="009826C8"/>
    <w:rsid w:val="009836E4"/>
    <w:rsid w:val="0098412F"/>
    <w:rsid w:val="00985F28"/>
    <w:rsid w:val="00986149"/>
    <w:rsid w:val="00986176"/>
    <w:rsid w:val="00986E7F"/>
    <w:rsid w:val="00987536"/>
    <w:rsid w:val="00990BD5"/>
    <w:rsid w:val="0099196F"/>
    <w:rsid w:val="00991A0F"/>
    <w:rsid w:val="00992B98"/>
    <w:rsid w:val="00992FB1"/>
    <w:rsid w:val="0099359F"/>
    <w:rsid w:val="00993BBC"/>
    <w:rsid w:val="00994871"/>
    <w:rsid w:val="00994E08"/>
    <w:rsid w:val="009951F9"/>
    <w:rsid w:val="00995C95"/>
    <w:rsid w:val="00995E85"/>
    <w:rsid w:val="00996468"/>
    <w:rsid w:val="00996876"/>
    <w:rsid w:val="00996FFA"/>
    <w:rsid w:val="009973F1"/>
    <w:rsid w:val="009973F3"/>
    <w:rsid w:val="009978A5"/>
    <w:rsid w:val="009A010D"/>
    <w:rsid w:val="009A0C6F"/>
    <w:rsid w:val="009A14EF"/>
    <w:rsid w:val="009A1E58"/>
    <w:rsid w:val="009A2DF9"/>
    <w:rsid w:val="009A35E7"/>
    <w:rsid w:val="009A3A86"/>
    <w:rsid w:val="009A4869"/>
    <w:rsid w:val="009A6A6B"/>
    <w:rsid w:val="009B1EF9"/>
    <w:rsid w:val="009B26AC"/>
    <w:rsid w:val="009B37E2"/>
    <w:rsid w:val="009B4519"/>
    <w:rsid w:val="009B506B"/>
    <w:rsid w:val="009B57EF"/>
    <w:rsid w:val="009B5B85"/>
    <w:rsid w:val="009B677D"/>
    <w:rsid w:val="009B7204"/>
    <w:rsid w:val="009C0074"/>
    <w:rsid w:val="009C0564"/>
    <w:rsid w:val="009C1F91"/>
    <w:rsid w:val="009C2685"/>
    <w:rsid w:val="009C39BC"/>
    <w:rsid w:val="009C4BC2"/>
    <w:rsid w:val="009C4D22"/>
    <w:rsid w:val="009C7320"/>
    <w:rsid w:val="009D0729"/>
    <w:rsid w:val="009D0F66"/>
    <w:rsid w:val="009D1A06"/>
    <w:rsid w:val="009D1BA4"/>
    <w:rsid w:val="009D22E4"/>
    <w:rsid w:val="009D22F7"/>
    <w:rsid w:val="009D319C"/>
    <w:rsid w:val="009D333F"/>
    <w:rsid w:val="009D5BAB"/>
    <w:rsid w:val="009D6A0A"/>
    <w:rsid w:val="009D7C06"/>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2AD6"/>
    <w:rsid w:val="009F3FB5"/>
    <w:rsid w:val="009F521F"/>
    <w:rsid w:val="009F553C"/>
    <w:rsid w:val="009F59F8"/>
    <w:rsid w:val="009F60D8"/>
    <w:rsid w:val="00A00262"/>
    <w:rsid w:val="00A005B0"/>
    <w:rsid w:val="00A007A7"/>
    <w:rsid w:val="00A01F17"/>
    <w:rsid w:val="00A022A5"/>
    <w:rsid w:val="00A03A22"/>
    <w:rsid w:val="00A04634"/>
    <w:rsid w:val="00A05759"/>
    <w:rsid w:val="00A06119"/>
    <w:rsid w:val="00A06BDF"/>
    <w:rsid w:val="00A07A48"/>
    <w:rsid w:val="00A108EE"/>
    <w:rsid w:val="00A10BB8"/>
    <w:rsid w:val="00A1200D"/>
    <w:rsid w:val="00A137E4"/>
    <w:rsid w:val="00A14813"/>
    <w:rsid w:val="00A1566A"/>
    <w:rsid w:val="00A165BF"/>
    <w:rsid w:val="00A172E8"/>
    <w:rsid w:val="00A179FF"/>
    <w:rsid w:val="00A20B60"/>
    <w:rsid w:val="00A21A36"/>
    <w:rsid w:val="00A25294"/>
    <w:rsid w:val="00A254EE"/>
    <w:rsid w:val="00A25BE7"/>
    <w:rsid w:val="00A27008"/>
    <w:rsid w:val="00A2764B"/>
    <w:rsid w:val="00A27CDF"/>
    <w:rsid w:val="00A309C6"/>
    <w:rsid w:val="00A30BCD"/>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6ADB"/>
    <w:rsid w:val="00A501C9"/>
    <w:rsid w:val="00A50506"/>
    <w:rsid w:val="00A53AB4"/>
    <w:rsid w:val="00A53F55"/>
    <w:rsid w:val="00A5417B"/>
    <w:rsid w:val="00A54599"/>
    <w:rsid w:val="00A545BF"/>
    <w:rsid w:val="00A54B82"/>
    <w:rsid w:val="00A55ED3"/>
    <w:rsid w:val="00A569D4"/>
    <w:rsid w:val="00A57F1A"/>
    <w:rsid w:val="00A60163"/>
    <w:rsid w:val="00A6038D"/>
    <w:rsid w:val="00A607BF"/>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2FD"/>
    <w:rsid w:val="00A82D58"/>
    <w:rsid w:val="00A8399D"/>
    <w:rsid w:val="00A83E3D"/>
    <w:rsid w:val="00A8443A"/>
    <w:rsid w:val="00A8479C"/>
    <w:rsid w:val="00A8557B"/>
    <w:rsid w:val="00A85A05"/>
    <w:rsid w:val="00A86D63"/>
    <w:rsid w:val="00A87797"/>
    <w:rsid w:val="00A90483"/>
    <w:rsid w:val="00A90593"/>
    <w:rsid w:val="00A90E72"/>
    <w:rsid w:val="00A922A2"/>
    <w:rsid w:val="00A9327B"/>
    <w:rsid w:val="00A93B69"/>
    <w:rsid w:val="00A94A7D"/>
    <w:rsid w:val="00A963C7"/>
    <w:rsid w:val="00AA1626"/>
    <w:rsid w:val="00AA1C25"/>
    <w:rsid w:val="00AA3BEC"/>
    <w:rsid w:val="00AA3DB7"/>
    <w:rsid w:val="00AA51F5"/>
    <w:rsid w:val="00AA5E3B"/>
    <w:rsid w:val="00AA68B4"/>
    <w:rsid w:val="00AB0543"/>
    <w:rsid w:val="00AB0AC9"/>
    <w:rsid w:val="00AB185A"/>
    <w:rsid w:val="00AB1BA7"/>
    <w:rsid w:val="00AB1CBE"/>
    <w:rsid w:val="00AB1E04"/>
    <w:rsid w:val="00AB29CF"/>
    <w:rsid w:val="00AB3113"/>
    <w:rsid w:val="00AB348A"/>
    <w:rsid w:val="00AB3F38"/>
    <w:rsid w:val="00AB43EC"/>
    <w:rsid w:val="00AB4B7F"/>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2B2"/>
    <w:rsid w:val="00AD3976"/>
    <w:rsid w:val="00AD4D2A"/>
    <w:rsid w:val="00AD5161"/>
    <w:rsid w:val="00AD542F"/>
    <w:rsid w:val="00AD7305"/>
    <w:rsid w:val="00AD7E64"/>
    <w:rsid w:val="00AE094C"/>
    <w:rsid w:val="00AE0C56"/>
    <w:rsid w:val="00AE0F40"/>
    <w:rsid w:val="00AE149E"/>
    <w:rsid w:val="00AE22F2"/>
    <w:rsid w:val="00AE29FC"/>
    <w:rsid w:val="00AE2F3F"/>
    <w:rsid w:val="00AE3B4E"/>
    <w:rsid w:val="00AE417D"/>
    <w:rsid w:val="00AE5144"/>
    <w:rsid w:val="00AE59EC"/>
    <w:rsid w:val="00AE67B3"/>
    <w:rsid w:val="00AE7864"/>
    <w:rsid w:val="00AE7949"/>
    <w:rsid w:val="00AF1527"/>
    <w:rsid w:val="00AF2466"/>
    <w:rsid w:val="00AF25D5"/>
    <w:rsid w:val="00AF3DBB"/>
    <w:rsid w:val="00AF5194"/>
    <w:rsid w:val="00AF53EF"/>
    <w:rsid w:val="00AF73C3"/>
    <w:rsid w:val="00AF795C"/>
    <w:rsid w:val="00B00752"/>
    <w:rsid w:val="00B026C1"/>
    <w:rsid w:val="00B02B9C"/>
    <w:rsid w:val="00B0353B"/>
    <w:rsid w:val="00B040B2"/>
    <w:rsid w:val="00B06FA7"/>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82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98E"/>
    <w:rsid w:val="00B44F99"/>
    <w:rsid w:val="00B45876"/>
    <w:rsid w:val="00B45AD5"/>
    <w:rsid w:val="00B51542"/>
    <w:rsid w:val="00B51D1D"/>
    <w:rsid w:val="00B527D5"/>
    <w:rsid w:val="00B5310E"/>
    <w:rsid w:val="00B54ACC"/>
    <w:rsid w:val="00B54DCB"/>
    <w:rsid w:val="00B55AC2"/>
    <w:rsid w:val="00B560C9"/>
    <w:rsid w:val="00B56533"/>
    <w:rsid w:val="00B56CFC"/>
    <w:rsid w:val="00B57777"/>
    <w:rsid w:val="00B57A17"/>
    <w:rsid w:val="00B61BC3"/>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FC7"/>
    <w:rsid w:val="00B93204"/>
    <w:rsid w:val="00B941DD"/>
    <w:rsid w:val="00B94E17"/>
    <w:rsid w:val="00B957FE"/>
    <w:rsid w:val="00B95F02"/>
    <w:rsid w:val="00B96BEF"/>
    <w:rsid w:val="00B96FC0"/>
    <w:rsid w:val="00B97260"/>
    <w:rsid w:val="00B97A69"/>
    <w:rsid w:val="00BA0632"/>
    <w:rsid w:val="00BA0AAA"/>
    <w:rsid w:val="00BA0DFB"/>
    <w:rsid w:val="00BA1C37"/>
    <w:rsid w:val="00BA2FEF"/>
    <w:rsid w:val="00BB1548"/>
    <w:rsid w:val="00BB1CE7"/>
    <w:rsid w:val="00BB2FD3"/>
    <w:rsid w:val="00BB2FDF"/>
    <w:rsid w:val="00BB2FFF"/>
    <w:rsid w:val="00BB3829"/>
    <w:rsid w:val="00BB4269"/>
    <w:rsid w:val="00BB43EF"/>
    <w:rsid w:val="00BB5FCB"/>
    <w:rsid w:val="00BB604B"/>
    <w:rsid w:val="00BC0034"/>
    <w:rsid w:val="00BC00EC"/>
    <w:rsid w:val="00BC08C5"/>
    <w:rsid w:val="00BC12FB"/>
    <w:rsid w:val="00BC1C3C"/>
    <w:rsid w:val="00BC307F"/>
    <w:rsid w:val="00BC3159"/>
    <w:rsid w:val="00BC3257"/>
    <w:rsid w:val="00BC392A"/>
    <w:rsid w:val="00BC39DB"/>
    <w:rsid w:val="00BC3A32"/>
    <w:rsid w:val="00BC3B07"/>
    <w:rsid w:val="00BC46EF"/>
    <w:rsid w:val="00BC6FD6"/>
    <w:rsid w:val="00BC73B5"/>
    <w:rsid w:val="00BD008E"/>
    <w:rsid w:val="00BD2F3B"/>
    <w:rsid w:val="00BD3372"/>
    <w:rsid w:val="00BD3D41"/>
    <w:rsid w:val="00BD50AA"/>
    <w:rsid w:val="00BD5135"/>
    <w:rsid w:val="00BD7291"/>
    <w:rsid w:val="00BD7EA3"/>
    <w:rsid w:val="00BD7FE2"/>
    <w:rsid w:val="00BE0B19"/>
    <w:rsid w:val="00BE0DD8"/>
    <w:rsid w:val="00BE13F0"/>
    <w:rsid w:val="00BE1D82"/>
    <w:rsid w:val="00BE1EE4"/>
    <w:rsid w:val="00BE1F8B"/>
    <w:rsid w:val="00BE22B2"/>
    <w:rsid w:val="00BE2B4F"/>
    <w:rsid w:val="00BE2F39"/>
    <w:rsid w:val="00BE332D"/>
    <w:rsid w:val="00BE3736"/>
    <w:rsid w:val="00BE3CF1"/>
    <w:rsid w:val="00BE4B20"/>
    <w:rsid w:val="00BE5FC4"/>
    <w:rsid w:val="00BE7C4D"/>
    <w:rsid w:val="00BE7F6A"/>
    <w:rsid w:val="00BF0274"/>
    <w:rsid w:val="00BF059E"/>
    <w:rsid w:val="00BF08C4"/>
    <w:rsid w:val="00BF0BAF"/>
    <w:rsid w:val="00BF19CE"/>
    <w:rsid w:val="00BF2604"/>
    <w:rsid w:val="00BF2B6F"/>
    <w:rsid w:val="00BF351A"/>
    <w:rsid w:val="00BF3914"/>
    <w:rsid w:val="00BF49B1"/>
    <w:rsid w:val="00BF5552"/>
    <w:rsid w:val="00BF63C5"/>
    <w:rsid w:val="00BF73F2"/>
    <w:rsid w:val="00C01671"/>
    <w:rsid w:val="00C02419"/>
    <w:rsid w:val="00C02766"/>
    <w:rsid w:val="00C02CDA"/>
    <w:rsid w:val="00C03EE8"/>
    <w:rsid w:val="00C05791"/>
    <w:rsid w:val="00C05BEC"/>
    <w:rsid w:val="00C06E7D"/>
    <w:rsid w:val="00C1112B"/>
    <w:rsid w:val="00C11A88"/>
    <w:rsid w:val="00C12012"/>
    <w:rsid w:val="00C12874"/>
    <w:rsid w:val="00C12BC1"/>
    <w:rsid w:val="00C13BDA"/>
    <w:rsid w:val="00C13FFD"/>
    <w:rsid w:val="00C14632"/>
    <w:rsid w:val="00C16242"/>
    <w:rsid w:val="00C16C30"/>
    <w:rsid w:val="00C17057"/>
    <w:rsid w:val="00C20A00"/>
    <w:rsid w:val="00C21673"/>
    <w:rsid w:val="00C21C7A"/>
    <w:rsid w:val="00C22E5D"/>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4F2A"/>
    <w:rsid w:val="00C563F5"/>
    <w:rsid w:val="00C56E05"/>
    <w:rsid w:val="00C570F7"/>
    <w:rsid w:val="00C6133C"/>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51E"/>
    <w:rsid w:val="00C832DC"/>
    <w:rsid w:val="00C8377F"/>
    <w:rsid w:val="00C859E1"/>
    <w:rsid w:val="00C8646D"/>
    <w:rsid w:val="00C913A3"/>
    <w:rsid w:val="00C91DE3"/>
    <w:rsid w:val="00C92C7F"/>
    <w:rsid w:val="00C9369D"/>
    <w:rsid w:val="00C944FA"/>
    <w:rsid w:val="00C95854"/>
    <w:rsid w:val="00C95EFF"/>
    <w:rsid w:val="00C96E6F"/>
    <w:rsid w:val="00C977B7"/>
    <w:rsid w:val="00C97872"/>
    <w:rsid w:val="00CA0532"/>
    <w:rsid w:val="00CA2241"/>
    <w:rsid w:val="00CA3CDD"/>
    <w:rsid w:val="00CA403B"/>
    <w:rsid w:val="00CA505A"/>
    <w:rsid w:val="00CA59DD"/>
    <w:rsid w:val="00CA6981"/>
    <w:rsid w:val="00CB008E"/>
    <w:rsid w:val="00CB01FA"/>
    <w:rsid w:val="00CB0737"/>
    <w:rsid w:val="00CB097A"/>
    <w:rsid w:val="00CB1618"/>
    <w:rsid w:val="00CB1A19"/>
    <w:rsid w:val="00CB26EC"/>
    <w:rsid w:val="00CB2D2A"/>
    <w:rsid w:val="00CB2E44"/>
    <w:rsid w:val="00CB4DD5"/>
    <w:rsid w:val="00CB5B1E"/>
    <w:rsid w:val="00CB787A"/>
    <w:rsid w:val="00CC0C4A"/>
    <w:rsid w:val="00CC17F0"/>
    <w:rsid w:val="00CC1853"/>
    <w:rsid w:val="00CC1FAE"/>
    <w:rsid w:val="00CC3A23"/>
    <w:rsid w:val="00CC737C"/>
    <w:rsid w:val="00CD087D"/>
    <w:rsid w:val="00CD0F5D"/>
    <w:rsid w:val="00CD17CA"/>
    <w:rsid w:val="00CD1C0B"/>
    <w:rsid w:val="00CD239A"/>
    <w:rsid w:val="00CD5512"/>
    <w:rsid w:val="00CD6E3D"/>
    <w:rsid w:val="00CD71AB"/>
    <w:rsid w:val="00CD7A80"/>
    <w:rsid w:val="00CE0109"/>
    <w:rsid w:val="00CE1FC5"/>
    <w:rsid w:val="00CE46E5"/>
    <w:rsid w:val="00CE485A"/>
    <w:rsid w:val="00CE526A"/>
    <w:rsid w:val="00CE5279"/>
    <w:rsid w:val="00CE5A78"/>
    <w:rsid w:val="00CE78AE"/>
    <w:rsid w:val="00CE7E62"/>
    <w:rsid w:val="00CF195E"/>
    <w:rsid w:val="00CF19DA"/>
    <w:rsid w:val="00CF1C7F"/>
    <w:rsid w:val="00CF1CC0"/>
    <w:rsid w:val="00CF24F8"/>
    <w:rsid w:val="00CF2653"/>
    <w:rsid w:val="00CF4247"/>
    <w:rsid w:val="00CF48AD"/>
    <w:rsid w:val="00CF5263"/>
    <w:rsid w:val="00CF60B5"/>
    <w:rsid w:val="00CF648C"/>
    <w:rsid w:val="00D004FA"/>
    <w:rsid w:val="00D01B21"/>
    <w:rsid w:val="00D01E2F"/>
    <w:rsid w:val="00D03102"/>
    <w:rsid w:val="00D03727"/>
    <w:rsid w:val="00D0378A"/>
    <w:rsid w:val="00D05132"/>
    <w:rsid w:val="00D05EA9"/>
    <w:rsid w:val="00D071F8"/>
    <w:rsid w:val="00D07252"/>
    <w:rsid w:val="00D074F4"/>
    <w:rsid w:val="00D07CE1"/>
    <w:rsid w:val="00D07DBC"/>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F55"/>
    <w:rsid w:val="00D302FD"/>
    <w:rsid w:val="00D3038A"/>
    <w:rsid w:val="00D3098D"/>
    <w:rsid w:val="00D31A02"/>
    <w:rsid w:val="00D32E61"/>
    <w:rsid w:val="00D3323C"/>
    <w:rsid w:val="00D33456"/>
    <w:rsid w:val="00D3396F"/>
    <w:rsid w:val="00D33D4D"/>
    <w:rsid w:val="00D34A0B"/>
    <w:rsid w:val="00D36234"/>
    <w:rsid w:val="00D36371"/>
    <w:rsid w:val="00D437D8"/>
    <w:rsid w:val="00D44994"/>
    <w:rsid w:val="00D45DF3"/>
    <w:rsid w:val="00D46174"/>
    <w:rsid w:val="00D461BA"/>
    <w:rsid w:val="00D47DD0"/>
    <w:rsid w:val="00D50183"/>
    <w:rsid w:val="00D50D39"/>
    <w:rsid w:val="00D51D12"/>
    <w:rsid w:val="00D52826"/>
    <w:rsid w:val="00D5362B"/>
    <w:rsid w:val="00D55072"/>
    <w:rsid w:val="00D551B5"/>
    <w:rsid w:val="00D555B3"/>
    <w:rsid w:val="00D56DB2"/>
    <w:rsid w:val="00D5747F"/>
    <w:rsid w:val="00D57495"/>
    <w:rsid w:val="00D574FA"/>
    <w:rsid w:val="00D579AC"/>
    <w:rsid w:val="00D60C8D"/>
    <w:rsid w:val="00D61374"/>
    <w:rsid w:val="00D6168A"/>
    <w:rsid w:val="00D616A5"/>
    <w:rsid w:val="00D61FF0"/>
    <w:rsid w:val="00D6211D"/>
    <w:rsid w:val="00D62C97"/>
    <w:rsid w:val="00D63517"/>
    <w:rsid w:val="00D63B75"/>
    <w:rsid w:val="00D63DFD"/>
    <w:rsid w:val="00D659B1"/>
    <w:rsid w:val="00D66E18"/>
    <w:rsid w:val="00D6734D"/>
    <w:rsid w:val="00D679CF"/>
    <w:rsid w:val="00D679D3"/>
    <w:rsid w:val="00D70490"/>
    <w:rsid w:val="00D70CF7"/>
    <w:rsid w:val="00D7356F"/>
    <w:rsid w:val="00D73587"/>
    <w:rsid w:val="00D73EBB"/>
    <w:rsid w:val="00D7438C"/>
    <w:rsid w:val="00D751FB"/>
    <w:rsid w:val="00D754D6"/>
    <w:rsid w:val="00D761AA"/>
    <w:rsid w:val="00D76FAE"/>
    <w:rsid w:val="00D777D7"/>
    <w:rsid w:val="00D80AB8"/>
    <w:rsid w:val="00D81792"/>
    <w:rsid w:val="00D819B1"/>
    <w:rsid w:val="00D82494"/>
    <w:rsid w:val="00D82F33"/>
    <w:rsid w:val="00D83AE9"/>
    <w:rsid w:val="00D84D15"/>
    <w:rsid w:val="00D857B8"/>
    <w:rsid w:val="00D87175"/>
    <w:rsid w:val="00D873A9"/>
    <w:rsid w:val="00D87ABF"/>
    <w:rsid w:val="00D90988"/>
    <w:rsid w:val="00D90CD3"/>
    <w:rsid w:val="00D919E6"/>
    <w:rsid w:val="00D91BE1"/>
    <w:rsid w:val="00D92C29"/>
    <w:rsid w:val="00D936E2"/>
    <w:rsid w:val="00D95104"/>
    <w:rsid w:val="00D95600"/>
    <w:rsid w:val="00D9683C"/>
    <w:rsid w:val="00D975B9"/>
    <w:rsid w:val="00D97884"/>
    <w:rsid w:val="00DA0A7F"/>
    <w:rsid w:val="00DA1C31"/>
    <w:rsid w:val="00DA20BC"/>
    <w:rsid w:val="00DA2ED7"/>
    <w:rsid w:val="00DA31B6"/>
    <w:rsid w:val="00DA3E7A"/>
    <w:rsid w:val="00DA430C"/>
    <w:rsid w:val="00DA615D"/>
    <w:rsid w:val="00DA6598"/>
    <w:rsid w:val="00DA68E4"/>
    <w:rsid w:val="00DA6C0F"/>
    <w:rsid w:val="00DA702F"/>
    <w:rsid w:val="00DA7F8A"/>
    <w:rsid w:val="00DB0176"/>
    <w:rsid w:val="00DB0404"/>
    <w:rsid w:val="00DB11F8"/>
    <w:rsid w:val="00DB18F8"/>
    <w:rsid w:val="00DB1F2A"/>
    <w:rsid w:val="00DB297F"/>
    <w:rsid w:val="00DB3153"/>
    <w:rsid w:val="00DB317A"/>
    <w:rsid w:val="00DB3B82"/>
    <w:rsid w:val="00DB485D"/>
    <w:rsid w:val="00DB7D18"/>
    <w:rsid w:val="00DC1327"/>
    <w:rsid w:val="00DC1350"/>
    <w:rsid w:val="00DC2C8A"/>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7E8"/>
    <w:rsid w:val="00DF78FA"/>
    <w:rsid w:val="00E002F1"/>
    <w:rsid w:val="00E0082C"/>
    <w:rsid w:val="00E012B7"/>
    <w:rsid w:val="00E01DAA"/>
    <w:rsid w:val="00E023E5"/>
    <w:rsid w:val="00E02432"/>
    <w:rsid w:val="00E04022"/>
    <w:rsid w:val="00E0728F"/>
    <w:rsid w:val="00E0755C"/>
    <w:rsid w:val="00E10C12"/>
    <w:rsid w:val="00E14A7E"/>
    <w:rsid w:val="00E151E1"/>
    <w:rsid w:val="00E17619"/>
    <w:rsid w:val="00E17805"/>
    <w:rsid w:val="00E20F79"/>
    <w:rsid w:val="00E21278"/>
    <w:rsid w:val="00E21612"/>
    <w:rsid w:val="00E22CCD"/>
    <w:rsid w:val="00E23A11"/>
    <w:rsid w:val="00E23FB7"/>
    <w:rsid w:val="00E24A27"/>
    <w:rsid w:val="00E25F89"/>
    <w:rsid w:val="00E32D62"/>
    <w:rsid w:val="00E339DC"/>
    <w:rsid w:val="00E33E15"/>
    <w:rsid w:val="00E35396"/>
    <w:rsid w:val="00E361B8"/>
    <w:rsid w:val="00E36A1B"/>
    <w:rsid w:val="00E429ED"/>
    <w:rsid w:val="00E43F37"/>
    <w:rsid w:val="00E450ED"/>
    <w:rsid w:val="00E4791B"/>
    <w:rsid w:val="00E47E31"/>
    <w:rsid w:val="00E50AC6"/>
    <w:rsid w:val="00E50F86"/>
    <w:rsid w:val="00E51DDD"/>
    <w:rsid w:val="00E51FDD"/>
    <w:rsid w:val="00E52435"/>
    <w:rsid w:val="00E52A20"/>
    <w:rsid w:val="00E53122"/>
    <w:rsid w:val="00E5351B"/>
    <w:rsid w:val="00E53D5C"/>
    <w:rsid w:val="00E53FA9"/>
    <w:rsid w:val="00E5414C"/>
    <w:rsid w:val="00E547B3"/>
    <w:rsid w:val="00E54F79"/>
    <w:rsid w:val="00E5733D"/>
    <w:rsid w:val="00E61CC0"/>
    <w:rsid w:val="00E6277B"/>
    <w:rsid w:val="00E64424"/>
    <w:rsid w:val="00E64C99"/>
    <w:rsid w:val="00E64CD3"/>
    <w:rsid w:val="00E64D63"/>
    <w:rsid w:val="00E671C9"/>
    <w:rsid w:val="00E6743F"/>
    <w:rsid w:val="00E6758E"/>
    <w:rsid w:val="00E67E23"/>
    <w:rsid w:val="00E70016"/>
    <w:rsid w:val="00E70BC7"/>
    <w:rsid w:val="00E70FBC"/>
    <w:rsid w:val="00E72C01"/>
    <w:rsid w:val="00E741AC"/>
    <w:rsid w:val="00E74C32"/>
    <w:rsid w:val="00E75174"/>
    <w:rsid w:val="00E75EBA"/>
    <w:rsid w:val="00E763B4"/>
    <w:rsid w:val="00E76479"/>
    <w:rsid w:val="00E77848"/>
    <w:rsid w:val="00E80514"/>
    <w:rsid w:val="00E80E5B"/>
    <w:rsid w:val="00E816C5"/>
    <w:rsid w:val="00E81CE0"/>
    <w:rsid w:val="00E81E7C"/>
    <w:rsid w:val="00E8224D"/>
    <w:rsid w:val="00E8519F"/>
    <w:rsid w:val="00E85CC3"/>
    <w:rsid w:val="00E8644A"/>
    <w:rsid w:val="00E871A9"/>
    <w:rsid w:val="00E87906"/>
    <w:rsid w:val="00E90279"/>
    <w:rsid w:val="00E90635"/>
    <w:rsid w:val="00E909A1"/>
    <w:rsid w:val="00E90BFF"/>
    <w:rsid w:val="00E91F04"/>
    <w:rsid w:val="00E91F35"/>
    <w:rsid w:val="00E95BA6"/>
    <w:rsid w:val="00E95C07"/>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AEC"/>
    <w:rsid w:val="00EC2E2D"/>
    <w:rsid w:val="00EC462B"/>
    <w:rsid w:val="00EC4723"/>
    <w:rsid w:val="00EC56E0"/>
    <w:rsid w:val="00EC6057"/>
    <w:rsid w:val="00EC650B"/>
    <w:rsid w:val="00EC6847"/>
    <w:rsid w:val="00EC7DB6"/>
    <w:rsid w:val="00ED162F"/>
    <w:rsid w:val="00ED2E52"/>
    <w:rsid w:val="00ED3024"/>
    <w:rsid w:val="00ED5CAC"/>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801"/>
    <w:rsid w:val="00EF7002"/>
    <w:rsid w:val="00EF769B"/>
    <w:rsid w:val="00F00CB2"/>
    <w:rsid w:val="00F027BA"/>
    <w:rsid w:val="00F03A69"/>
    <w:rsid w:val="00F03E79"/>
    <w:rsid w:val="00F0628D"/>
    <w:rsid w:val="00F06651"/>
    <w:rsid w:val="00F07DE6"/>
    <w:rsid w:val="00F1056C"/>
    <w:rsid w:val="00F107F1"/>
    <w:rsid w:val="00F10FC1"/>
    <w:rsid w:val="00F112FD"/>
    <w:rsid w:val="00F133A1"/>
    <w:rsid w:val="00F13ECD"/>
    <w:rsid w:val="00F155CE"/>
    <w:rsid w:val="00F15C13"/>
    <w:rsid w:val="00F15C80"/>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696"/>
    <w:rsid w:val="00F42CBF"/>
    <w:rsid w:val="00F433BD"/>
    <w:rsid w:val="00F44EC5"/>
    <w:rsid w:val="00F47498"/>
    <w:rsid w:val="00F503FB"/>
    <w:rsid w:val="00F512B2"/>
    <w:rsid w:val="00F5283D"/>
    <w:rsid w:val="00F52ABA"/>
    <w:rsid w:val="00F52BC7"/>
    <w:rsid w:val="00F53BF4"/>
    <w:rsid w:val="00F54266"/>
    <w:rsid w:val="00F55043"/>
    <w:rsid w:val="00F56DCF"/>
    <w:rsid w:val="00F57034"/>
    <w:rsid w:val="00F602F7"/>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82C"/>
    <w:rsid w:val="00F7290D"/>
    <w:rsid w:val="00F7302F"/>
    <w:rsid w:val="00F732EC"/>
    <w:rsid w:val="00F73D08"/>
    <w:rsid w:val="00F7586B"/>
    <w:rsid w:val="00F75C62"/>
    <w:rsid w:val="00F75F2F"/>
    <w:rsid w:val="00F76057"/>
    <w:rsid w:val="00F76445"/>
    <w:rsid w:val="00F76ECC"/>
    <w:rsid w:val="00F80399"/>
    <w:rsid w:val="00F812C8"/>
    <w:rsid w:val="00F8132D"/>
    <w:rsid w:val="00F818AE"/>
    <w:rsid w:val="00F81A93"/>
    <w:rsid w:val="00F81B40"/>
    <w:rsid w:val="00F820C4"/>
    <w:rsid w:val="00F83829"/>
    <w:rsid w:val="00F84069"/>
    <w:rsid w:val="00F843D7"/>
    <w:rsid w:val="00F84F9A"/>
    <w:rsid w:val="00F85536"/>
    <w:rsid w:val="00F85A96"/>
    <w:rsid w:val="00F8657A"/>
    <w:rsid w:val="00F8679A"/>
    <w:rsid w:val="00F87117"/>
    <w:rsid w:val="00F8736C"/>
    <w:rsid w:val="00F90036"/>
    <w:rsid w:val="00F9030E"/>
    <w:rsid w:val="00F90ADB"/>
    <w:rsid w:val="00F90E78"/>
    <w:rsid w:val="00F91209"/>
    <w:rsid w:val="00F91D25"/>
    <w:rsid w:val="00F9221F"/>
    <w:rsid w:val="00F931C7"/>
    <w:rsid w:val="00F93559"/>
    <w:rsid w:val="00F93D72"/>
    <w:rsid w:val="00F93E65"/>
    <w:rsid w:val="00F93F31"/>
    <w:rsid w:val="00F94070"/>
    <w:rsid w:val="00F950B5"/>
    <w:rsid w:val="00F9513F"/>
    <w:rsid w:val="00F97114"/>
    <w:rsid w:val="00F97908"/>
    <w:rsid w:val="00F97B43"/>
    <w:rsid w:val="00FA07F8"/>
    <w:rsid w:val="00FA105C"/>
    <w:rsid w:val="00FA1475"/>
    <w:rsid w:val="00FA148A"/>
    <w:rsid w:val="00FA27C8"/>
    <w:rsid w:val="00FA33F6"/>
    <w:rsid w:val="00FA3B76"/>
    <w:rsid w:val="00FA4D66"/>
    <w:rsid w:val="00FA5310"/>
    <w:rsid w:val="00FA5A4E"/>
    <w:rsid w:val="00FB0082"/>
    <w:rsid w:val="00FB0243"/>
    <w:rsid w:val="00FB1527"/>
    <w:rsid w:val="00FB1839"/>
    <w:rsid w:val="00FB216C"/>
    <w:rsid w:val="00FB2537"/>
    <w:rsid w:val="00FB33DC"/>
    <w:rsid w:val="00FB364E"/>
    <w:rsid w:val="00FB4338"/>
    <w:rsid w:val="00FB477E"/>
    <w:rsid w:val="00FB4C9C"/>
    <w:rsid w:val="00FB6165"/>
    <w:rsid w:val="00FB6A39"/>
    <w:rsid w:val="00FC0150"/>
    <w:rsid w:val="00FC03AB"/>
    <w:rsid w:val="00FC31C2"/>
    <w:rsid w:val="00FC3B48"/>
    <w:rsid w:val="00FC4729"/>
    <w:rsid w:val="00FC4A8C"/>
    <w:rsid w:val="00FC53DB"/>
    <w:rsid w:val="00FC5FC2"/>
    <w:rsid w:val="00FC6177"/>
    <w:rsid w:val="00FC63D1"/>
    <w:rsid w:val="00FC6CA1"/>
    <w:rsid w:val="00FC7252"/>
    <w:rsid w:val="00FC7528"/>
    <w:rsid w:val="00FD0112"/>
    <w:rsid w:val="00FD0572"/>
    <w:rsid w:val="00FD1A97"/>
    <w:rsid w:val="00FD2D7B"/>
    <w:rsid w:val="00FD37F6"/>
    <w:rsid w:val="00FD4589"/>
    <w:rsid w:val="00FD473E"/>
    <w:rsid w:val="00FD7DF9"/>
    <w:rsid w:val="00FE0B51"/>
    <w:rsid w:val="00FE0B78"/>
    <w:rsid w:val="00FE0ED4"/>
    <w:rsid w:val="00FE15C3"/>
    <w:rsid w:val="00FE1EAB"/>
    <w:rsid w:val="00FE3465"/>
    <w:rsid w:val="00FE67CF"/>
    <w:rsid w:val="00FE6D20"/>
    <w:rsid w:val="00FE6FB9"/>
    <w:rsid w:val="00FE7549"/>
    <w:rsid w:val="00FE7BCC"/>
    <w:rsid w:val="00FF126D"/>
    <w:rsid w:val="00FF2310"/>
    <w:rsid w:val="00FF2E73"/>
    <w:rsid w:val="00FF4AE2"/>
    <w:rsid w:val="00FF50A8"/>
    <w:rsid w:val="00FF571E"/>
    <w:rsid w:val="00FF69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806B5"/>
  <w15:docId w15:val="{A9F331B2-3483-4931-84FE-D46FF653B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
    <w:basedOn w:val="Normal"/>
    <w:link w:val="ListParagraphChar"/>
    <w:uiPriority w:val="34"/>
    <w:qFormat/>
    <w:rsid w:val="00D555B3"/>
    <w:pPr>
      <w:autoSpaceDE/>
      <w:autoSpaceDN/>
      <w:adjustRightInd/>
      <w:snapToGrid/>
      <w:spacing w:after="0"/>
      <w:ind w:firstLine="420"/>
      <w:jc w:val="left"/>
    </w:pPr>
    <w:rPr>
      <w:rFonts w:ascii="宋体" w:hAnsi="宋体"/>
      <w:sz w:val="24"/>
      <w:szCs w:val="24"/>
      <w:lang w:val="x-none" w:eastAsia="x-none"/>
    </w:rPr>
  </w:style>
  <w:style w:type="character" w:customStyle="1" w:styleId="ListParagraphChar">
    <w:name w:val="List Paragraph Char"/>
    <w:aliases w:val="- Bullets Char,목록 단락 Char,リスト段落 Char,?? ?? Char,????? Char,???? Char,Lista1 Char"/>
    <w:link w:val="ListParagraph"/>
    <w:uiPriority w:val="34"/>
    <w:qFormat/>
    <w:rsid w:val="00D555B3"/>
    <w:rPr>
      <w:rFonts w:ascii="宋体" w:hAnsi="宋体"/>
      <w:sz w:val="24"/>
      <w:szCs w:val="24"/>
      <w:lang w:val="x-none" w:eastAsia="x-none"/>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locked/>
    <w:rsid w:val="00334811"/>
    <w:rPr>
      <w:rFonts w:eastAsia="MS Mincho"/>
      <w:lang w:val="en-GB"/>
    </w:rPr>
  </w:style>
  <w:style w:type="character" w:customStyle="1" w:styleId="B2Char">
    <w:name w:val="B2 Char"/>
    <w:link w:val="B2"/>
    <w:qFormat/>
    <w:locked/>
    <w:rsid w:val="00334811"/>
    <w:rPr>
      <w:rFonts w:eastAsia="MS Mincho"/>
      <w:lang w:val="en-GB"/>
    </w:rPr>
  </w:style>
  <w:style w:type="character" w:styleId="CommentReference">
    <w:name w:val="annotation reference"/>
    <w:basedOn w:val="DefaultParagraphFont"/>
    <w:semiHidden/>
    <w:unhideWhenUsed/>
    <w:rsid w:val="009978A5"/>
    <w:rPr>
      <w:sz w:val="21"/>
      <w:szCs w:val="21"/>
    </w:rPr>
  </w:style>
  <w:style w:type="paragraph" w:styleId="CommentText">
    <w:name w:val="annotation text"/>
    <w:basedOn w:val="Normal"/>
    <w:link w:val="CommentTextChar"/>
    <w:semiHidden/>
    <w:unhideWhenUsed/>
    <w:rsid w:val="009978A5"/>
    <w:pPr>
      <w:jc w:val="left"/>
    </w:pPr>
  </w:style>
  <w:style w:type="character" w:customStyle="1" w:styleId="CommentTextChar">
    <w:name w:val="Comment Text Char"/>
    <w:basedOn w:val="DefaultParagraphFont"/>
    <w:link w:val="CommentText"/>
    <w:semiHidden/>
    <w:rsid w:val="009978A5"/>
    <w:rPr>
      <w:sz w:val="22"/>
      <w:szCs w:val="22"/>
    </w:rPr>
  </w:style>
  <w:style w:type="paragraph" w:styleId="CommentSubject">
    <w:name w:val="annotation subject"/>
    <w:basedOn w:val="CommentText"/>
    <w:next w:val="CommentText"/>
    <w:link w:val="CommentSubjectChar"/>
    <w:semiHidden/>
    <w:unhideWhenUsed/>
    <w:rsid w:val="009978A5"/>
    <w:rPr>
      <w:b/>
      <w:bCs/>
    </w:rPr>
  </w:style>
  <w:style w:type="character" w:customStyle="1" w:styleId="CommentSubjectChar">
    <w:name w:val="Comment Subject Char"/>
    <w:basedOn w:val="CommentTextChar"/>
    <w:link w:val="CommentSubject"/>
    <w:semiHidden/>
    <w:rsid w:val="009978A5"/>
    <w:rPr>
      <w:b/>
      <w:bCs/>
      <w:sz w:val="22"/>
      <w:szCs w:val="22"/>
    </w:rPr>
  </w:style>
  <w:style w:type="paragraph" w:styleId="Revision">
    <w:name w:val="Revision"/>
    <w:hidden/>
    <w:uiPriority w:val="99"/>
    <w:semiHidden/>
    <w:rsid w:val="009978A5"/>
    <w:rPr>
      <w:sz w:val="22"/>
      <w:szCs w:val="22"/>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DF77E8"/>
    <w:rPr>
      <w:b/>
      <w:bCs/>
      <w:sz w:val="24"/>
      <w:szCs w:val="22"/>
    </w:rPr>
  </w:style>
  <w:style w:type="character" w:styleId="PlaceholderText">
    <w:name w:val="Placeholder Text"/>
    <w:basedOn w:val="DefaultParagraphFont"/>
    <w:uiPriority w:val="99"/>
    <w:semiHidden/>
    <w:rsid w:val="00D579AC"/>
    <w:rPr>
      <w:color w:val="808080"/>
    </w:rPr>
  </w:style>
  <w:style w:type="paragraph" w:styleId="Index1">
    <w:name w:val="index 1"/>
    <w:basedOn w:val="Normal"/>
    <w:semiHidden/>
    <w:rsid w:val="00484C6A"/>
    <w:pPr>
      <w:keepLines/>
      <w:overflowPunct w:val="0"/>
      <w:snapToGrid/>
      <w:spacing w:after="0"/>
      <w:jc w:val="left"/>
      <w:textAlignment w:val="baseline"/>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34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2063359">
      <w:bodyDiv w:val="1"/>
      <w:marLeft w:val="0"/>
      <w:marRight w:val="0"/>
      <w:marTop w:val="0"/>
      <w:marBottom w:val="0"/>
      <w:divBdr>
        <w:top w:val="none" w:sz="0" w:space="0" w:color="auto"/>
        <w:left w:val="none" w:sz="0" w:space="0" w:color="auto"/>
        <w:bottom w:val="none" w:sz="0" w:space="0" w:color="auto"/>
        <w:right w:val="none" w:sz="0" w:space="0" w:color="auto"/>
      </w:divBdr>
    </w:div>
    <w:div w:id="8671781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374680">
      <w:bodyDiv w:val="1"/>
      <w:marLeft w:val="0"/>
      <w:marRight w:val="0"/>
      <w:marTop w:val="0"/>
      <w:marBottom w:val="0"/>
      <w:divBdr>
        <w:top w:val="none" w:sz="0" w:space="0" w:color="auto"/>
        <w:left w:val="none" w:sz="0" w:space="0" w:color="auto"/>
        <w:bottom w:val="none" w:sz="0" w:space="0" w:color="auto"/>
        <w:right w:val="none" w:sz="0" w:space="0" w:color="auto"/>
      </w:divBdr>
      <w:divsChild>
        <w:div w:id="1528788160">
          <w:marLeft w:val="446"/>
          <w:marRight w:val="0"/>
          <w:marTop w:val="0"/>
          <w:marBottom w:val="0"/>
          <w:divBdr>
            <w:top w:val="none" w:sz="0" w:space="0" w:color="auto"/>
            <w:left w:val="none" w:sz="0" w:space="0" w:color="auto"/>
            <w:bottom w:val="none" w:sz="0" w:space="0" w:color="auto"/>
            <w:right w:val="none" w:sz="0" w:space="0" w:color="auto"/>
          </w:divBdr>
        </w:div>
        <w:div w:id="1740056005">
          <w:marLeft w:val="1166"/>
          <w:marRight w:val="0"/>
          <w:marTop w:val="0"/>
          <w:marBottom w:val="0"/>
          <w:divBdr>
            <w:top w:val="none" w:sz="0" w:space="0" w:color="auto"/>
            <w:left w:val="none" w:sz="0" w:space="0" w:color="auto"/>
            <w:bottom w:val="none" w:sz="0" w:space="0" w:color="auto"/>
            <w:right w:val="none" w:sz="0" w:space="0" w:color="auto"/>
          </w:divBdr>
        </w:div>
        <w:div w:id="176236527">
          <w:marLeft w:val="1886"/>
          <w:marRight w:val="0"/>
          <w:marTop w:val="0"/>
          <w:marBottom w:val="0"/>
          <w:divBdr>
            <w:top w:val="none" w:sz="0" w:space="0" w:color="auto"/>
            <w:left w:val="none" w:sz="0" w:space="0" w:color="auto"/>
            <w:bottom w:val="none" w:sz="0" w:space="0" w:color="auto"/>
            <w:right w:val="none" w:sz="0" w:space="0" w:color="auto"/>
          </w:divBdr>
        </w:div>
        <w:div w:id="1056929589">
          <w:marLeft w:val="1886"/>
          <w:marRight w:val="0"/>
          <w:marTop w:val="0"/>
          <w:marBottom w:val="0"/>
          <w:divBdr>
            <w:top w:val="none" w:sz="0" w:space="0" w:color="auto"/>
            <w:left w:val="none" w:sz="0" w:space="0" w:color="auto"/>
            <w:bottom w:val="none" w:sz="0" w:space="0" w:color="auto"/>
            <w:right w:val="none" w:sz="0" w:space="0" w:color="auto"/>
          </w:divBdr>
        </w:div>
      </w:divsChild>
    </w:div>
    <w:div w:id="1351761399">
      <w:bodyDiv w:val="1"/>
      <w:marLeft w:val="0"/>
      <w:marRight w:val="0"/>
      <w:marTop w:val="0"/>
      <w:marBottom w:val="0"/>
      <w:divBdr>
        <w:top w:val="none" w:sz="0" w:space="0" w:color="auto"/>
        <w:left w:val="none" w:sz="0" w:space="0" w:color="auto"/>
        <w:bottom w:val="none" w:sz="0" w:space="0" w:color="auto"/>
        <w:right w:val="none" w:sz="0" w:space="0" w:color="auto"/>
      </w:divBdr>
    </w:div>
    <w:div w:id="150072967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30989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508017">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5CF4F-5C45-4EF9-B8D5-054377799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2178</Words>
  <Characters>12417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2007-06-18T22:08:00Z</cp:lastPrinted>
  <dcterms:created xsi:type="dcterms:W3CDTF">2018-11-02T15:37:00Z</dcterms:created>
  <dcterms:modified xsi:type="dcterms:W3CDTF">2018-11-02T15:38:00Z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(3)dD0+JYe81gXazes9JgafwuzDzWk5HNBEozWIgH3WygnMkmQ6UfvOT5v5fT7PzkQnDt7EOfOS
/0Ijj0CvYdr5JjAemzrwHlkK8EmF593VhTCzY5ICWHdtutag2QlgRPxX62lUO2tdkQmclORT
wX4PU4n3Uaa3DRxHhggYw36vkPYJI7xVq+NPBREVqHORWoFaGzOS/EejPRbUU8f0JYV8Aeo6
l2+CinuRmeN6CxXFdc</vt:lpwstr>
  </property>
  <property fmtid="{D5CDD505-2E9C-101B-9397-08002B2CF9AE}" pid="13" name="_2015_ms_pID_725343_00">
    <vt:lpwstr>_2015_ms_pID_725343</vt:lpwstr>
  </property>
  <property fmtid="{D5CDD505-2E9C-101B-9397-08002B2CF9AE}" pid="14" name="_2015_ms_pID_7253431">
    <vt:lpwstr>HmqvrRFMWZO3FFJ3HmTnOLlvPuS1d4Hh3PqSNSVvid53JVcFLgaBKW
LiJsjdC613+GkcysERNPXIcIMxrLyN2TRzq9xdvKbHEQgf3jWLr6v663FyVLuqunch7f7FJx
KpMSKUOFQfw4r4NdiE8giRiSpqh36ObsAFl2guRvY+J0IrzqsUyu4jzUYcTsjLtsfMXxf0Sd
LZ2LgNQdZpho04LUPxm8Q6ctpfulL/HTcYEp</vt:lpwstr>
  </property>
  <property fmtid="{D5CDD505-2E9C-101B-9397-08002B2CF9AE}" pid="15" name="_2015_ms_pID_7253431_00">
    <vt:lpwstr>_2015_ms_pID_7253431</vt:lpwstr>
  </property>
  <property fmtid="{D5CDD505-2E9C-101B-9397-08002B2CF9AE}" pid="16" name="_2015_ms_pID_7253432">
    <vt:lpwstr>Mi7K5Oh+HZP4297sBVMPlU5JM67/UIMik7DG
2WEbmGinspOY9xkuZWX89SrksfJAb8M0DQ8myRYRaJVqZS7sVMY=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1540785230</vt:lpwstr>
  </property>
</Properties>
</file>