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D7316B">
        <w:rPr>
          <w:rFonts w:eastAsia="Batang"/>
          <w:bCs w:val="0"/>
          <w:noProof w:val="0"/>
          <w:sz w:val="24"/>
          <w:szCs w:val="24"/>
        </w:rPr>
        <w:t>bis</w:t>
      </w:r>
      <w:r w:rsidR="00653744" w:rsidRPr="0024666F">
        <w:rPr>
          <w:rFonts w:eastAsia="Batang"/>
          <w:bCs w:val="0"/>
          <w:noProof w:val="0"/>
          <w:sz w:val="24"/>
          <w:szCs w:val="24"/>
        </w:rPr>
        <w:tab/>
      </w:r>
      <w:r w:rsidR="00653744" w:rsidRPr="0024666F">
        <w:rPr>
          <w:rFonts w:eastAsia="Batang"/>
          <w:bCs w:val="0"/>
          <w:noProof w:val="0"/>
          <w:sz w:val="24"/>
          <w:szCs w:val="24"/>
        </w:rPr>
        <w:tab/>
      </w:r>
      <w:r w:rsidR="00BF1F26" w:rsidRPr="00BF1F26">
        <w:rPr>
          <w:rFonts w:eastAsia="Batang"/>
          <w:bCs w:val="0"/>
          <w:noProof w:val="0"/>
          <w:sz w:val="24"/>
          <w:szCs w:val="24"/>
        </w:rPr>
        <w:t>R1-1811433</w:t>
      </w:r>
    </w:p>
    <w:p w:rsidR="0004518D" w:rsidRDefault="00D7316B" w:rsidP="00653744">
      <w:pPr>
        <w:spacing w:after="0"/>
        <w:ind w:left="1988" w:hanging="1988"/>
        <w:rPr>
          <w:rFonts w:ascii="Arial" w:eastAsia="Batang" w:hAnsi="Arial"/>
          <w:b/>
          <w:sz w:val="24"/>
          <w:szCs w:val="24"/>
        </w:rPr>
      </w:pPr>
      <w:r>
        <w:rPr>
          <w:rFonts w:ascii="Arial" w:eastAsia="Batang" w:hAnsi="Arial"/>
          <w:b/>
          <w:sz w:val="24"/>
          <w:szCs w:val="24"/>
        </w:rPr>
        <w:t>Chengdu</w:t>
      </w:r>
      <w:r w:rsidR="00D96B73" w:rsidRPr="00D96B73">
        <w:rPr>
          <w:rFonts w:ascii="Arial" w:eastAsia="Batang" w:hAnsi="Arial"/>
          <w:b/>
          <w:sz w:val="24"/>
          <w:szCs w:val="24"/>
        </w:rPr>
        <w:t xml:space="preserve">, </w:t>
      </w:r>
      <w:r>
        <w:rPr>
          <w:rFonts w:ascii="Arial" w:eastAsia="Batang" w:hAnsi="Arial"/>
          <w:b/>
          <w:sz w:val="24"/>
          <w:szCs w:val="24"/>
        </w:rPr>
        <w:t>China</w:t>
      </w:r>
      <w:r w:rsidR="00D96B73" w:rsidRPr="00D96B73">
        <w:rPr>
          <w:rFonts w:ascii="Arial" w:eastAsia="Batang" w:hAnsi="Arial"/>
          <w:b/>
          <w:sz w:val="24"/>
          <w:szCs w:val="24"/>
        </w:rPr>
        <w:t xml:space="preserve">, </w:t>
      </w:r>
      <w:r>
        <w:rPr>
          <w:rFonts w:ascii="Arial" w:eastAsia="Batang" w:hAnsi="Arial"/>
          <w:b/>
          <w:sz w:val="24"/>
          <w:szCs w:val="24"/>
        </w:rPr>
        <w:t>October</w:t>
      </w:r>
      <w:r w:rsidR="00D96B73" w:rsidRPr="00D96B73">
        <w:rPr>
          <w:rFonts w:ascii="Arial" w:eastAsia="Batang" w:hAnsi="Arial"/>
          <w:b/>
          <w:sz w:val="24"/>
          <w:szCs w:val="24"/>
        </w:rPr>
        <w:t xml:space="preserve"> </w:t>
      </w:r>
      <w:r>
        <w:rPr>
          <w:rFonts w:ascii="Arial" w:eastAsia="Batang" w:hAnsi="Arial"/>
          <w:b/>
          <w:sz w:val="24"/>
          <w:szCs w:val="24"/>
        </w:rPr>
        <w:t>8</w:t>
      </w:r>
      <w:r w:rsidR="00D96B73" w:rsidRPr="003C2529">
        <w:rPr>
          <w:rFonts w:ascii="Arial" w:eastAsia="Batang" w:hAnsi="Arial"/>
          <w:b/>
          <w:sz w:val="24"/>
          <w:szCs w:val="24"/>
          <w:vertAlign w:val="superscript"/>
        </w:rPr>
        <w:t>th</w:t>
      </w:r>
      <w:r w:rsidR="00D96B73" w:rsidRPr="00D96B73">
        <w:rPr>
          <w:rFonts w:ascii="Arial" w:eastAsia="Batang" w:hAnsi="Arial"/>
          <w:b/>
          <w:sz w:val="24"/>
          <w:szCs w:val="24"/>
        </w:rPr>
        <w:t xml:space="preserve"> – </w:t>
      </w:r>
      <w:r>
        <w:rPr>
          <w:rFonts w:ascii="Arial" w:eastAsia="Batang" w:hAnsi="Arial"/>
          <w:b/>
          <w:sz w:val="24"/>
          <w:szCs w:val="24"/>
        </w:rPr>
        <w:t>12</w:t>
      </w:r>
      <w:r w:rsidR="00D96B73" w:rsidRPr="003C2529">
        <w:rPr>
          <w:rFonts w:ascii="Arial" w:eastAsia="Batang" w:hAnsi="Arial"/>
          <w:b/>
          <w:sz w:val="24"/>
          <w:szCs w:val="24"/>
          <w:vertAlign w:val="superscript"/>
        </w:rPr>
        <w:t>th</w:t>
      </w:r>
      <w:r w:rsidR="00D96B73" w:rsidRPr="00D96B73">
        <w:rPr>
          <w:rFonts w:ascii="Arial" w:eastAsia="Batang" w:hAnsi="Arial"/>
          <w:b/>
          <w:sz w:val="24"/>
          <w:szCs w:val="24"/>
        </w:rPr>
        <w:t>, 2018</w:t>
      </w:r>
    </w:p>
    <w:p w:rsidR="00D96B73" w:rsidRDefault="00D96B73" w:rsidP="00653744">
      <w:pPr>
        <w:spacing w:after="0"/>
        <w:ind w:left="1988" w:hanging="1988"/>
        <w:rPr>
          <w:rFonts w:ascii="Arial" w:hAnsi="Arial"/>
          <w:b/>
          <w:sz w:val="24"/>
          <w:lang w:val="en-US" w:eastAsia="zh-CN"/>
        </w:rPr>
      </w:pP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Source:</w:t>
      </w:r>
      <w:r w:rsidRPr="0024666F">
        <w:rPr>
          <w:rFonts w:ascii="Arial" w:hAnsi="Arial"/>
          <w:b/>
          <w:sz w:val="24"/>
          <w:lang w:val="en-US"/>
        </w:rPr>
        <w:tab/>
      </w:r>
      <w:r w:rsidR="00BC2469" w:rsidRPr="00DF1CE7">
        <w:rPr>
          <w:rFonts w:ascii="Arial" w:hAnsi="Arial"/>
          <w:b/>
          <w:sz w:val="24"/>
          <w:lang w:val="en-US" w:eastAsia="zh-CN"/>
        </w:rPr>
        <w:t>Nokia</w:t>
      </w:r>
      <w:r w:rsidR="00BC2469">
        <w:rPr>
          <w:rFonts w:ascii="Arial" w:hAnsi="Arial"/>
          <w:b/>
          <w:sz w:val="24"/>
          <w:lang w:val="en-US" w:eastAsia="zh-CN"/>
        </w:rPr>
        <w:t>,</w:t>
      </w:r>
      <w:r w:rsidR="00BC2469">
        <w:rPr>
          <w:rFonts w:ascii="Arial" w:hAnsi="Arial" w:hint="eastAsia"/>
          <w:b/>
          <w:sz w:val="24"/>
          <w:lang w:val="en-US" w:eastAsia="zh-CN"/>
        </w:rPr>
        <w:t xml:space="preserve"> </w:t>
      </w:r>
      <w:r w:rsidR="00FC00AC">
        <w:rPr>
          <w:rFonts w:ascii="Arial" w:hAnsi="Arial"/>
          <w:b/>
          <w:sz w:val="24"/>
          <w:lang w:val="en-US" w:eastAsia="zh-CN"/>
        </w:rPr>
        <w:t>Nokia</w:t>
      </w:r>
      <w:r w:rsidR="00854D22">
        <w:rPr>
          <w:rFonts w:ascii="Arial" w:hAnsi="Arial" w:hint="eastAsia"/>
          <w:b/>
          <w:sz w:val="24"/>
          <w:lang w:val="en-US" w:eastAsia="zh-CN"/>
        </w:rPr>
        <w:t xml:space="preserve"> Shanghai Bell</w:t>
      </w:r>
      <w:r w:rsidR="00DF1CE7">
        <w:rPr>
          <w:rFonts w:ascii="Arial" w:hAnsi="Arial" w:hint="eastAsia"/>
          <w:b/>
          <w:sz w:val="24"/>
          <w:lang w:val="en-US" w:eastAsia="zh-CN"/>
        </w:rPr>
        <w:t xml:space="preserve"> </w:t>
      </w:r>
    </w:p>
    <w:p w:rsidR="00653744" w:rsidRPr="0024666F" w:rsidRDefault="00653744" w:rsidP="00F945A6">
      <w:pPr>
        <w:spacing w:after="0"/>
        <w:ind w:left="1988" w:hanging="1988"/>
        <w:rPr>
          <w:rFonts w:ascii="Arial" w:hAnsi="Arial"/>
          <w:b/>
          <w:sz w:val="24"/>
          <w:lang w:val="en-US" w:eastAsia="zh-CN"/>
        </w:rPr>
      </w:pPr>
      <w:r w:rsidRPr="0024666F">
        <w:rPr>
          <w:rFonts w:ascii="Arial" w:hAnsi="Arial"/>
          <w:b/>
          <w:sz w:val="24"/>
          <w:lang w:val="en-US"/>
        </w:rPr>
        <w:t>Title:</w:t>
      </w:r>
      <w:r w:rsidRPr="0024666F">
        <w:rPr>
          <w:rFonts w:ascii="Arial" w:hAnsi="Arial"/>
          <w:b/>
          <w:sz w:val="24"/>
          <w:lang w:val="en-US"/>
        </w:rPr>
        <w:tab/>
      </w:r>
      <w:r w:rsidR="00FE3710">
        <w:rPr>
          <w:rFonts w:ascii="Arial" w:hAnsi="Arial"/>
          <w:b/>
          <w:sz w:val="24"/>
          <w:lang w:val="en-US"/>
        </w:rPr>
        <w:t xml:space="preserve">On </w:t>
      </w:r>
      <w:r w:rsidR="00FB5733" w:rsidRPr="00FB5733">
        <w:rPr>
          <w:rFonts w:ascii="Arial" w:hAnsi="Arial"/>
          <w:b/>
          <w:sz w:val="24"/>
          <w:lang w:val="en-US" w:eastAsia="zh-CN"/>
        </w:rPr>
        <w:t>QoS Management</w:t>
      </w: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Agenda item:</w:t>
      </w:r>
      <w:r w:rsidRPr="0024666F">
        <w:rPr>
          <w:rFonts w:ascii="Arial" w:hAnsi="Arial"/>
          <w:b/>
          <w:sz w:val="24"/>
          <w:lang w:val="en-US"/>
        </w:rPr>
        <w:tab/>
      </w:r>
      <w:r w:rsidR="00FB5733" w:rsidRPr="00FB5733">
        <w:rPr>
          <w:rFonts w:ascii="Arial" w:hAnsi="Arial"/>
          <w:b/>
          <w:sz w:val="24"/>
          <w:lang w:val="en-US" w:eastAsia="zh-CN"/>
        </w:rPr>
        <w:t>7.2.4.4</w:t>
      </w:r>
    </w:p>
    <w:p w:rsidR="00653744" w:rsidRPr="0024666F" w:rsidRDefault="00653744" w:rsidP="00653744">
      <w:pPr>
        <w:spacing w:after="0"/>
        <w:ind w:left="1988" w:hanging="1988"/>
        <w:rPr>
          <w:rFonts w:ascii="Arial" w:hAnsi="Arial"/>
          <w:b/>
          <w:sz w:val="24"/>
          <w:lang w:val="en-US"/>
        </w:rPr>
      </w:pPr>
      <w:r w:rsidRPr="0024666F">
        <w:rPr>
          <w:rFonts w:ascii="Arial" w:hAnsi="Arial"/>
          <w:b/>
          <w:sz w:val="24"/>
          <w:lang w:val="en-US"/>
        </w:rPr>
        <w:t>Document for:</w:t>
      </w:r>
      <w:r w:rsidRPr="0024666F">
        <w:rPr>
          <w:rFonts w:ascii="Arial" w:hAnsi="Arial"/>
          <w:b/>
          <w:sz w:val="24"/>
          <w:lang w:val="en-US"/>
        </w:rPr>
        <w:tab/>
        <w:t>Discussion and Decision</w:t>
      </w:r>
    </w:p>
    <w:p w:rsidR="00653744" w:rsidRPr="0024666F" w:rsidRDefault="00653744" w:rsidP="00653744">
      <w:pPr>
        <w:spacing w:after="0"/>
        <w:ind w:left="1988" w:hanging="1988"/>
        <w:rPr>
          <w:rFonts w:ascii="Arial" w:hAnsi="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AD0212" w:rsidRDefault="00AD0212" w:rsidP="00D96B73">
      <w:pPr>
        <w:rPr>
          <w:lang w:val="en-US"/>
        </w:rPr>
      </w:pPr>
      <w:r w:rsidRPr="00AD0212">
        <w:rPr>
          <w:lang w:val="en-US"/>
        </w:rPr>
        <w:t xml:space="preserve">At RAN#80, a study item “Study on NR V2X” (FS_NR_V2X) was approved </w:t>
      </w:r>
      <w:r w:rsidRPr="00AD0212">
        <w:rPr>
          <w:cs/>
          <w:lang w:val="en-US"/>
        </w:rPr>
        <w:t>‎</w:t>
      </w:r>
      <w:r w:rsidRPr="00AD0212">
        <w:rPr>
          <w:lang w:val="en-US"/>
        </w:rPr>
        <w:t>[1]. One of the objectives deals with</w:t>
      </w:r>
      <w:r>
        <w:rPr>
          <w:lang w:val="en-US"/>
        </w:rPr>
        <w:t xml:space="preserve"> QoS management:</w:t>
      </w:r>
    </w:p>
    <w:p w:rsidR="004475E6" w:rsidRPr="004475E6" w:rsidRDefault="004475E6" w:rsidP="004475E6">
      <w:pPr>
        <w:rPr>
          <w:rFonts w:eastAsia="Malgun Gothic"/>
          <w:b/>
          <w:bCs/>
          <w:lang w:val="en-US" w:eastAsia="ko-KR"/>
        </w:rPr>
      </w:pPr>
      <w:r w:rsidRPr="004475E6">
        <w:rPr>
          <w:rFonts w:eastAsia="Malgun Gothic"/>
          <w:b/>
          <w:bCs/>
          <w:lang w:val="en-US" w:eastAsia="ko-KR"/>
        </w:rPr>
        <w:t>5: QoS management [RAN1, RAN2]:</w:t>
      </w:r>
    </w:p>
    <w:p w:rsidR="004475E6" w:rsidRPr="004475E6" w:rsidRDefault="004475E6" w:rsidP="004475E6">
      <w:pPr>
        <w:numPr>
          <w:ilvl w:val="0"/>
          <w:numId w:val="14"/>
        </w:numPr>
        <w:spacing w:after="0"/>
        <w:contextualSpacing/>
        <w:rPr>
          <w:rFonts w:eastAsia="DengXian"/>
          <w:lang w:val="en-US"/>
        </w:rPr>
      </w:pPr>
      <w:r w:rsidRPr="004475E6">
        <w:rPr>
          <w:rFonts w:eastAsia="DengXian"/>
          <w:lang w:val="en-US" w:eastAsia="ko-KR"/>
        </w:rPr>
        <w:t xml:space="preserve">Study technical </w:t>
      </w:r>
      <w:r w:rsidRPr="004475E6">
        <w:rPr>
          <w:rFonts w:eastAsia="DengXian"/>
          <w:lang w:eastAsia="ko-KR"/>
        </w:rPr>
        <w:t>solutions for QoS management of the radio interface (including both Uu and sidelink) used for V2X operations based on input from SA2</w:t>
      </w:r>
    </w:p>
    <w:p w:rsidR="00231BB1" w:rsidRDefault="00231BB1" w:rsidP="00231BB1">
      <w:pPr>
        <w:rPr>
          <w:lang w:val="en-US"/>
        </w:rPr>
      </w:pPr>
    </w:p>
    <w:p w:rsidR="00AD0212" w:rsidRDefault="00AD0212" w:rsidP="00AD0212">
      <w:pPr>
        <w:spacing w:after="0"/>
        <w:ind w:left="720" w:hanging="720"/>
        <w:rPr>
          <w:rFonts w:ascii="Times" w:eastAsia="Batang" w:hAnsi="Times"/>
          <w:lang w:eastAsia="x-none"/>
        </w:rPr>
      </w:pPr>
      <w:r w:rsidRPr="00AD0212">
        <w:rPr>
          <w:rFonts w:ascii="Times" w:eastAsia="Batang" w:hAnsi="Times"/>
          <w:lang w:eastAsia="x-none"/>
        </w:rPr>
        <w:t>At the most recent RAN1 meeting,</w:t>
      </w:r>
      <w:r>
        <w:rPr>
          <w:rFonts w:ascii="Times" w:eastAsia="Batang" w:hAnsi="Times"/>
          <w:lang w:eastAsia="x-none"/>
        </w:rPr>
        <w:t xml:space="preserve"> R1#94, the following agreement</w:t>
      </w:r>
      <w:r w:rsidRPr="00AD0212">
        <w:rPr>
          <w:rFonts w:ascii="Times" w:eastAsia="Batang" w:hAnsi="Times"/>
          <w:lang w:eastAsia="x-none"/>
        </w:rPr>
        <w:t xml:space="preserve"> </w:t>
      </w:r>
      <w:r>
        <w:rPr>
          <w:rFonts w:ascii="Times" w:eastAsia="Batang" w:hAnsi="Times"/>
          <w:lang w:eastAsia="x-none"/>
        </w:rPr>
        <w:t>was</w:t>
      </w:r>
      <w:r w:rsidRPr="00AD0212">
        <w:rPr>
          <w:rFonts w:ascii="Times" w:eastAsia="Batang" w:hAnsi="Times"/>
          <w:lang w:eastAsia="x-none"/>
        </w:rPr>
        <w:t xml:space="preserve"> reached</w:t>
      </w:r>
      <w:r w:rsidR="00534439">
        <w:rPr>
          <w:rFonts w:ascii="Times" w:eastAsia="Batang" w:hAnsi="Times"/>
          <w:lang w:eastAsia="x-none"/>
        </w:rPr>
        <w:t xml:space="preserve"> </w:t>
      </w:r>
      <w:r w:rsidR="00534439">
        <w:rPr>
          <w:rFonts w:ascii="Times" w:eastAsia="Batang" w:hAnsi="Times"/>
          <w:lang w:eastAsia="x-none"/>
        </w:rPr>
        <w:fldChar w:fldCharType="begin"/>
      </w:r>
      <w:r w:rsidR="00534439">
        <w:rPr>
          <w:rFonts w:ascii="Times" w:eastAsia="Batang" w:hAnsi="Times"/>
          <w:lang w:eastAsia="x-none"/>
        </w:rPr>
        <w:instrText xml:space="preserve"> REF _Ref525901888 \r \h </w:instrText>
      </w:r>
      <w:r w:rsidR="00534439">
        <w:rPr>
          <w:rFonts w:ascii="Times" w:eastAsia="Batang" w:hAnsi="Times"/>
          <w:lang w:eastAsia="x-none"/>
        </w:rPr>
      </w:r>
      <w:r w:rsidR="00534439">
        <w:rPr>
          <w:rFonts w:ascii="Times" w:eastAsia="Batang" w:hAnsi="Times"/>
          <w:lang w:eastAsia="x-none"/>
        </w:rPr>
        <w:fldChar w:fldCharType="separate"/>
      </w:r>
      <w:r w:rsidR="000D4447">
        <w:rPr>
          <w:rFonts w:ascii="Times" w:eastAsia="Batang" w:hAnsi="Times"/>
          <w:cs/>
          <w:lang w:eastAsia="x-none"/>
        </w:rPr>
        <w:t>‎</w:t>
      </w:r>
      <w:r w:rsidR="000D4447">
        <w:rPr>
          <w:rFonts w:ascii="Times" w:eastAsia="Batang" w:hAnsi="Times"/>
          <w:lang w:eastAsia="x-none"/>
        </w:rPr>
        <w:t>[3]</w:t>
      </w:r>
      <w:r w:rsidR="00534439">
        <w:rPr>
          <w:rFonts w:ascii="Times" w:eastAsia="Batang" w:hAnsi="Times"/>
          <w:lang w:eastAsia="x-none"/>
        </w:rPr>
        <w:fldChar w:fldCharType="end"/>
      </w:r>
      <w:r>
        <w:rPr>
          <w:rFonts w:ascii="Times" w:eastAsia="Batang" w:hAnsi="Times"/>
          <w:lang w:eastAsia="x-none"/>
        </w:rPr>
        <w:t>:</w:t>
      </w:r>
    </w:p>
    <w:p w:rsidR="00AD0212" w:rsidRDefault="00AD0212" w:rsidP="00AD0212">
      <w:pPr>
        <w:spacing w:after="0"/>
        <w:ind w:left="720" w:hanging="720"/>
        <w:rPr>
          <w:rFonts w:ascii="Times" w:eastAsia="Batang" w:hAnsi="Times"/>
          <w:highlight w:val="green"/>
          <w:lang w:eastAsia="x-none"/>
        </w:rPr>
      </w:pPr>
    </w:p>
    <w:p w:rsidR="00AD0212" w:rsidRPr="00AD0212" w:rsidRDefault="00AD0212" w:rsidP="00AD0212">
      <w:pPr>
        <w:spacing w:after="0"/>
        <w:ind w:left="720" w:hanging="720"/>
        <w:rPr>
          <w:rFonts w:ascii="Times" w:eastAsia="Batang" w:hAnsi="Times"/>
          <w:lang w:eastAsia="x-none"/>
        </w:rPr>
      </w:pPr>
      <w:r w:rsidRPr="00AD0212">
        <w:rPr>
          <w:rFonts w:ascii="Times" w:eastAsia="Batang" w:hAnsi="Times"/>
          <w:highlight w:val="green"/>
          <w:lang w:eastAsia="x-none"/>
        </w:rPr>
        <w:t>Agreements</w:t>
      </w:r>
      <w:r w:rsidRPr="00AD0212">
        <w:rPr>
          <w:rFonts w:ascii="Times" w:eastAsia="Batang" w:hAnsi="Times"/>
          <w:lang w:eastAsia="x-none"/>
        </w:rPr>
        <w:t>:</w:t>
      </w:r>
    </w:p>
    <w:p w:rsidR="00AD0212" w:rsidRPr="00AD0212" w:rsidRDefault="00AD0212" w:rsidP="00AD0212">
      <w:pPr>
        <w:spacing w:after="0"/>
        <w:ind w:left="720" w:hanging="720"/>
        <w:rPr>
          <w:rFonts w:ascii="Times" w:eastAsia="Batang" w:hAnsi="Times"/>
          <w:bCs/>
          <w:lang w:val="en-US" w:eastAsia="zh-CN"/>
        </w:rPr>
      </w:pPr>
      <w:r w:rsidRPr="00AD0212">
        <w:rPr>
          <w:rFonts w:ascii="Times" w:eastAsia="Batang" w:hAnsi="Times"/>
          <w:bCs/>
          <w:lang w:val="en-US" w:eastAsia="zh-CN"/>
        </w:rPr>
        <w:t xml:space="preserve">From RAN1 perspective, at least the following QoS-related parameters relevant to physical layer studies are considered: </w:t>
      </w:r>
    </w:p>
    <w:p w:rsidR="00AD0212" w:rsidRPr="00AD0212" w:rsidRDefault="00AD0212" w:rsidP="00AD0212">
      <w:pPr>
        <w:numPr>
          <w:ilvl w:val="0"/>
          <w:numId w:val="15"/>
        </w:numPr>
        <w:spacing w:after="0"/>
        <w:rPr>
          <w:rFonts w:ascii="Times" w:eastAsia="Batang" w:hAnsi="Times"/>
          <w:bCs/>
          <w:lang w:val="en-US" w:eastAsia="zh-CN"/>
        </w:rPr>
      </w:pPr>
      <w:r w:rsidRPr="00AD0212">
        <w:rPr>
          <w:rFonts w:ascii="Times" w:eastAsia="Batang" w:hAnsi="Times"/>
          <w:bCs/>
          <w:lang w:val="en-US" w:eastAsia="zh-CN"/>
        </w:rPr>
        <w:t xml:space="preserve">Priority </w:t>
      </w:r>
    </w:p>
    <w:p w:rsidR="00AD0212" w:rsidRPr="00AD0212" w:rsidRDefault="00AD0212" w:rsidP="00AD0212">
      <w:pPr>
        <w:numPr>
          <w:ilvl w:val="0"/>
          <w:numId w:val="15"/>
        </w:numPr>
        <w:spacing w:after="0"/>
        <w:rPr>
          <w:rFonts w:ascii="Times" w:eastAsia="Batang" w:hAnsi="Times"/>
          <w:bCs/>
          <w:lang w:val="en-US" w:eastAsia="zh-CN"/>
        </w:rPr>
      </w:pPr>
      <w:r w:rsidRPr="00AD0212">
        <w:rPr>
          <w:rFonts w:ascii="Times" w:eastAsia="Batang" w:hAnsi="Times"/>
          <w:bCs/>
          <w:lang w:val="en-US" w:eastAsia="zh-CN"/>
        </w:rPr>
        <w:t>latency</w:t>
      </w:r>
    </w:p>
    <w:p w:rsidR="00AD0212" w:rsidRPr="00AD0212" w:rsidRDefault="00AD0212" w:rsidP="00AD0212">
      <w:pPr>
        <w:numPr>
          <w:ilvl w:val="0"/>
          <w:numId w:val="15"/>
        </w:numPr>
        <w:spacing w:after="0"/>
        <w:rPr>
          <w:rFonts w:ascii="Times" w:eastAsia="Batang" w:hAnsi="Times"/>
          <w:bCs/>
          <w:lang w:val="en-US" w:eastAsia="zh-CN"/>
        </w:rPr>
      </w:pPr>
      <w:r w:rsidRPr="00AD0212">
        <w:rPr>
          <w:rFonts w:ascii="Times" w:eastAsia="Batang" w:hAnsi="Times"/>
          <w:bCs/>
          <w:lang w:val="en-US" w:eastAsia="zh-CN"/>
        </w:rPr>
        <w:t>reliability</w:t>
      </w:r>
    </w:p>
    <w:p w:rsidR="00910515" w:rsidRDefault="00910515" w:rsidP="0058787A">
      <w:pPr>
        <w:spacing w:after="0"/>
        <w:rPr>
          <w:iCs/>
          <w:lang w:val="en-US" w:eastAsia="zh-CN"/>
        </w:rPr>
      </w:pPr>
    </w:p>
    <w:p w:rsidR="00AD0212" w:rsidRDefault="00AD0212" w:rsidP="0058787A">
      <w:pPr>
        <w:spacing w:after="0"/>
        <w:rPr>
          <w:iCs/>
          <w:lang w:val="en-US" w:eastAsia="zh-CN"/>
        </w:rPr>
      </w:pPr>
    </w:p>
    <w:p w:rsidR="00910515" w:rsidRDefault="00910515" w:rsidP="0058787A">
      <w:pPr>
        <w:spacing w:after="0"/>
        <w:rPr>
          <w:iCs/>
          <w:lang w:val="en-US" w:eastAsia="zh-CN"/>
        </w:rPr>
      </w:pPr>
    </w:p>
    <w:p w:rsidR="00AD0212" w:rsidRPr="00313E18" w:rsidRDefault="00AD0212" w:rsidP="0058787A">
      <w:pPr>
        <w:spacing w:after="0"/>
        <w:rPr>
          <w:iCs/>
          <w:lang w:val="en-US" w:eastAsia="zh-CN"/>
        </w:rPr>
      </w:pPr>
    </w:p>
    <w:p w:rsidR="000D2D9E" w:rsidRDefault="00014840"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3C3F5D" w:rsidRDefault="003C3F5D" w:rsidP="00014840">
      <w:pPr>
        <w:pStyle w:val="Heading2"/>
        <w:rPr>
          <w:lang w:val="en-US" w:eastAsia="zh-CN"/>
        </w:rPr>
      </w:pPr>
      <w:r>
        <w:rPr>
          <w:lang w:val="en-US" w:eastAsia="zh-CN"/>
        </w:rPr>
        <w:t>Recent SA Activity</w:t>
      </w:r>
    </w:p>
    <w:p w:rsidR="003C3F5D" w:rsidRDefault="003C3F5D" w:rsidP="003C3F5D">
      <w:pPr>
        <w:rPr>
          <w:lang w:val="en-US" w:eastAsia="zh-CN"/>
        </w:rPr>
      </w:pPr>
      <w:r>
        <w:rPr>
          <w:lang w:val="en-US" w:eastAsia="zh-CN"/>
        </w:rPr>
        <w:t xml:space="preserve">At the most recent TSG SA meeting, SP-81, </w:t>
      </w:r>
      <w:r w:rsidR="00BF4989">
        <w:rPr>
          <w:lang w:val="en-US" w:eastAsia="zh-CN"/>
        </w:rPr>
        <w:t xml:space="preserve">SA </w:t>
      </w:r>
      <w:r>
        <w:rPr>
          <w:lang w:val="en-US" w:eastAsia="zh-CN"/>
        </w:rPr>
        <w:t xml:space="preserve">agreed to add a new use case group to TR 22.886, called </w:t>
      </w:r>
      <w:r w:rsidRPr="003C3F5D">
        <w:rPr>
          <w:lang w:val="en-US" w:eastAsia="zh-CN"/>
        </w:rPr>
        <w:t>Vehicle quality of service support</w:t>
      </w:r>
      <w:r>
        <w:rPr>
          <w:lang w:val="en-US" w:eastAsia="zh-CN"/>
        </w:rPr>
        <w:t xml:space="preserve"> </w:t>
      </w:r>
      <w:r>
        <w:rPr>
          <w:lang w:val="en-US" w:eastAsia="zh-CN"/>
        </w:rPr>
        <w:fldChar w:fldCharType="begin"/>
      </w:r>
      <w:r>
        <w:rPr>
          <w:lang w:val="en-US" w:eastAsia="zh-CN"/>
        </w:rPr>
        <w:instrText xml:space="preserve"> REF _Ref525957255 \r \h </w:instrText>
      </w:r>
      <w:r>
        <w:rPr>
          <w:lang w:val="en-US" w:eastAsia="zh-CN"/>
        </w:rPr>
      </w:r>
      <w:r>
        <w:rPr>
          <w:lang w:val="en-US" w:eastAsia="zh-CN"/>
        </w:rPr>
        <w:fldChar w:fldCharType="separate"/>
      </w:r>
      <w:r w:rsidR="000D4447">
        <w:rPr>
          <w:cs/>
          <w:lang w:val="en-US" w:eastAsia="zh-CN"/>
        </w:rPr>
        <w:t>‎</w:t>
      </w:r>
      <w:r w:rsidR="000D4447">
        <w:rPr>
          <w:lang w:val="en-US" w:eastAsia="zh-CN"/>
        </w:rPr>
        <w:t>[4]</w:t>
      </w:r>
      <w:r>
        <w:rPr>
          <w:lang w:val="en-US" w:eastAsia="zh-CN"/>
        </w:rPr>
        <w:fldChar w:fldCharType="end"/>
      </w:r>
      <w:r>
        <w:rPr>
          <w:lang w:val="en-US" w:eastAsia="zh-CN"/>
        </w:rPr>
        <w:t>. The description of this use case group is the following:</w:t>
      </w:r>
    </w:p>
    <w:p w:rsidR="003C3F5D" w:rsidRPr="003C3F5D" w:rsidRDefault="003C3F5D" w:rsidP="003C3F5D">
      <w:pPr>
        <w:ind w:left="288"/>
        <w:rPr>
          <w:lang w:val="en-US" w:eastAsia="zh-CN"/>
        </w:rPr>
      </w:pPr>
      <w:r w:rsidRPr="003C3F5D">
        <w:rPr>
          <w:lang w:val="en-US" w:eastAsia="zh-CN"/>
        </w:rPr>
        <w:t>Vehicle quality of service support enables a V2X application to be notified of change of quality of service before actual change occurs and to enable the 3GPP System to modify the quality of service in line with V2X application’s quality of service needs. Based on the quality of service information, the V2X application can adapt behaviour to 3GPP System’s conditions. The benefit of this use case group are smoother user experience of service and increased safety.</w:t>
      </w:r>
    </w:p>
    <w:p w:rsidR="003C3F5D" w:rsidRDefault="003C3F5D" w:rsidP="003C3F5D">
      <w:pPr>
        <w:rPr>
          <w:lang w:val="en-US" w:eastAsia="zh-CN"/>
        </w:rPr>
      </w:pPr>
    </w:p>
    <w:p w:rsidR="003C3F5D" w:rsidRPr="003C3F5D" w:rsidRDefault="003C3F5D" w:rsidP="003C3F5D">
      <w:pPr>
        <w:rPr>
          <w:lang w:val="en-US" w:eastAsia="zh-CN"/>
        </w:rPr>
      </w:pPr>
    </w:p>
    <w:p w:rsidR="00022966" w:rsidRDefault="00014840" w:rsidP="004E39C5">
      <w:pPr>
        <w:pStyle w:val="Heading2"/>
        <w:rPr>
          <w:lang w:val="en-US" w:eastAsia="zh-CN"/>
        </w:rPr>
      </w:pPr>
      <w:r>
        <w:rPr>
          <w:lang w:val="en-US" w:eastAsia="zh-CN"/>
        </w:rPr>
        <w:t>QoS Parameters/Characteristics</w:t>
      </w:r>
      <w:r w:rsidR="005867B5">
        <w:rPr>
          <w:lang w:val="en-US" w:eastAsia="zh-CN"/>
        </w:rPr>
        <w:br/>
      </w:r>
      <w:r w:rsidR="001B0001">
        <w:rPr>
          <w:b/>
          <w:bCs/>
          <w:lang w:val="en-US" w:eastAsia="zh-CN"/>
        </w:rPr>
        <w:br/>
      </w:r>
    </w:p>
    <w:p w:rsidR="00022966" w:rsidRDefault="00022966" w:rsidP="004E39C5">
      <w:pPr>
        <w:pStyle w:val="Heading3"/>
        <w:rPr>
          <w:lang w:val="en-US" w:eastAsia="zh-CN"/>
        </w:rPr>
      </w:pPr>
      <w:r w:rsidRPr="00022966">
        <w:rPr>
          <w:lang w:val="en-US" w:eastAsia="zh-CN"/>
        </w:rPr>
        <w:t>Minimum communication range</w:t>
      </w:r>
      <w:r w:rsidR="00060EDC">
        <w:rPr>
          <w:lang w:val="en-US" w:eastAsia="zh-CN"/>
        </w:rPr>
        <w:t>/Target geographical area</w:t>
      </w:r>
    </w:p>
    <w:p w:rsidR="00060EDC" w:rsidRDefault="00060EDC" w:rsidP="00022966">
      <w:pPr>
        <w:rPr>
          <w:lang w:val="en-US" w:eastAsia="zh-CN"/>
        </w:rPr>
      </w:pPr>
      <w:r>
        <w:rPr>
          <w:lang w:val="en-US" w:eastAsia="zh-CN"/>
        </w:rPr>
        <w:t xml:space="preserve">At the most recent </w:t>
      </w:r>
      <w:r w:rsidR="00205CFC">
        <w:rPr>
          <w:lang w:val="en-US" w:eastAsia="zh-CN"/>
        </w:rPr>
        <w:t>RAN1 meeting there was some discussion about the role of “minimum communication range” in QoS. While it is debatable if “minimum communication range” is a QoS characteristic in its own right, it seems clear that at least for broadcast some geographical limitation is needed to qualify the QoS requirements; e.g. a reliability requirement for a broadcast transmission is not meaningful without also giving the area where the broadcast transmission has to be received with the given reliability, since it is obvious that reliability will tend to zero as distance tends towards infinity.</w:t>
      </w:r>
    </w:p>
    <w:p w:rsidR="00205CFC" w:rsidRDefault="00205CFC" w:rsidP="00022966">
      <w:pPr>
        <w:rPr>
          <w:lang w:val="en-US" w:eastAsia="zh-CN"/>
        </w:rPr>
      </w:pPr>
    </w:p>
    <w:p w:rsidR="00205CFC" w:rsidRDefault="00205CFC" w:rsidP="00205CFC">
      <w:pPr>
        <w:rPr>
          <w:lang w:val="en-US" w:eastAsia="zh-CN"/>
        </w:rPr>
      </w:pPr>
      <w:bookmarkStart w:id="0" w:name="Obs_Range"/>
      <w:r>
        <w:rPr>
          <w:b/>
          <w:bCs/>
          <w:lang w:val="en-US" w:eastAsia="zh-CN"/>
        </w:rPr>
        <w:t xml:space="preserve">Observation </w:t>
      </w:r>
      <w:r>
        <w:rPr>
          <w:b/>
          <w:bCs/>
          <w:lang w:val="en-US" w:eastAsia="zh-CN"/>
        </w:rPr>
        <w:fldChar w:fldCharType="begin"/>
      </w:r>
      <w:r>
        <w:rPr>
          <w:b/>
          <w:bCs/>
          <w:lang w:val="en-US" w:eastAsia="zh-CN"/>
        </w:rPr>
        <w:instrText xml:space="preserve"> SEQ Observation \* Arabic </w:instrText>
      </w:r>
      <w:r>
        <w:rPr>
          <w:b/>
          <w:bCs/>
          <w:lang w:val="en-US" w:eastAsia="zh-CN"/>
        </w:rPr>
        <w:fldChar w:fldCharType="separate"/>
      </w:r>
      <w:r w:rsidR="000D4447">
        <w:rPr>
          <w:b/>
          <w:bCs/>
          <w:noProof/>
          <w:lang w:val="en-US" w:eastAsia="zh-CN"/>
        </w:rPr>
        <w:t>1</w:t>
      </w:r>
      <w:r>
        <w:rPr>
          <w:b/>
          <w:bCs/>
          <w:lang w:val="en-US" w:eastAsia="zh-CN"/>
        </w:rPr>
        <w:fldChar w:fldCharType="end"/>
      </w:r>
      <w:r w:rsidRPr="00283C34">
        <w:rPr>
          <w:b/>
          <w:bCs/>
          <w:lang w:val="en-US" w:eastAsia="zh-CN"/>
        </w:rPr>
        <w:t xml:space="preserve">: </w:t>
      </w:r>
      <w:r w:rsidR="007F2DB2">
        <w:rPr>
          <w:b/>
          <w:bCs/>
          <w:lang w:val="en-US" w:eastAsia="zh-CN"/>
        </w:rPr>
        <w:t>Communication range/target geographical area is required to qualify QoS characteristics such as reliability at least for broadcast transmissions.</w:t>
      </w:r>
    </w:p>
    <w:bookmarkEnd w:id="0"/>
    <w:p w:rsidR="00DF59E9" w:rsidRDefault="00DF59E9" w:rsidP="00022966">
      <w:pPr>
        <w:rPr>
          <w:lang w:val="en-US" w:eastAsia="zh-CN"/>
        </w:rPr>
      </w:pPr>
    </w:p>
    <w:p w:rsidR="00DF59E9" w:rsidRDefault="00DF59E9" w:rsidP="00022966">
      <w:pPr>
        <w:rPr>
          <w:lang w:val="en-US" w:eastAsia="zh-CN"/>
        </w:rPr>
      </w:pPr>
      <w:r>
        <w:rPr>
          <w:lang w:val="en-US" w:eastAsia="zh-CN"/>
        </w:rPr>
        <w:t xml:space="preserve">ETSI TC ITS has defined </w:t>
      </w:r>
      <w:r w:rsidRPr="00DF59E9">
        <w:rPr>
          <w:lang w:val="en-US" w:eastAsia="zh-CN"/>
        </w:rPr>
        <w:t>GeoNetworking</w:t>
      </w:r>
      <w:r w:rsidR="002B0B34">
        <w:rPr>
          <w:lang w:val="en-US" w:eastAsia="zh-CN"/>
        </w:rPr>
        <w:t xml:space="preserve">, which defines </w:t>
      </w:r>
      <w:r w:rsidR="002B0B34" w:rsidRPr="002B0B34">
        <w:rPr>
          <w:lang w:val="en-US" w:eastAsia="zh-CN"/>
        </w:rPr>
        <w:t>geographically-scoped</w:t>
      </w:r>
      <w:r w:rsidR="002B0B34">
        <w:rPr>
          <w:lang w:val="en-US" w:eastAsia="zh-CN"/>
        </w:rPr>
        <w:t xml:space="preserve"> transmissions: the destination address for a “GeoBroadcast” transmission is a geographical area, specified e.g. as a circular or rectangular area. </w:t>
      </w:r>
    </w:p>
    <w:p w:rsidR="002B0B34" w:rsidRDefault="002B0B34" w:rsidP="002B0B34">
      <w:pPr>
        <w:rPr>
          <w:lang w:val="en-US" w:eastAsia="zh-CN"/>
        </w:rPr>
      </w:pPr>
      <w:r>
        <w:rPr>
          <w:lang w:val="en-US" w:eastAsia="zh-CN"/>
        </w:rPr>
        <w:t>Such a t</w:t>
      </w:r>
      <w:r w:rsidR="00022966" w:rsidRPr="00022966">
        <w:rPr>
          <w:lang w:val="en-US" w:eastAsia="zh-CN"/>
        </w:rPr>
        <w:t xml:space="preserve">arget geographical area is more general </w:t>
      </w:r>
      <w:r>
        <w:rPr>
          <w:lang w:val="en-US" w:eastAsia="zh-CN"/>
        </w:rPr>
        <w:t>concept than communication range:</w:t>
      </w:r>
    </w:p>
    <w:p w:rsidR="00CE59D8" w:rsidRPr="005867B5" w:rsidRDefault="00022966" w:rsidP="002B0B34">
      <w:pPr>
        <w:rPr>
          <w:lang w:val="en-US" w:eastAsia="zh-CN"/>
        </w:rPr>
      </w:pPr>
      <w:r w:rsidRPr="00022966">
        <w:rPr>
          <w:lang w:val="en-US" w:eastAsia="zh-CN"/>
        </w:rPr>
        <w:t>If higher layer requests geocast (e.g. ETSI ITS GeoNetworking) then the geographical area should be provided, range is not sufficient. If the higher layer does not request geocast but provides a communication range then the “Target geographical area” can be a circle with radius set to the communication range and cent</w:t>
      </w:r>
      <w:r w:rsidR="002B0B34">
        <w:rPr>
          <w:lang w:val="en-US" w:eastAsia="zh-CN"/>
        </w:rPr>
        <w:t>e</w:t>
      </w:r>
      <w:r w:rsidRPr="00022966">
        <w:rPr>
          <w:lang w:val="en-US" w:eastAsia="zh-CN"/>
        </w:rPr>
        <w:t>red on the vehicle.</w:t>
      </w:r>
    </w:p>
    <w:p w:rsidR="00160F26" w:rsidRDefault="00160F26" w:rsidP="001562FD">
      <w:pPr>
        <w:rPr>
          <w:b/>
          <w:bCs/>
          <w:lang w:val="en-US" w:eastAsia="zh-CN"/>
        </w:rPr>
      </w:pPr>
      <w:bookmarkStart w:id="1" w:name="P_Filter"/>
    </w:p>
    <w:p w:rsidR="00D65420" w:rsidRDefault="002B0B34" w:rsidP="001562FD">
      <w:pPr>
        <w:rPr>
          <w:b/>
          <w:bCs/>
          <w:lang w:val="en-US" w:eastAsia="zh-CN"/>
        </w:rPr>
      </w:pPr>
      <w:bookmarkStart w:id="2" w:name="P_Range"/>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D4447">
        <w:rPr>
          <w:b/>
          <w:bCs/>
          <w:noProof/>
          <w:lang w:val="en-US" w:eastAsia="zh-CN"/>
        </w:rPr>
        <w:t>1</w:t>
      </w:r>
      <w:r>
        <w:rPr>
          <w:b/>
          <w:bCs/>
          <w:lang w:val="en-US" w:eastAsia="zh-CN"/>
        </w:rPr>
        <w:fldChar w:fldCharType="end"/>
      </w:r>
      <w:r w:rsidRPr="00283C34">
        <w:rPr>
          <w:b/>
          <w:bCs/>
          <w:lang w:val="en-US" w:eastAsia="zh-CN"/>
        </w:rPr>
        <w:t xml:space="preserve">: </w:t>
      </w:r>
      <w:bookmarkEnd w:id="1"/>
      <w:r w:rsidR="00160F26">
        <w:rPr>
          <w:b/>
          <w:bCs/>
          <w:lang w:val="en-US" w:eastAsia="zh-CN"/>
        </w:rPr>
        <w:t>Study “target geographical area” as QoS qualifier at least for broadcast transmissions.</w:t>
      </w:r>
    </w:p>
    <w:bookmarkEnd w:id="2"/>
    <w:p w:rsidR="002B0B34" w:rsidRDefault="002B0B34" w:rsidP="001562FD">
      <w:pPr>
        <w:rPr>
          <w:lang w:val="en-US" w:eastAsia="zh-CN"/>
        </w:rPr>
      </w:pPr>
    </w:p>
    <w:p w:rsidR="0037523A" w:rsidRDefault="00014840" w:rsidP="00014840">
      <w:pPr>
        <w:pStyle w:val="Heading2"/>
        <w:rPr>
          <w:lang w:val="en-US" w:eastAsia="zh-CN"/>
        </w:rPr>
      </w:pPr>
      <w:r>
        <w:rPr>
          <w:lang w:val="en-US" w:eastAsia="zh-CN"/>
        </w:rPr>
        <w:t>QoS-related Metrics/Measurements</w:t>
      </w:r>
    </w:p>
    <w:p w:rsidR="0037523A" w:rsidRDefault="007E6314" w:rsidP="007E6314">
      <w:pPr>
        <w:pStyle w:val="Heading3"/>
        <w:rPr>
          <w:lang w:val="en-US" w:eastAsia="zh-CN"/>
        </w:rPr>
      </w:pPr>
      <w:r>
        <w:rPr>
          <w:lang w:val="en-US" w:eastAsia="zh-CN"/>
        </w:rPr>
        <w:t>Congestion</w:t>
      </w:r>
    </w:p>
    <w:p w:rsidR="007A3EA4" w:rsidRDefault="007E6314" w:rsidP="007E6314">
      <w:pPr>
        <w:rPr>
          <w:lang w:val="en-US" w:eastAsia="zh-CN"/>
        </w:rPr>
      </w:pPr>
      <w:r>
        <w:rPr>
          <w:lang w:val="en-US" w:eastAsia="zh-CN"/>
        </w:rPr>
        <w:t xml:space="preserve">Regional regulation may require UEs to support sidelink congestion control. E.g. ETSI TC ITS has defined </w:t>
      </w:r>
      <w:r w:rsidRPr="007E6314">
        <w:rPr>
          <w:lang w:val="en-US" w:eastAsia="zh-CN"/>
        </w:rPr>
        <w:t>decentralised congestion control</w:t>
      </w:r>
      <w:r>
        <w:rPr>
          <w:lang w:val="en-US" w:eastAsia="zh-CN"/>
        </w:rPr>
        <w:t xml:space="preserve"> (DCC); under European regulations ITS stations need to perform DCC on ITS carriers (e.g. 5.9 GHz). </w:t>
      </w:r>
    </w:p>
    <w:p w:rsidR="007E6314" w:rsidRPr="00FC58B1" w:rsidRDefault="007E6314" w:rsidP="007E6314">
      <w:pPr>
        <w:rPr>
          <w:lang w:val="en-US" w:eastAsia="zh-CN"/>
        </w:rPr>
      </w:pPr>
      <w:r>
        <w:rPr>
          <w:lang w:val="en-US" w:eastAsia="zh-CN"/>
        </w:rPr>
        <w:t>The congestion metric used in the ETSI TC ITS framework is CBR (channel busy ratio). The same metric</w:t>
      </w:r>
      <w:r w:rsidR="00E22A34">
        <w:rPr>
          <w:lang w:val="en-US" w:eastAsia="zh-CN"/>
        </w:rPr>
        <w:t>, generalized to LTE sidelink,</w:t>
      </w:r>
      <w:r>
        <w:rPr>
          <w:lang w:val="en-US" w:eastAsia="zh-CN"/>
        </w:rPr>
        <w:t xml:space="preserve"> has been adopted for LTE sidelink-based V2X. </w:t>
      </w:r>
      <w:r w:rsidR="00160F26">
        <w:rPr>
          <w:lang w:val="en-US" w:eastAsia="zh-CN"/>
        </w:rPr>
        <w:t xml:space="preserve">It seems sensible to adopt the same </w:t>
      </w:r>
      <w:r w:rsidR="00160F26">
        <w:rPr>
          <w:lang w:val="en-US" w:eastAsia="zh-CN"/>
        </w:rPr>
        <w:lastRenderedPageBreak/>
        <w:t>metric for NR sidelink-based V2X to demonstrate regulatory compliance. Further refined congestion metrics can of course be studied.</w:t>
      </w:r>
    </w:p>
    <w:p w:rsidR="0010510D" w:rsidRDefault="0010510D" w:rsidP="005E2BEC">
      <w:pPr>
        <w:rPr>
          <w:lang w:eastAsia="zh-CN"/>
        </w:rPr>
      </w:pPr>
      <w:bookmarkStart w:id="3" w:name="_GoBack"/>
      <w:bookmarkEnd w:id="3"/>
    </w:p>
    <w:p w:rsidR="00160F26" w:rsidRDefault="00160F26" w:rsidP="00160F26">
      <w:pPr>
        <w:rPr>
          <w:b/>
          <w:bCs/>
          <w:lang w:val="en-US" w:eastAsia="zh-CN"/>
        </w:rPr>
      </w:pPr>
      <w:bookmarkStart w:id="4" w:name="P_CB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D4447">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 xml:space="preserve">Support at least CBR as congestion metric. </w:t>
      </w:r>
    </w:p>
    <w:bookmarkEnd w:id="4"/>
    <w:p w:rsidR="00160F26" w:rsidRPr="00160F26" w:rsidRDefault="00160F26" w:rsidP="005E2BEC">
      <w:pPr>
        <w:rPr>
          <w:lang w:val="en-US"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4E39C5">
        <w:rPr>
          <w:lang w:val="en-US"/>
        </w:rPr>
        <w:t>QoS management for NR-based V2X and make the following observations and proposals:</w:t>
      </w:r>
    </w:p>
    <w:p w:rsidR="000D4447" w:rsidRDefault="007333E9" w:rsidP="00205CFC">
      <w:pPr>
        <w:rPr>
          <w:lang w:val="en-US" w:eastAsia="zh-CN"/>
        </w:rPr>
      </w:pPr>
      <w:r>
        <w:rPr>
          <w:lang w:eastAsia="zh-CN"/>
        </w:rPr>
        <w:fldChar w:fldCharType="begin"/>
      </w:r>
      <w:r>
        <w:rPr>
          <w:lang w:eastAsia="zh-CN"/>
        </w:rPr>
        <w:instrText xml:space="preserve"> REF Obs_Range \h </w:instrText>
      </w:r>
      <w:r>
        <w:rPr>
          <w:lang w:eastAsia="zh-CN"/>
        </w:rPr>
      </w:r>
      <w:r>
        <w:rPr>
          <w:lang w:eastAsia="zh-CN"/>
        </w:rPr>
        <w:fldChar w:fldCharType="separate"/>
      </w:r>
      <w:r w:rsidR="000D4447">
        <w:rPr>
          <w:b/>
          <w:bCs/>
          <w:lang w:val="en-US" w:eastAsia="zh-CN"/>
        </w:rPr>
        <w:t xml:space="preserve">Observation </w:t>
      </w:r>
      <w:r w:rsidR="000D4447">
        <w:rPr>
          <w:b/>
          <w:bCs/>
          <w:noProof/>
          <w:lang w:val="en-US" w:eastAsia="zh-CN"/>
        </w:rPr>
        <w:t>1</w:t>
      </w:r>
      <w:r w:rsidR="000D4447" w:rsidRPr="00283C34">
        <w:rPr>
          <w:b/>
          <w:bCs/>
          <w:lang w:val="en-US" w:eastAsia="zh-CN"/>
        </w:rPr>
        <w:t xml:space="preserve">: </w:t>
      </w:r>
      <w:r w:rsidR="000D4447">
        <w:rPr>
          <w:b/>
          <w:bCs/>
          <w:lang w:val="en-US" w:eastAsia="zh-CN"/>
        </w:rPr>
        <w:t>Communication range/target geographical area is required to qualify QoS characteristics such as reliability at least for broadcast transmissions.</w:t>
      </w:r>
    </w:p>
    <w:p w:rsidR="000D4447" w:rsidRDefault="007333E9" w:rsidP="001562FD">
      <w:pPr>
        <w:rPr>
          <w:b/>
          <w:bCs/>
          <w:lang w:val="en-US" w:eastAsia="zh-CN"/>
        </w:rPr>
      </w:pPr>
      <w:r>
        <w:rPr>
          <w:lang w:eastAsia="zh-CN"/>
        </w:rPr>
        <w:fldChar w:fldCharType="end"/>
      </w:r>
      <w:r>
        <w:rPr>
          <w:lang w:eastAsia="zh-CN"/>
        </w:rPr>
        <w:fldChar w:fldCharType="begin"/>
      </w:r>
      <w:r>
        <w:rPr>
          <w:lang w:eastAsia="zh-CN"/>
        </w:rPr>
        <w:instrText xml:space="preserve"> REF P_Range \h </w:instrText>
      </w:r>
      <w:r>
        <w:rPr>
          <w:lang w:eastAsia="zh-CN"/>
        </w:rPr>
      </w:r>
      <w:r>
        <w:rPr>
          <w:lang w:eastAsia="zh-CN"/>
        </w:rPr>
        <w:fldChar w:fldCharType="separate"/>
      </w:r>
      <w:r w:rsidR="000D4447" w:rsidRPr="00283C34">
        <w:rPr>
          <w:b/>
          <w:bCs/>
          <w:lang w:val="en-US" w:eastAsia="zh-CN"/>
        </w:rPr>
        <w:t>Proposal</w:t>
      </w:r>
      <w:r w:rsidR="000D4447">
        <w:rPr>
          <w:b/>
          <w:bCs/>
          <w:lang w:val="en-US" w:eastAsia="zh-CN"/>
        </w:rPr>
        <w:t xml:space="preserve"> </w:t>
      </w:r>
      <w:r w:rsidR="000D4447">
        <w:rPr>
          <w:b/>
          <w:bCs/>
          <w:noProof/>
          <w:lang w:val="en-US" w:eastAsia="zh-CN"/>
        </w:rPr>
        <w:t>1</w:t>
      </w:r>
      <w:r w:rsidR="000D4447" w:rsidRPr="00283C34">
        <w:rPr>
          <w:b/>
          <w:bCs/>
          <w:lang w:val="en-US" w:eastAsia="zh-CN"/>
        </w:rPr>
        <w:t xml:space="preserve">: </w:t>
      </w:r>
      <w:r w:rsidR="000D4447">
        <w:rPr>
          <w:b/>
          <w:bCs/>
          <w:lang w:val="en-US" w:eastAsia="zh-CN"/>
        </w:rPr>
        <w:t>Study “target geographical area” as QoS qualifier at least for broadcast transmissions.</w:t>
      </w:r>
    </w:p>
    <w:p w:rsidR="000D4447" w:rsidRDefault="007333E9" w:rsidP="00160F26">
      <w:pPr>
        <w:rPr>
          <w:b/>
          <w:bCs/>
          <w:lang w:val="en-US" w:eastAsia="zh-CN"/>
        </w:rPr>
      </w:pPr>
      <w:r>
        <w:rPr>
          <w:lang w:eastAsia="zh-CN"/>
        </w:rPr>
        <w:fldChar w:fldCharType="end"/>
      </w:r>
      <w:r>
        <w:rPr>
          <w:lang w:eastAsia="zh-CN"/>
        </w:rPr>
        <w:fldChar w:fldCharType="begin"/>
      </w:r>
      <w:r>
        <w:rPr>
          <w:lang w:eastAsia="zh-CN"/>
        </w:rPr>
        <w:instrText xml:space="preserve"> REF P_CBR \h </w:instrText>
      </w:r>
      <w:r>
        <w:rPr>
          <w:lang w:eastAsia="zh-CN"/>
        </w:rPr>
      </w:r>
      <w:r>
        <w:rPr>
          <w:lang w:eastAsia="zh-CN"/>
        </w:rPr>
        <w:fldChar w:fldCharType="separate"/>
      </w:r>
      <w:r w:rsidR="000D4447" w:rsidRPr="00283C34">
        <w:rPr>
          <w:b/>
          <w:bCs/>
          <w:lang w:val="en-US" w:eastAsia="zh-CN"/>
        </w:rPr>
        <w:t>Proposal</w:t>
      </w:r>
      <w:r w:rsidR="000D4447">
        <w:rPr>
          <w:b/>
          <w:bCs/>
          <w:lang w:val="en-US" w:eastAsia="zh-CN"/>
        </w:rPr>
        <w:t xml:space="preserve"> </w:t>
      </w:r>
      <w:r w:rsidR="000D4447">
        <w:rPr>
          <w:b/>
          <w:bCs/>
          <w:noProof/>
          <w:lang w:val="en-US" w:eastAsia="zh-CN"/>
        </w:rPr>
        <w:t>2</w:t>
      </w:r>
      <w:r w:rsidR="000D4447" w:rsidRPr="00283C34">
        <w:rPr>
          <w:b/>
          <w:bCs/>
          <w:lang w:val="en-US" w:eastAsia="zh-CN"/>
        </w:rPr>
        <w:t xml:space="preserve">: </w:t>
      </w:r>
      <w:r w:rsidR="000D4447">
        <w:rPr>
          <w:b/>
          <w:bCs/>
          <w:lang w:val="en-US" w:eastAsia="zh-CN"/>
        </w:rPr>
        <w:t xml:space="preserve">Support at least CBR as congestion metric. </w:t>
      </w:r>
    </w:p>
    <w:p w:rsidR="0070042A" w:rsidRPr="006307C2" w:rsidRDefault="007333E9" w:rsidP="005E2BEC">
      <w:pPr>
        <w:rPr>
          <w:lang w:eastAsia="zh-CN"/>
        </w:rPr>
      </w:pPr>
      <w:r>
        <w:rPr>
          <w:lang w:eastAsia="zh-CN"/>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rPr>
          <w:lang w:val="en-US" w:eastAsia="zh-CN"/>
        </w:rPr>
      </w:pPr>
      <w:bookmarkStart w:id="5" w:name="_Ref513823147"/>
      <w:r w:rsidRPr="00D7316B">
        <w:rPr>
          <w:lang w:val="en-US" w:eastAsia="zh-CN"/>
        </w:rPr>
        <w:t>RP-182111</w:t>
      </w:r>
      <w:r w:rsidR="00A65F11">
        <w:rPr>
          <w:lang w:val="en-US" w:eastAsia="zh-CN"/>
        </w:rPr>
        <w:t>, “</w:t>
      </w:r>
      <w:bookmarkEnd w:id="5"/>
      <w:r>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bookmarkStart w:id="6" w:name="_Ref525901888"/>
      <w:r>
        <w:rPr>
          <w:rFonts w:hint="eastAsia"/>
          <w:lang w:eastAsia="zh-CN"/>
        </w:rPr>
        <w:t>RAN1#9</w:t>
      </w:r>
      <w:r>
        <w:rPr>
          <w:lang w:eastAsia="zh-CN"/>
        </w:rPr>
        <w:t>4</w:t>
      </w:r>
      <w:r>
        <w:rPr>
          <w:rFonts w:hint="eastAsia"/>
          <w:lang w:eastAsia="zh-CN"/>
        </w:rPr>
        <w:t xml:space="preserve"> chairman notes</w:t>
      </w:r>
      <w:bookmarkEnd w:id="6"/>
    </w:p>
    <w:p w:rsidR="003C3F5D" w:rsidRDefault="003C3F5D" w:rsidP="003C3F5D">
      <w:pPr>
        <w:numPr>
          <w:ilvl w:val="0"/>
          <w:numId w:val="2"/>
        </w:numPr>
      </w:pPr>
      <w:bookmarkStart w:id="7" w:name="_Ref525957255"/>
      <w:r w:rsidRPr="003C3F5D">
        <w:t>S1-182734</w:t>
      </w:r>
      <w:r>
        <w:t xml:space="preserve">, </w:t>
      </w:r>
      <w:r w:rsidRPr="003C3F5D">
        <w:t>Consolidated requirements for FS_V2XIMP</w:t>
      </w:r>
      <w:bookmarkEnd w:id="7"/>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9A4" w:rsidRDefault="006F19A4">
      <w:r>
        <w:separator/>
      </w:r>
    </w:p>
  </w:endnote>
  <w:endnote w:type="continuationSeparator" w:id="0">
    <w:p w:rsidR="006F19A4" w:rsidRDefault="006F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9A4" w:rsidRDefault="006F19A4">
      <w:r>
        <w:separator/>
      </w:r>
    </w:p>
  </w:footnote>
  <w:footnote w:type="continuationSeparator" w:id="0">
    <w:p w:rsidR="006F19A4" w:rsidRDefault="006F1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E28C8"/>
    <w:multiLevelType w:val="hybridMultilevel"/>
    <w:tmpl w:val="5576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1"/>
  </w:num>
  <w:num w:numId="6">
    <w:abstractNumId w:val="2"/>
  </w:num>
  <w:num w:numId="7">
    <w:abstractNumId w:val="13"/>
  </w:num>
  <w:num w:numId="8">
    <w:abstractNumId w:val="6"/>
  </w:num>
  <w:num w:numId="9">
    <w:abstractNumId w:val="7"/>
  </w:num>
  <w:num w:numId="10">
    <w:abstractNumId w:val="10"/>
  </w:num>
  <w:num w:numId="11">
    <w:abstractNumId w:val="15"/>
  </w:num>
  <w:num w:numId="12">
    <w:abstractNumId w:val="16"/>
  </w:num>
  <w:num w:numId="13">
    <w:abstractNumId w:val="12"/>
  </w:num>
  <w:num w:numId="14">
    <w:abstractNumId w:val="1"/>
  </w:num>
  <w:num w:numId="15">
    <w:abstractNumId w:val="14"/>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84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2966"/>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EDC"/>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47"/>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0F2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5CFC"/>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2FD"/>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B34"/>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88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3F5D"/>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475E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9C5"/>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439"/>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9A4"/>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E9"/>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58CB"/>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314"/>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2"/>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AFD"/>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3D03"/>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A7"/>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75A"/>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12"/>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F26"/>
    <w:rsid w:val="00BF220D"/>
    <w:rsid w:val="00BF2372"/>
    <w:rsid w:val="00BF2817"/>
    <w:rsid w:val="00BF2A39"/>
    <w:rsid w:val="00BF2F3D"/>
    <w:rsid w:val="00BF31CB"/>
    <w:rsid w:val="00BF33B8"/>
    <w:rsid w:val="00BF3B91"/>
    <w:rsid w:val="00BF3C10"/>
    <w:rsid w:val="00BF3DCE"/>
    <w:rsid w:val="00BF3FFA"/>
    <w:rsid w:val="00BF46F1"/>
    <w:rsid w:val="00BF47D7"/>
    <w:rsid w:val="00BF4989"/>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68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042"/>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9E9"/>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34"/>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C1F"/>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33"/>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52E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2889"/>
    <w:pPr>
      <w:spacing w:after="160" w:line="259" w:lineRule="auto"/>
    </w:pPr>
    <w:rPr>
      <w:rFonts w:ascii="Calibri" w:eastAsia="Calibri" w:hAnsi="Calibri" w:cs="Arial"/>
      <w:sz w:val="22"/>
      <w:szCs w:val="22"/>
      <w:lang w:eastAsia="en-US"/>
    </w:rPr>
  </w:style>
  <w:style w:type="paragraph" w:styleId="Heading1">
    <w:name w:val="heading 1"/>
    <w:next w:val="Normal"/>
    <w:link w:val="Heading1Char1"/>
    <w:qFormat/>
    <w:rsid w:val="00E22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E22A34"/>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22A34"/>
    <w:pPr>
      <w:spacing w:before="120"/>
      <w:outlineLvl w:val="2"/>
    </w:pPr>
    <w:rPr>
      <w:sz w:val="28"/>
      <w:szCs w:val="28"/>
    </w:rPr>
  </w:style>
  <w:style w:type="paragraph" w:styleId="Heading4">
    <w:name w:val="heading 4"/>
    <w:aliases w:val="h4"/>
    <w:basedOn w:val="Heading3"/>
    <w:next w:val="Normal"/>
    <w:link w:val="Heading4Char"/>
    <w:qFormat/>
    <w:rsid w:val="00E22A34"/>
    <w:pPr>
      <w:ind w:left="1418" w:hanging="1418"/>
      <w:outlineLvl w:val="3"/>
    </w:pPr>
    <w:rPr>
      <w:sz w:val="24"/>
      <w:szCs w:val="24"/>
    </w:rPr>
  </w:style>
  <w:style w:type="paragraph" w:styleId="Heading5">
    <w:name w:val="heading 5"/>
    <w:basedOn w:val="Heading4"/>
    <w:next w:val="Normal"/>
    <w:link w:val="Heading5Char"/>
    <w:qFormat/>
    <w:rsid w:val="00E22A34"/>
    <w:pPr>
      <w:ind w:left="1701" w:hanging="1701"/>
      <w:outlineLvl w:val="4"/>
    </w:pPr>
    <w:rPr>
      <w:sz w:val="22"/>
      <w:szCs w:val="22"/>
    </w:rPr>
  </w:style>
  <w:style w:type="paragraph" w:styleId="Heading6">
    <w:name w:val="heading 6"/>
    <w:basedOn w:val="H6"/>
    <w:next w:val="Normal"/>
    <w:qFormat/>
    <w:rsid w:val="00E22A34"/>
    <w:pPr>
      <w:outlineLvl w:val="5"/>
    </w:pPr>
  </w:style>
  <w:style w:type="paragraph" w:styleId="Heading7">
    <w:name w:val="heading 7"/>
    <w:basedOn w:val="H6"/>
    <w:next w:val="Normal"/>
    <w:qFormat/>
    <w:rsid w:val="00E22A34"/>
    <w:pPr>
      <w:outlineLvl w:val="6"/>
    </w:pPr>
  </w:style>
  <w:style w:type="paragraph" w:styleId="Heading8">
    <w:name w:val="heading 8"/>
    <w:basedOn w:val="Heading1"/>
    <w:next w:val="Normal"/>
    <w:qFormat/>
    <w:rsid w:val="00E22A34"/>
    <w:pPr>
      <w:ind w:left="0" w:firstLine="0"/>
      <w:outlineLvl w:val="7"/>
    </w:pPr>
  </w:style>
  <w:style w:type="paragraph" w:styleId="Heading9">
    <w:name w:val="heading 9"/>
    <w:basedOn w:val="Heading8"/>
    <w:next w:val="Normal"/>
    <w:qFormat/>
    <w:rsid w:val="00E22A34"/>
    <w:pPr>
      <w:outlineLvl w:val="8"/>
    </w:pPr>
  </w:style>
  <w:style w:type="character" w:default="1" w:styleId="DefaultParagraphFont">
    <w:name w:val="Default Paragraph Font"/>
    <w:uiPriority w:val="1"/>
    <w:semiHidden/>
    <w:unhideWhenUsed/>
    <w:rsid w:val="003128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2889"/>
  </w:style>
  <w:style w:type="paragraph" w:styleId="TOC8">
    <w:name w:val="toc 8"/>
    <w:basedOn w:val="TOC1"/>
    <w:semiHidden/>
    <w:rsid w:val="00E22A34"/>
    <w:pPr>
      <w:spacing w:before="180"/>
      <w:ind w:left="2693" w:hanging="2693"/>
    </w:pPr>
    <w:rPr>
      <w:b/>
      <w:bCs/>
    </w:rPr>
  </w:style>
  <w:style w:type="paragraph" w:styleId="TOC1">
    <w:name w:val="toc 1"/>
    <w:semiHidden/>
    <w:rsid w:val="00E22A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E22A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E22A34"/>
    <w:pPr>
      <w:ind w:left="1701" w:hanging="1701"/>
    </w:pPr>
  </w:style>
  <w:style w:type="paragraph" w:styleId="TOC4">
    <w:name w:val="toc 4"/>
    <w:basedOn w:val="TOC3"/>
    <w:semiHidden/>
    <w:rsid w:val="00E22A34"/>
    <w:pPr>
      <w:ind w:left="1418" w:hanging="1418"/>
    </w:pPr>
  </w:style>
  <w:style w:type="paragraph" w:styleId="TOC3">
    <w:name w:val="toc 3"/>
    <w:basedOn w:val="TOC2"/>
    <w:semiHidden/>
    <w:rsid w:val="00E22A34"/>
    <w:pPr>
      <w:ind w:left="1134" w:hanging="1134"/>
    </w:pPr>
  </w:style>
  <w:style w:type="paragraph" w:styleId="TOC2">
    <w:name w:val="toc 2"/>
    <w:basedOn w:val="TOC1"/>
    <w:semiHidden/>
    <w:rsid w:val="00E22A34"/>
    <w:pPr>
      <w:keepNext w:val="0"/>
      <w:spacing w:before="0"/>
      <w:ind w:left="851" w:hanging="851"/>
    </w:pPr>
    <w:rPr>
      <w:sz w:val="20"/>
      <w:szCs w:val="20"/>
    </w:rPr>
  </w:style>
  <w:style w:type="paragraph" w:styleId="Index2">
    <w:name w:val="index 2"/>
    <w:basedOn w:val="Index1"/>
    <w:semiHidden/>
    <w:rsid w:val="00E22A34"/>
    <w:pPr>
      <w:ind w:left="284"/>
    </w:pPr>
  </w:style>
  <w:style w:type="paragraph" w:styleId="Index1">
    <w:name w:val="index 1"/>
    <w:basedOn w:val="Normal"/>
    <w:semiHidden/>
    <w:rsid w:val="00E22A34"/>
    <w:pPr>
      <w:keepLines/>
      <w:spacing w:after="0"/>
    </w:pPr>
  </w:style>
  <w:style w:type="paragraph" w:customStyle="1" w:styleId="ZH">
    <w:name w:val="ZH"/>
    <w:rsid w:val="00E22A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E22A34"/>
    <w:pPr>
      <w:outlineLvl w:val="9"/>
    </w:pPr>
  </w:style>
  <w:style w:type="paragraph" w:styleId="ListNumber2">
    <w:name w:val="List Number 2"/>
    <w:basedOn w:val="ListNumber"/>
    <w:rsid w:val="00E22A3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2A34"/>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E22A34"/>
    <w:rPr>
      <w:b/>
      <w:bCs/>
      <w:position w:val="6"/>
      <w:sz w:val="16"/>
      <w:szCs w:val="16"/>
    </w:rPr>
  </w:style>
  <w:style w:type="paragraph" w:styleId="FootnoteText">
    <w:name w:val="footnote text"/>
    <w:basedOn w:val="Normal"/>
    <w:semiHidden/>
    <w:rsid w:val="00E22A34"/>
    <w:pPr>
      <w:keepLines/>
      <w:spacing w:after="0"/>
      <w:ind w:left="454" w:hanging="454"/>
    </w:pPr>
    <w:rPr>
      <w:sz w:val="16"/>
      <w:szCs w:val="16"/>
    </w:rPr>
  </w:style>
  <w:style w:type="paragraph" w:customStyle="1" w:styleId="TAH">
    <w:name w:val="TAH"/>
    <w:basedOn w:val="TAC"/>
    <w:rsid w:val="00E22A34"/>
    <w:rPr>
      <w:b/>
      <w:bCs/>
    </w:rPr>
  </w:style>
  <w:style w:type="paragraph" w:customStyle="1" w:styleId="TAC">
    <w:name w:val="TAC"/>
    <w:basedOn w:val="TAL"/>
    <w:link w:val="TACChar"/>
    <w:rsid w:val="00E22A34"/>
    <w:pPr>
      <w:jc w:val="center"/>
    </w:pPr>
  </w:style>
  <w:style w:type="paragraph" w:customStyle="1" w:styleId="TF">
    <w:name w:val="TF"/>
    <w:basedOn w:val="TH"/>
    <w:link w:val="TFChar"/>
    <w:rsid w:val="00E22A34"/>
    <w:pPr>
      <w:keepNext w:val="0"/>
      <w:spacing w:before="0" w:after="240"/>
    </w:pPr>
  </w:style>
  <w:style w:type="paragraph" w:customStyle="1" w:styleId="NO">
    <w:name w:val="NO"/>
    <w:basedOn w:val="Normal"/>
    <w:rsid w:val="00E22A34"/>
    <w:pPr>
      <w:keepLines/>
      <w:ind w:left="1135" w:hanging="851"/>
    </w:pPr>
  </w:style>
  <w:style w:type="paragraph" w:styleId="TOC9">
    <w:name w:val="toc 9"/>
    <w:basedOn w:val="TOC8"/>
    <w:semiHidden/>
    <w:rsid w:val="00E22A34"/>
    <w:pPr>
      <w:ind w:left="1418" w:hanging="1418"/>
    </w:pPr>
  </w:style>
  <w:style w:type="paragraph" w:customStyle="1" w:styleId="EX">
    <w:name w:val="EX"/>
    <w:basedOn w:val="Normal"/>
    <w:rsid w:val="00E22A34"/>
    <w:pPr>
      <w:keepLines/>
      <w:ind w:left="1702" w:hanging="1418"/>
    </w:pPr>
  </w:style>
  <w:style w:type="paragraph" w:customStyle="1" w:styleId="FP">
    <w:name w:val="FP"/>
    <w:basedOn w:val="Normal"/>
    <w:rsid w:val="00E22A34"/>
    <w:pPr>
      <w:spacing w:after="0"/>
    </w:pPr>
  </w:style>
  <w:style w:type="paragraph" w:customStyle="1" w:styleId="LD">
    <w:name w:val="LD"/>
    <w:rsid w:val="00E22A34"/>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E22A34"/>
    <w:pPr>
      <w:spacing w:after="0"/>
    </w:pPr>
  </w:style>
  <w:style w:type="paragraph" w:customStyle="1" w:styleId="EW">
    <w:name w:val="EW"/>
    <w:basedOn w:val="EX"/>
    <w:rsid w:val="00E22A34"/>
    <w:pPr>
      <w:spacing w:after="0"/>
    </w:pPr>
  </w:style>
  <w:style w:type="paragraph" w:styleId="TOC6">
    <w:name w:val="toc 6"/>
    <w:basedOn w:val="TOC5"/>
    <w:next w:val="Normal"/>
    <w:semiHidden/>
    <w:rsid w:val="00E22A34"/>
    <w:pPr>
      <w:ind w:left="1985" w:hanging="1985"/>
    </w:pPr>
  </w:style>
  <w:style w:type="paragraph" w:styleId="TOC7">
    <w:name w:val="toc 7"/>
    <w:basedOn w:val="TOC6"/>
    <w:next w:val="Normal"/>
    <w:semiHidden/>
    <w:rsid w:val="00E22A34"/>
    <w:pPr>
      <w:ind w:left="2268" w:hanging="2268"/>
    </w:pPr>
  </w:style>
  <w:style w:type="paragraph" w:styleId="ListBullet2">
    <w:name w:val="List Bullet 2"/>
    <w:basedOn w:val="ListBullet"/>
    <w:rsid w:val="00E22A34"/>
    <w:pPr>
      <w:ind w:left="851"/>
    </w:pPr>
  </w:style>
  <w:style w:type="paragraph" w:styleId="ListBullet3">
    <w:name w:val="List Bullet 3"/>
    <w:basedOn w:val="ListBullet2"/>
    <w:rsid w:val="00E22A34"/>
    <w:pPr>
      <w:ind w:left="1135"/>
    </w:pPr>
  </w:style>
  <w:style w:type="paragraph" w:styleId="ListNumber">
    <w:name w:val="List Number"/>
    <w:basedOn w:val="List"/>
    <w:rsid w:val="00E22A34"/>
  </w:style>
  <w:style w:type="paragraph" w:customStyle="1" w:styleId="EQ">
    <w:name w:val="EQ"/>
    <w:basedOn w:val="Normal"/>
    <w:next w:val="Normal"/>
    <w:rsid w:val="00E22A34"/>
    <w:pPr>
      <w:keepLines/>
      <w:tabs>
        <w:tab w:val="center" w:pos="4536"/>
        <w:tab w:val="right" w:pos="9072"/>
      </w:tabs>
    </w:pPr>
    <w:rPr>
      <w:noProof/>
    </w:rPr>
  </w:style>
  <w:style w:type="paragraph" w:customStyle="1" w:styleId="TH">
    <w:name w:val="TH"/>
    <w:basedOn w:val="Normal"/>
    <w:link w:val="THChar"/>
    <w:rsid w:val="00E22A34"/>
    <w:pPr>
      <w:keepNext/>
      <w:keepLines/>
      <w:spacing w:before="60"/>
      <w:jc w:val="center"/>
    </w:pPr>
    <w:rPr>
      <w:rFonts w:ascii="Arial" w:hAnsi="Arial"/>
      <w:b/>
      <w:bCs/>
    </w:rPr>
  </w:style>
  <w:style w:type="paragraph" w:customStyle="1" w:styleId="NF">
    <w:name w:val="NF"/>
    <w:basedOn w:val="NO"/>
    <w:rsid w:val="00E22A34"/>
    <w:pPr>
      <w:keepNext/>
      <w:spacing w:after="0"/>
    </w:pPr>
    <w:rPr>
      <w:rFonts w:ascii="Arial" w:hAnsi="Arial"/>
      <w:sz w:val="18"/>
      <w:szCs w:val="18"/>
    </w:rPr>
  </w:style>
  <w:style w:type="paragraph" w:customStyle="1" w:styleId="PL">
    <w:name w:val="PL"/>
    <w:link w:val="PLChar"/>
    <w:rsid w:val="00E22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E22A34"/>
    <w:pPr>
      <w:jc w:val="right"/>
    </w:pPr>
  </w:style>
  <w:style w:type="paragraph" w:customStyle="1" w:styleId="H6">
    <w:name w:val="H6"/>
    <w:basedOn w:val="Heading5"/>
    <w:next w:val="Normal"/>
    <w:rsid w:val="00E22A34"/>
    <w:pPr>
      <w:ind w:left="1985" w:hanging="1985"/>
      <w:outlineLvl w:val="9"/>
    </w:pPr>
    <w:rPr>
      <w:sz w:val="20"/>
      <w:szCs w:val="20"/>
    </w:rPr>
  </w:style>
  <w:style w:type="paragraph" w:customStyle="1" w:styleId="TAN">
    <w:name w:val="TAN"/>
    <w:basedOn w:val="TAL"/>
    <w:rsid w:val="00E22A34"/>
    <w:pPr>
      <w:ind w:left="851" w:hanging="851"/>
    </w:pPr>
  </w:style>
  <w:style w:type="paragraph" w:customStyle="1" w:styleId="TAL">
    <w:name w:val="TAL"/>
    <w:basedOn w:val="Normal"/>
    <w:link w:val="TALCar"/>
    <w:rsid w:val="00E22A34"/>
    <w:pPr>
      <w:keepNext/>
      <w:keepLines/>
      <w:spacing w:after="0"/>
    </w:pPr>
    <w:rPr>
      <w:rFonts w:ascii="Arial" w:hAnsi="Arial"/>
      <w:sz w:val="18"/>
      <w:szCs w:val="18"/>
    </w:rPr>
  </w:style>
  <w:style w:type="paragraph" w:customStyle="1" w:styleId="ZA">
    <w:name w:val="ZA"/>
    <w:rsid w:val="00E22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E22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E22A34"/>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E22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E22A34"/>
    <w:pPr>
      <w:framePr w:wrap="notBeside" w:y="16161"/>
    </w:pPr>
  </w:style>
  <w:style w:type="character" w:customStyle="1" w:styleId="ZGSM">
    <w:name w:val="ZGSM"/>
    <w:rsid w:val="00E22A34"/>
  </w:style>
  <w:style w:type="paragraph" w:styleId="List2">
    <w:name w:val="List 2"/>
    <w:basedOn w:val="List"/>
    <w:rsid w:val="00E22A34"/>
    <w:pPr>
      <w:ind w:left="851"/>
    </w:pPr>
  </w:style>
  <w:style w:type="paragraph" w:customStyle="1" w:styleId="ZG">
    <w:name w:val="ZG"/>
    <w:rsid w:val="00E22A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E22A34"/>
    <w:pPr>
      <w:ind w:left="1135"/>
    </w:pPr>
  </w:style>
  <w:style w:type="paragraph" w:styleId="List4">
    <w:name w:val="List 4"/>
    <w:basedOn w:val="List3"/>
    <w:rsid w:val="00E22A34"/>
    <w:pPr>
      <w:ind w:left="1418"/>
    </w:pPr>
  </w:style>
  <w:style w:type="paragraph" w:styleId="List5">
    <w:name w:val="List 5"/>
    <w:basedOn w:val="List4"/>
    <w:rsid w:val="00E22A34"/>
    <w:pPr>
      <w:ind w:left="1702"/>
    </w:pPr>
  </w:style>
  <w:style w:type="paragraph" w:customStyle="1" w:styleId="EditorsNote">
    <w:name w:val="Editor's Note"/>
    <w:basedOn w:val="NO"/>
    <w:rsid w:val="00E22A34"/>
    <w:rPr>
      <w:color w:val="FF0000"/>
    </w:rPr>
  </w:style>
  <w:style w:type="paragraph" w:styleId="List">
    <w:name w:val="List"/>
    <w:basedOn w:val="Normal"/>
    <w:rsid w:val="00E22A34"/>
    <w:pPr>
      <w:ind w:left="568" w:hanging="284"/>
    </w:pPr>
  </w:style>
  <w:style w:type="paragraph" w:styleId="ListBullet">
    <w:name w:val="List Bullet"/>
    <w:basedOn w:val="List"/>
    <w:rsid w:val="00E22A34"/>
  </w:style>
  <w:style w:type="paragraph" w:styleId="ListBullet4">
    <w:name w:val="List Bullet 4"/>
    <w:basedOn w:val="ListBullet3"/>
    <w:rsid w:val="00E22A34"/>
    <w:pPr>
      <w:ind w:left="1418"/>
    </w:pPr>
  </w:style>
  <w:style w:type="paragraph" w:styleId="ListBullet5">
    <w:name w:val="List Bullet 5"/>
    <w:basedOn w:val="ListBullet4"/>
    <w:rsid w:val="00E22A34"/>
    <w:pPr>
      <w:ind w:left="1702"/>
    </w:pPr>
  </w:style>
  <w:style w:type="paragraph" w:customStyle="1" w:styleId="B1">
    <w:name w:val="B1"/>
    <w:basedOn w:val="List"/>
    <w:rsid w:val="00E22A34"/>
  </w:style>
  <w:style w:type="paragraph" w:customStyle="1" w:styleId="B2">
    <w:name w:val="B2"/>
    <w:basedOn w:val="List2"/>
    <w:rsid w:val="00E22A34"/>
  </w:style>
  <w:style w:type="paragraph" w:customStyle="1" w:styleId="B3">
    <w:name w:val="B3"/>
    <w:basedOn w:val="List3"/>
    <w:rsid w:val="00E22A34"/>
  </w:style>
  <w:style w:type="paragraph" w:customStyle="1" w:styleId="B4">
    <w:name w:val="B4"/>
    <w:basedOn w:val="List4"/>
    <w:rsid w:val="00E22A34"/>
  </w:style>
  <w:style w:type="paragraph" w:customStyle="1" w:styleId="B5">
    <w:name w:val="B5"/>
    <w:basedOn w:val="List5"/>
    <w:rsid w:val="00E22A34"/>
  </w:style>
  <w:style w:type="paragraph" w:styleId="Footer">
    <w:name w:val="footer"/>
    <w:basedOn w:val="Header"/>
    <w:link w:val="FooterChar"/>
    <w:rsid w:val="00E22A34"/>
    <w:pPr>
      <w:jc w:val="center"/>
    </w:pPr>
    <w:rPr>
      <w:i/>
      <w:iCs/>
    </w:rPr>
  </w:style>
  <w:style w:type="paragraph" w:customStyle="1" w:styleId="ZTD">
    <w:name w:val="ZTD"/>
    <w:basedOn w:val="ZB"/>
    <w:rsid w:val="00E22A34"/>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079969">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94B52-0EE1-481B-B87B-B70A64462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2018-09-29T05:58:00Z</dcterms:created>
  <dcterms:modified xsi:type="dcterms:W3CDTF">2018-09-29T05:58:00Z</dcterms:modified>
</cp:coreProperties>
</file>