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EA017E">
        <w:rPr>
          <w:noProof w:val="0"/>
          <w:sz w:val="24"/>
          <w:lang w:val="en-GB"/>
        </w:rPr>
        <w:t>4</w:t>
      </w:r>
      <w:r w:rsidR="00E07351">
        <w:rPr>
          <w:noProof w:val="0"/>
          <w:sz w:val="24"/>
          <w:lang w:val="en-GB"/>
        </w:rPr>
        <w:t>bis</w:t>
      </w:r>
      <w:r w:rsidRPr="0002651C">
        <w:rPr>
          <w:bCs/>
          <w:noProof w:val="0"/>
          <w:sz w:val="24"/>
          <w:lang w:val="en-GB" w:eastAsia="ja-JP"/>
        </w:rPr>
        <w:tab/>
      </w:r>
      <w:r w:rsidR="004039DB" w:rsidRPr="004039DB">
        <w:rPr>
          <w:bCs/>
          <w:noProof w:val="0"/>
          <w:sz w:val="24"/>
          <w:lang w:val="en-GB" w:eastAsia="ja-JP"/>
        </w:rPr>
        <w:t>R1-1</w:t>
      </w:r>
      <w:r w:rsidR="002F411A">
        <w:rPr>
          <w:bCs/>
          <w:noProof w:val="0"/>
          <w:sz w:val="24"/>
          <w:lang w:val="en-GB" w:eastAsia="ja-JP"/>
        </w:rPr>
        <w:t>8</w:t>
      </w:r>
      <w:r w:rsidR="00577EEA">
        <w:rPr>
          <w:bCs/>
          <w:noProof w:val="0"/>
          <w:sz w:val="24"/>
          <w:lang w:val="en-GB" w:eastAsia="ja-JP"/>
        </w:rPr>
        <w:t>1</w:t>
      </w:r>
      <w:r w:rsidR="005D1092">
        <w:rPr>
          <w:bCs/>
          <w:noProof w:val="0"/>
          <w:sz w:val="24"/>
          <w:lang w:val="en-GB" w:eastAsia="ja-JP"/>
        </w:rPr>
        <w:t>1409</w:t>
      </w:r>
    </w:p>
    <w:bookmarkEnd w:id="0"/>
    <w:bookmarkEnd w:id="1"/>
    <w:p w:rsidR="001A20CF" w:rsidRPr="00EA017E" w:rsidRDefault="00E07351"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 xml:space="preserve">Chengdu, </w:t>
      </w:r>
      <w:r w:rsidR="003148CD">
        <w:rPr>
          <w:rFonts w:ascii="Arial" w:eastAsia="MS Mincho" w:hAnsi="Arial" w:cs="Arial"/>
          <w:b/>
          <w:bCs/>
          <w:sz w:val="24"/>
          <w:szCs w:val="24"/>
          <w:lang w:eastAsia="ja-JP"/>
        </w:rPr>
        <w:t xml:space="preserve">P. R. </w:t>
      </w:r>
      <w:bookmarkStart w:id="3" w:name="_GoBack"/>
      <w:bookmarkEnd w:id="3"/>
      <w:r>
        <w:rPr>
          <w:rFonts w:ascii="Arial" w:eastAsia="MS Mincho" w:hAnsi="Arial" w:cs="Arial"/>
          <w:b/>
          <w:bCs/>
          <w:sz w:val="24"/>
          <w:szCs w:val="24"/>
          <w:lang w:eastAsia="ja-JP"/>
        </w:rPr>
        <w:t>China</w:t>
      </w:r>
      <w:r w:rsidR="00EA017E" w:rsidRPr="00EA017E">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EA017E" w:rsidRPr="00EA017E">
        <w:rPr>
          <w:rFonts w:ascii="Arial" w:eastAsia="MS Mincho" w:hAnsi="Arial" w:cs="Arial"/>
          <w:b/>
          <w:bCs/>
          <w:sz w:val="24"/>
          <w:szCs w:val="24"/>
          <w:lang w:eastAsia="ja-JP"/>
        </w:rPr>
        <w:t xml:space="preserve"> </w:t>
      </w:r>
      <w:r>
        <w:rPr>
          <w:rFonts w:ascii="Arial" w:eastAsia="MS Mincho" w:hAnsi="Arial" w:cs="Arial"/>
          <w:b/>
          <w:bCs/>
          <w:sz w:val="24"/>
          <w:szCs w:val="24"/>
          <w:lang w:eastAsia="ja-JP"/>
        </w:rPr>
        <w:t>8</w:t>
      </w:r>
      <w:r w:rsidR="00EA017E" w:rsidRPr="00EA017E">
        <w:rPr>
          <w:rFonts w:ascii="Arial" w:eastAsia="MS Mincho" w:hAnsi="Arial" w:cs="Arial"/>
          <w:b/>
          <w:bCs/>
          <w:sz w:val="24"/>
          <w:szCs w:val="24"/>
          <w:vertAlign w:val="superscript"/>
          <w:lang w:eastAsia="ja-JP"/>
        </w:rPr>
        <w:t>th</w:t>
      </w:r>
      <w:r w:rsidR="00EA017E" w:rsidRPr="00EA017E">
        <w:rPr>
          <w:rFonts w:ascii="Arial" w:eastAsia="MS Mincho" w:hAnsi="Arial" w:cs="Arial"/>
          <w:b/>
          <w:bCs/>
          <w:sz w:val="24"/>
          <w:szCs w:val="24"/>
          <w:lang w:eastAsia="ja-JP"/>
        </w:rPr>
        <w:t xml:space="preserve"> – </w:t>
      </w:r>
      <w:r>
        <w:rPr>
          <w:rFonts w:ascii="Arial" w:eastAsia="MS Mincho" w:hAnsi="Arial" w:cs="Arial"/>
          <w:b/>
          <w:bCs/>
          <w:sz w:val="24"/>
          <w:szCs w:val="24"/>
          <w:lang w:eastAsia="ja-JP"/>
        </w:rPr>
        <w:t>1</w:t>
      </w:r>
      <w:r w:rsidR="00EA017E" w:rsidRPr="00EA017E">
        <w:rPr>
          <w:rFonts w:ascii="Arial" w:eastAsia="MS Mincho" w:hAnsi="Arial" w:cs="Arial"/>
          <w:b/>
          <w:bCs/>
          <w:sz w:val="24"/>
          <w:szCs w:val="24"/>
          <w:lang w:eastAsia="ja-JP"/>
        </w:rPr>
        <w:t>2</w:t>
      </w:r>
      <w:r w:rsidR="00EA017E" w:rsidRPr="00EA017E">
        <w:rPr>
          <w:rFonts w:ascii="Arial" w:eastAsia="MS Mincho" w:hAnsi="Arial" w:cs="Arial"/>
          <w:b/>
          <w:bCs/>
          <w:sz w:val="24"/>
          <w:szCs w:val="24"/>
          <w:vertAlign w:val="superscript"/>
          <w:lang w:eastAsia="ja-JP"/>
        </w:rPr>
        <w:t>th</w:t>
      </w:r>
      <w:r w:rsidR="00EA017E" w:rsidRPr="00EA017E">
        <w:rPr>
          <w:rFonts w:ascii="Arial" w:eastAsia="MS Mincho" w:hAnsi="Arial" w:cs="Arial"/>
          <w:b/>
          <w:bCs/>
          <w:sz w:val="24"/>
          <w:szCs w:val="24"/>
          <w:lang w:eastAsia="ja-JP"/>
        </w:rPr>
        <w:t xml:space="preserve">, 2018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D1092">
        <w:rPr>
          <w:rFonts w:ascii="Arial" w:hAnsi="Arial" w:cs="Arial"/>
          <w:b/>
          <w:bCs/>
          <w:sz w:val="24"/>
        </w:rPr>
        <w:t xml:space="preserve">On the </w:t>
      </w:r>
      <w:r w:rsidR="00577EEA">
        <w:rPr>
          <w:rFonts w:ascii="Arial" w:hAnsi="Arial" w:cs="Arial"/>
          <w:b/>
          <w:bCs/>
          <w:sz w:val="24"/>
        </w:rPr>
        <w:t>Full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577EEA" w:rsidRDefault="00577EEA" w:rsidP="00DC338E">
      <w:pPr>
        <w:jc w:val="both"/>
        <w:rPr>
          <w:rFonts w:ascii="Times New Roman" w:hAnsi="Times New Roman" w:cs="Times New Roman"/>
          <w:kern w:val="2"/>
          <w:sz w:val="20"/>
          <w:szCs w:val="20"/>
        </w:rPr>
      </w:pPr>
      <w:r>
        <w:rPr>
          <w:rFonts w:ascii="Times New Roman" w:hAnsi="Times New Roman" w:cs="Times New Roman"/>
          <w:kern w:val="2"/>
          <w:sz w:val="20"/>
          <w:szCs w:val="20"/>
        </w:rPr>
        <w:t>Rel-16 NR MIMO enhancement WID [1] aims to specify identified enhancements on various areas, including RAN1 topics:</w:t>
      </w:r>
    </w:p>
    <w:p w:rsidR="00577EEA" w:rsidRDefault="00577EEA" w:rsidP="00577EEA">
      <w:pPr>
        <w:pStyle w:val="ListParagraph"/>
        <w:numPr>
          <w:ilvl w:val="0"/>
          <w:numId w:val="31"/>
        </w:numPr>
        <w:jc w:val="both"/>
        <w:rPr>
          <w:rFonts w:ascii="Times New Roman" w:hAnsi="Times New Roman" w:cs="Times New Roman"/>
          <w:kern w:val="2"/>
          <w:sz w:val="20"/>
          <w:szCs w:val="20"/>
        </w:rPr>
      </w:pPr>
      <w:r>
        <w:rPr>
          <w:rFonts w:ascii="Times New Roman" w:hAnsi="Times New Roman" w:cs="Times New Roman"/>
          <w:kern w:val="2"/>
          <w:sz w:val="20"/>
          <w:szCs w:val="20"/>
        </w:rPr>
        <w:t>Enhancements on MU-MIMO support;</w:t>
      </w:r>
    </w:p>
    <w:p w:rsidR="00577EEA" w:rsidRDefault="00577EEA" w:rsidP="00577EEA">
      <w:pPr>
        <w:pStyle w:val="ListParagraph"/>
        <w:numPr>
          <w:ilvl w:val="0"/>
          <w:numId w:val="31"/>
        </w:numPr>
        <w:jc w:val="both"/>
        <w:rPr>
          <w:rFonts w:ascii="Times New Roman" w:hAnsi="Times New Roman" w:cs="Times New Roman"/>
          <w:kern w:val="2"/>
          <w:sz w:val="20"/>
          <w:szCs w:val="20"/>
        </w:rPr>
      </w:pPr>
      <w:r>
        <w:rPr>
          <w:rFonts w:ascii="Times New Roman" w:hAnsi="Times New Roman" w:cs="Times New Roman"/>
          <w:kern w:val="2"/>
          <w:sz w:val="20"/>
          <w:szCs w:val="20"/>
        </w:rPr>
        <w:t>Enhancements on multi-TRP/panel transmission;</w:t>
      </w:r>
    </w:p>
    <w:p w:rsidR="00577EEA" w:rsidRDefault="00577EEA" w:rsidP="00577EEA">
      <w:pPr>
        <w:pStyle w:val="ListParagraph"/>
        <w:numPr>
          <w:ilvl w:val="0"/>
          <w:numId w:val="31"/>
        </w:numPr>
        <w:jc w:val="both"/>
        <w:rPr>
          <w:rFonts w:ascii="Times New Roman" w:hAnsi="Times New Roman" w:cs="Times New Roman"/>
          <w:kern w:val="2"/>
          <w:sz w:val="20"/>
          <w:szCs w:val="20"/>
        </w:rPr>
      </w:pPr>
      <w:r>
        <w:rPr>
          <w:rFonts w:ascii="Times New Roman" w:hAnsi="Times New Roman" w:cs="Times New Roman"/>
          <w:kern w:val="2"/>
          <w:sz w:val="20"/>
          <w:szCs w:val="20"/>
        </w:rPr>
        <w:t>Enhancements on multi-beam operation;</w:t>
      </w:r>
    </w:p>
    <w:p w:rsidR="00577EEA" w:rsidRDefault="00577EEA" w:rsidP="00577EEA">
      <w:pPr>
        <w:pStyle w:val="ListParagraph"/>
        <w:numPr>
          <w:ilvl w:val="0"/>
          <w:numId w:val="31"/>
        </w:numPr>
        <w:jc w:val="both"/>
        <w:rPr>
          <w:rFonts w:ascii="Times New Roman" w:hAnsi="Times New Roman" w:cs="Times New Roman"/>
          <w:kern w:val="2"/>
          <w:sz w:val="20"/>
          <w:szCs w:val="20"/>
        </w:rPr>
      </w:pPr>
      <w:r>
        <w:rPr>
          <w:rFonts w:ascii="Times New Roman" w:hAnsi="Times New Roman" w:cs="Times New Roman"/>
          <w:kern w:val="2"/>
          <w:sz w:val="20"/>
          <w:szCs w:val="20"/>
        </w:rPr>
        <w:t>Perform study and make conclusion on CSI-RS and DMRS enhancements;</w:t>
      </w:r>
    </w:p>
    <w:p w:rsidR="00577EEA" w:rsidRPr="00577EEA" w:rsidRDefault="00577EEA" w:rsidP="00577EEA">
      <w:pPr>
        <w:pStyle w:val="ListParagraph"/>
        <w:numPr>
          <w:ilvl w:val="0"/>
          <w:numId w:val="31"/>
        </w:numPr>
        <w:jc w:val="both"/>
        <w:rPr>
          <w:rFonts w:ascii="Times New Roman" w:hAnsi="Times New Roman" w:cs="Times New Roman"/>
          <w:kern w:val="2"/>
          <w:sz w:val="20"/>
          <w:szCs w:val="20"/>
        </w:rPr>
      </w:pPr>
      <w:r>
        <w:rPr>
          <w:rFonts w:ascii="Times New Roman" w:hAnsi="Times New Roman" w:cs="Times New Roman"/>
          <w:kern w:val="2"/>
          <w:sz w:val="20"/>
          <w:szCs w:val="20"/>
        </w:rPr>
        <w:t>Enhancement to allow full uplink power transmission.</w:t>
      </w:r>
    </w:p>
    <w:p w:rsidR="00EA017E" w:rsidRDefault="00577EEA" w:rsidP="00EA017E">
      <w:pPr>
        <w:jc w:val="both"/>
        <w:rPr>
          <w:rFonts w:ascii="Times New Roman" w:hAnsi="Times New Roman" w:cs="Times New Roman"/>
          <w:kern w:val="2"/>
          <w:sz w:val="20"/>
          <w:szCs w:val="20"/>
        </w:rPr>
      </w:pPr>
      <w:r>
        <w:rPr>
          <w:rFonts w:ascii="Times New Roman" w:hAnsi="Times New Roman" w:cs="Times New Roman"/>
          <w:kern w:val="2"/>
          <w:sz w:val="20"/>
          <w:szCs w:val="20"/>
        </w:rPr>
        <w:t>This contribution discusses the related issue on the full Tx power uplink transmission issue and provides our view on the specification impact.</w:t>
      </w:r>
    </w:p>
    <w:p w:rsidR="00577EEA" w:rsidRDefault="00577EEA"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577EEA">
        <w:t>Full power transmission for uplink transmission</w:t>
      </w:r>
    </w:p>
    <w:p w:rsidR="00577EEA" w:rsidRDefault="002D32CC" w:rsidP="00577EEA">
      <w:pPr>
        <w:rPr>
          <w:rFonts w:ascii="Times New Roman" w:hAnsi="Times New Roman" w:cs="Times New Roman"/>
          <w:sz w:val="20"/>
          <w:szCs w:val="20"/>
        </w:rPr>
      </w:pPr>
      <w:r>
        <w:rPr>
          <w:rFonts w:ascii="Times New Roman" w:hAnsi="Times New Roman" w:cs="Times New Roman"/>
          <w:sz w:val="20"/>
          <w:szCs w:val="20"/>
        </w:rPr>
        <w:t>The scope of the WID [1] on full power transmission for uplink transmission is listed here:</w:t>
      </w:r>
    </w:p>
    <w:p w:rsidR="003673B3" w:rsidRDefault="003673B3" w:rsidP="00577EEA">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2CC" w:rsidRPr="0046285A" w:rsidTr="0026014E">
        <w:tc>
          <w:tcPr>
            <w:tcW w:w="9629" w:type="dxa"/>
            <w:shd w:val="clear" w:color="auto" w:fill="auto"/>
          </w:tcPr>
          <w:p w:rsidR="002D32CC" w:rsidRPr="000575C9" w:rsidRDefault="000575C9" w:rsidP="000575C9">
            <w:pPr>
              <w:numPr>
                <w:ilvl w:val="1"/>
                <w:numId w:val="27"/>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r w:rsidRPr="000575C9">
              <w:rPr>
                <w:rFonts w:ascii="Times New Roman" w:eastAsia="Malgun Gothic" w:hAnsi="Times New Roman" w:cs="Times New Roman"/>
                <w:sz w:val="20"/>
                <w:szCs w:val="20"/>
                <w:lang w:eastAsia="ko-KR"/>
              </w:rPr>
              <w:t>Specify enhancement to allow full power transmission in case of uplink transmission with multiple power amplifiers (assume no change on UE power class)</w:t>
            </w:r>
          </w:p>
        </w:tc>
      </w:tr>
    </w:tbl>
    <w:p w:rsidR="002D32CC" w:rsidRDefault="002D32CC" w:rsidP="002D32CC">
      <w:pPr>
        <w:rPr>
          <w:rFonts w:ascii="Times New Roman" w:hAnsi="Times New Roman" w:cs="Times New Roman"/>
          <w:sz w:val="20"/>
          <w:szCs w:val="20"/>
        </w:rPr>
      </w:pPr>
    </w:p>
    <w:p w:rsidR="003673B3" w:rsidRDefault="003673B3" w:rsidP="002D32CC">
      <w:pPr>
        <w:rPr>
          <w:rFonts w:ascii="Times New Roman" w:hAnsi="Times New Roman" w:cs="Times New Roman"/>
          <w:sz w:val="20"/>
          <w:szCs w:val="20"/>
        </w:rPr>
      </w:pPr>
    </w:p>
    <w:p w:rsidR="000575C9" w:rsidRDefault="000575C9" w:rsidP="000575C9">
      <w:pPr>
        <w:pStyle w:val="Heading2"/>
      </w:pPr>
      <w:r>
        <w:t>2.1</w:t>
      </w:r>
      <w:r>
        <w:tab/>
        <w:t>Background</w:t>
      </w:r>
    </w:p>
    <w:p w:rsidR="00A75000" w:rsidRDefault="000575C9" w:rsidP="00577EEA">
      <w:pPr>
        <w:rPr>
          <w:rFonts w:ascii="Times New Roman" w:hAnsi="Times New Roman" w:cs="Times New Roman"/>
          <w:sz w:val="20"/>
          <w:szCs w:val="20"/>
        </w:rPr>
      </w:pPr>
      <w:r>
        <w:rPr>
          <w:rFonts w:ascii="Times New Roman" w:hAnsi="Times New Roman" w:cs="Times New Roman"/>
          <w:sz w:val="20"/>
          <w:szCs w:val="20"/>
        </w:rPr>
        <w:t>This issue is actively discussed in RAN1 during the Rel-15 specification process. The general background is related to the uplink codebook design, where partial coherent precoders and non-coherent precoders are included together with the full coherent precoders.</w:t>
      </w:r>
      <w:r w:rsidR="00A75000">
        <w:rPr>
          <w:rFonts w:ascii="Times New Roman" w:hAnsi="Times New Roman" w:cs="Times New Roman"/>
          <w:sz w:val="20"/>
          <w:szCs w:val="20"/>
        </w:rPr>
        <w:t xml:space="preserve"> For example, the rank-1 4Tx precoding matrices from 38.211 is shown in the table. The non-coherent precoding matrices have TPMI index 0-3, the partial-coherent precoding matrices has TPMI index 4-11, and the remaining precoding matrices with TPMI index 12-27 are full coherent precoders. Another distinguished property of these precoding matrices is the scaling factor, which is normalized based on total number of Tx ports, regardless whether the Tx ports are muted or not. In this 4Tx example, the scaling factor, as shown in the table is ½, which will yield total transmission power of one when a full coherent precoding matrix is applied.</w:t>
      </w:r>
    </w:p>
    <w:p w:rsidR="00A75000" w:rsidRDefault="00A75000" w:rsidP="00577EEA">
      <w:pPr>
        <w:rPr>
          <w:rFonts w:ascii="Times New Roman" w:hAnsi="Times New Roman" w:cs="Times New Roman"/>
          <w:sz w:val="20"/>
          <w:szCs w:val="20"/>
        </w:rPr>
      </w:pPr>
    </w:p>
    <w:p w:rsidR="00A75000" w:rsidRDefault="00A75000" w:rsidP="00A75000">
      <w:pPr>
        <w:pStyle w:val="TH"/>
        <w:rPr>
          <w:rFonts w:eastAsia="Times New Roman" w:cs="Times New Roman"/>
          <w:sz w:val="20"/>
          <w:szCs w:val="20"/>
        </w:rPr>
      </w:pPr>
      <w:r>
        <w:lastRenderedPageBreak/>
        <w:t xml:space="preserve">Table 6.3.1.5-3: Precoding matrix </w:t>
      </w:r>
      <w:r>
        <w:rPr>
          <w:rFonts w:eastAsia="Times New Roman" w:cs="Times New Roman"/>
          <w:position w:val="-6"/>
          <w:sz w:val="20"/>
          <w:szCs w:val="20"/>
        </w:rPr>
        <w:object w:dxaOrig="252" w:dyaOrig="240">
          <v:shape id="_x0000_i1026" type="#_x0000_t75" style="width:12.75pt;height:12pt" o:ole="">
            <v:imagedata r:id="rId12" o:title=""/>
          </v:shape>
          <o:OLEObject Type="Embed" ProgID="Equation.3" ShapeID="_x0000_i1026" DrawAspect="Content" ObjectID="_1599680416" r:id="rId13"/>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29"/>
        <w:gridCol w:w="876"/>
        <w:gridCol w:w="829"/>
        <w:gridCol w:w="876"/>
      </w:tblGrid>
      <w:tr w:rsidR="00A75000" w:rsidTr="00A7500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75000" w:rsidRDefault="00A75000">
            <w:pPr>
              <w:pStyle w:val="TAH"/>
              <w:rPr>
                <w:rFonts w:eastAsia="Batang"/>
              </w:rPr>
            </w:pPr>
            <w:bookmarkStart w:id="6" w:name="_Hlk500155670"/>
            <w:r>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H"/>
              <w:rPr>
                <w:rFonts w:eastAsia="Batang"/>
              </w:rPr>
            </w:pPr>
            <w:r>
              <w:rPr>
                <w:rFonts w:eastAsia="Batang" w:cs="Times New Roman"/>
                <w:szCs w:val="20"/>
              </w:rPr>
              <w:object w:dxaOrig="264" w:dyaOrig="240">
                <v:shape id="_x0000_i1027" type="#_x0000_t75" style="width:13.5pt;height:12pt" o:ole="">
                  <v:imagedata r:id="rId14" o:title=""/>
                </v:shape>
                <o:OLEObject Type="Embed" ProgID="Equation.3" ShapeID="_x0000_i1027" DrawAspect="Content" ObjectID="_1599680417" r:id="rId15"/>
              </w:object>
            </w:r>
            <w:r>
              <w:rPr>
                <w:rFonts w:eastAsia="Batang"/>
              </w:rPr>
              <w:br/>
              <w:t>(ordered from left to right in increasing order of TPMI index)</w:t>
            </w:r>
          </w:p>
        </w:tc>
      </w:tr>
      <w:tr w:rsidR="00A75000" w:rsidTr="00A7500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rPr>
                <w:rFonts w:eastAsia="Times New Roman"/>
              </w:rPr>
            </w:pPr>
            <w:r>
              <w:t>0 – 7</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28" type="#_x0000_t75" style="width:25.5pt;height:60.75pt" o:ole="">
                  <v:imagedata r:id="rId16" o:title=""/>
                </v:shape>
                <o:OLEObject Type="Embed" ProgID="Equation.3" ShapeID="_x0000_i1028" DrawAspect="Content" ObjectID="_1599680418"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29" type="#_x0000_t75" style="width:25.5pt;height:60.75pt" o:ole="">
                  <v:imagedata r:id="rId18" o:title=""/>
                </v:shape>
                <o:OLEObject Type="Embed" ProgID="Equation.3" ShapeID="_x0000_i1029" DrawAspect="Content" ObjectID="_1599680419"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30" type="#_x0000_t75" style="width:25.5pt;height:60.75pt" o:ole="">
                  <v:imagedata r:id="rId20" o:title=""/>
                </v:shape>
                <o:OLEObject Type="Embed" ProgID="Equation.3" ShapeID="_x0000_i1030" DrawAspect="Content" ObjectID="_1599680420"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31" type="#_x0000_t75" style="width:25.5pt;height:60.75pt" o:ole="">
                  <v:imagedata r:id="rId22" o:title=""/>
                </v:shape>
                <o:OLEObject Type="Embed" ProgID="Equation.3" ShapeID="_x0000_i1031" DrawAspect="Content" ObjectID="_1599680421"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32" type="#_x0000_t75" style="width:25.5pt;height:60.75pt" o:ole="">
                  <v:imagedata r:id="rId24" o:title=""/>
                </v:shape>
                <o:OLEObject Type="Embed" ProgID="Equation.3" ShapeID="_x0000_i1032" DrawAspect="Content" ObjectID="_1599680422"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612" w:dyaOrig="1212">
                <v:shape id="_x0000_i1033" type="#_x0000_t75" style="width:30.75pt;height:60.75pt" o:ole="">
                  <v:imagedata r:id="rId26" o:title=""/>
                </v:shape>
                <o:OLEObject Type="Embed" ProgID="Equation.3" ShapeID="_x0000_i1033" DrawAspect="Content" ObjectID="_1599680423"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34" type="#_x0000_t75" style="width:25.5pt;height:60.75pt" o:ole="">
                  <v:imagedata r:id="rId28" o:title=""/>
                </v:shape>
                <o:OLEObject Type="Embed" ProgID="Equation.3" ShapeID="_x0000_i1034" DrawAspect="Content" ObjectID="_1599680424" r:id="rId2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648" w:dyaOrig="1212">
                <v:shape id="_x0000_i1035" type="#_x0000_t75" style="width:32.25pt;height:60.75pt" o:ole="">
                  <v:imagedata r:id="rId30" o:title=""/>
                </v:shape>
                <o:OLEObject Type="Embed" ProgID="Equation.3" ShapeID="_x0000_i1035" DrawAspect="Content" ObjectID="_1599680425" r:id="rId31"/>
              </w:object>
            </w:r>
          </w:p>
        </w:tc>
      </w:tr>
      <w:tr w:rsidR="00A75000" w:rsidTr="00A7500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t>8 – 15</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36" type="#_x0000_t75" style="width:25.5pt;height:60.75pt" o:ole="">
                  <v:imagedata r:id="rId32" o:title=""/>
                </v:shape>
                <o:OLEObject Type="Embed" ProgID="Equation.3" ShapeID="_x0000_i1036" DrawAspect="Content" ObjectID="_1599680426" r:id="rId3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612" w:dyaOrig="1212">
                <v:shape id="_x0000_i1037" type="#_x0000_t75" style="width:30.75pt;height:60.75pt" o:ole="">
                  <v:imagedata r:id="rId34" o:title=""/>
                </v:shape>
                <o:OLEObject Type="Embed" ProgID="Equation.3" ShapeID="_x0000_i1037" DrawAspect="Content" ObjectID="_1599680427" r:id="rId3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516" w:dyaOrig="1212">
                <v:shape id="_x0000_i1038" type="#_x0000_t75" style="width:25.5pt;height:60.75pt" o:ole="">
                  <v:imagedata r:id="rId36" o:title=""/>
                </v:shape>
                <o:OLEObject Type="Embed" ProgID="Equation.3" ShapeID="_x0000_i1038" DrawAspect="Content" ObjectID="_1599680428" r:id="rId3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szCs w:val="20"/>
              </w:rPr>
              <w:object w:dxaOrig="648" w:dyaOrig="1212">
                <v:shape id="_x0000_i1039" type="#_x0000_t75" style="width:32.25pt;height:60.75pt" o:ole="">
                  <v:imagedata r:id="rId38" o:title=""/>
                </v:shape>
                <o:OLEObject Type="Embed" ProgID="Equation.3" ShapeID="_x0000_i1039" DrawAspect="Content" ObjectID="_1599680429" r:id="rId3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480" w:dyaOrig="1212">
                <v:shape id="_x0000_i1040" type="#_x0000_t75" style="width:24pt;height:60.75pt" o:ole="">
                  <v:imagedata r:id="rId40" o:title=""/>
                </v:shape>
                <o:OLEObject Type="Embed" ProgID="Equation.3" ShapeID="_x0000_i1040" DrawAspect="Content" ObjectID="_1599680430" r:id="rId4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516" w:dyaOrig="1212">
                <v:shape id="_x0000_i1041" type="#_x0000_t75" style="width:25.5pt;height:60.75pt" o:ole="">
                  <v:imagedata r:id="rId42" o:title=""/>
                </v:shape>
                <o:OLEObject Type="Embed" ProgID="Equation.3" ShapeID="_x0000_i1041" DrawAspect="Content" ObjectID="_1599680431" r:id="rId4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12" w:dyaOrig="1212">
                <v:shape id="_x0000_i1042" type="#_x0000_t75" style="width:30.75pt;height:60.75pt" o:ole="">
                  <v:imagedata r:id="rId44" o:title=""/>
                </v:shape>
                <o:OLEObject Type="Embed" ProgID="Equation.3" ShapeID="_x0000_i1042" DrawAspect="Content" ObjectID="_1599680432" r:id="rId4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48" w:dyaOrig="1212">
                <v:shape id="_x0000_i1043" type="#_x0000_t75" style="width:32.25pt;height:60.75pt" o:ole="">
                  <v:imagedata r:id="rId46" o:title=""/>
                </v:shape>
                <o:OLEObject Type="Embed" ProgID="Equation.3" ShapeID="_x0000_i1043" DrawAspect="Content" ObjectID="_1599680433" r:id="rId47"/>
              </w:object>
            </w:r>
          </w:p>
        </w:tc>
      </w:tr>
      <w:tr w:rsidR="00A75000" w:rsidTr="00A7500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t>16 – 23</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528" w:dyaOrig="1212">
                <v:shape id="_x0000_i1044" type="#_x0000_t75" style="width:26.25pt;height:60.75pt" o:ole="">
                  <v:imagedata r:id="rId48" o:title=""/>
                </v:shape>
                <o:OLEObject Type="Embed" ProgID="Equation.3" ShapeID="_x0000_i1044" DrawAspect="Content" ObjectID="_1599680434" r:id="rId4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12" w:dyaOrig="1212">
                <v:shape id="_x0000_i1045" type="#_x0000_t75" style="width:30.75pt;height:60.75pt" o:ole="">
                  <v:imagedata r:id="rId50" o:title=""/>
                </v:shape>
                <o:OLEObject Type="Embed" ProgID="Equation.3" ShapeID="_x0000_i1045" DrawAspect="Content" ObjectID="_1599680435" r:id="rId5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46" type="#_x0000_t75" style="width:33pt;height:60.75pt" o:ole="">
                  <v:imagedata r:id="rId52" o:title=""/>
                </v:shape>
                <o:OLEObject Type="Embed" ProgID="Equation.3" ShapeID="_x0000_i1046" DrawAspect="Content" ObjectID="_1599680436" r:id="rId5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48" w:dyaOrig="1212">
                <v:shape id="_x0000_i1047" type="#_x0000_t75" style="width:32.25pt;height:60.75pt" o:ole="">
                  <v:imagedata r:id="rId54" o:title=""/>
                </v:shape>
                <o:OLEObject Type="Embed" ProgID="Equation.3" ShapeID="_x0000_i1047" DrawAspect="Content" ObjectID="_1599680437" r:id="rId5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12" w:dyaOrig="1212">
                <v:shape id="_x0000_i1048" type="#_x0000_t75" style="width:30.75pt;height:60.75pt" o:ole="">
                  <v:imagedata r:id="rId56" o:title=""/>
                </v:shape>
                <o:OLEObject Type="Embed" ProgID="Equation.3" ShapeID="_x0000_i1048" DrawAspect="Content" ObjectID="_1599680438" r:id="rId5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49" type="#_x0000_t75" style="width:33pt;height:60.75pt" o:ole="">
                  <v:imagedata r:id="rId58" o:title=""/>
                </v:shape>
                <o:OLEObject Type="Embed" ProgID="Equation.3" ShapeID="_x0000_i1049" DrawAspect="Content" ObjectID="_1599680439" r:id="rId5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12" w:dyaOrig="1212">
                <v:shape id="_x0000_i1050" type="#_x0000_t75" style="width:30.75pt;height:60.75pt" o:ole="">
                  <v:imagedata r:id="rId60" o:title=""/>
                </v:shape>
                <o:OLEObject Type="Embed" ProgID="Equation.3" ShapeID="_x0000_i1050" DrawAspect="Content" ObjectID="_1599680440" r:id="rId6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51" type="#_x0000_t75" style="width:33pt;height:60.75pt" o:ole="">
                  <v:imagedata r:id="rId62" o:title=""/>
                </v:shape>
                <o:OLEObject Type="Embed" ProgID="Equation.3" ShapeID="_x0000_i1051" DrawAspect="Content" ObjectID="_1599680441" r:id="rId63"/>
              </w:object>
            </w:r>
          </w:p>
        </w:tc>
      </w:tr>
      <w:tr w:rsidR="00A75000" w:rsidTr="00A7500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t>24 – 27</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52" type="#_x0000_t75" style="width:33pt;height:60.75pt" o:ole="">
                  <v:imagedata r:id="rId64" o:title=""/>
                </v:shape>
                <o:OLEObject Type="Embed" ProgID="Equation.3" ShapeID="_x0000_i1052" DrawAspect="Content" ObjectID="_1599680442" r:id="rId6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53" type="#_x0000_t75" style="width:33pt;height:60.75pt" o:ole="">
                  <v:imagedata r:id="rId66" o:title=""/>
                </v:shape>
                <o:OLEObject Type="Embed" ProgID="Equation.3" ShapeID="_x0000_i1053" DrawAspect="Content" ObjectID="_1599680443" r:id="rId6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54" type="#_x0000_t75" style="width:33pt;height:60.75pt" o:ole="">
                  <v:imagedata r:id="rId68" o:title=""/>
                </v:shape>
                <o:OLEObject Type="Embed" ProgID="Equation.3" ShapeID="_x0000_i1054" DrawAspect="Content" ObjectID="_1599680444" r:id="rId6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Times New Roman" w:cs="Times New Roman"/>
                <w:position w:val="-56"/>
                <w:szCs w:val="20"/>
              </w:rPr>
              <w:object w:dxaOrig="660" w:dyaOrig="1212">
                <v:shape id="_x0000_i1055" type="#_x0000_t75" style="width:33pt;height:60.75pt" o:ole="">
                  <v:imagedata r:id="rId70" o:title=""/>
                </v:shape>
                <o:OLEObject Type="Embed" ProgID="Equation.3" ShapeID="_x0000_i1055" DrawAspect="Content" ObjectID="_1599680445" r:id="rId7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75000" w:rsidRDefault="00A75000">
            <w:pPr>
              <w:pStyle w:val="TAC"/>
            </w:pPr>
            <w:r>
              <w:rPr>
                <w:rFonts w:eastAsia="Batang"/>
              </w:rPr>
              <w:t>-</w:t>
            </w:r>
          </w:p>
        </w:tc>
        <w:bookmarkEnd w:id="6"/>
      </w:tr>
    </w:tbl>
    <w:p w:rsidR="000575C9" w:rsidRPr="00577EEA" w:rsidRDefault="000575C9" w:rsidP="00577EEA">
      <w:pPr>
        <w:rPr>
          <w:rFonts w:ascii="Times New Roman" w:hAnsi="Times New Roman" w:cs="Times New Roman"/>
          <w:sz w:val="20"/>
          <w:szCs w:val="20"/>
        </w:rPr>
      </w:pPr>
    </w:p>
    <w:p w:rsidR="00577EEA" w:rsidRDefault="00E70045" w:rsidP="00577EEA">
      <w:pPr>
        <w:rPr>
          <w:rFonts w:ascii="Times New Roman" w:hAnsi="Times New Roman" w:cs="Times New Roman"/>
          <w:sz w:val="20"/>
          <w:szCs w:val="20"/>
        </w:rPr>
      </w:pPr>
      <w:r>
        <w:rPr>
          <w:rFonts w:ascii="Times New Roman" w:hAnsi="Times New Roman" w:cs="Times New Roman"/>
          <w:sz w:val="20"/>
          <w:szCs w:val="20"/>
        </w:rPr>
        <w:t xml:space="preserve">It is obvious to note that when </w:t>
      </w:r>
      <w:r w:rsidR="009C4CBA">
        <w:rPr>
          <w:rFonts w:ascii="Times New Roman" w:hAnsi="Times New Roman" w:cs="Times New Roman"/>
          <w:sz w:val="20"/>
          <w:szCs w:val="20"/>
        </w:rPr>
        <w:t>a UE is switching from a full coherent precoding matrix to a partial coherent or a non-coherent precoding matrix, the full transmitting power, solely based on the precoding matrix, will be reduced. In the 4Tx example shown in the table, the partial coherent precoding matrices have 3dB less power than that of full coherent precoding matrices, and the non-coherent precoding matrices have 6dB less power. The power reduction is not desirable.</w:t>
      </w:r>
    </w:p>
    <w:p w:rsidR="009C4CBA" w:rsidRDefault="009C4CBA" w:rsidP="00577EEA">
      <w:pPr>
        <w:rPr>
          <w:rFonts w:ascii="Times New Roman" w:hAnsi="Times New Roman" w:cs="Times New Roman"/>
          <w:sz w:val="20"/>
          <w:szCs w:val="20"/>
        </w:rPr>
      </w:pPr>
      <w:r>
        <w:rPr>
          <w:rFonts w:ascii="Times New Roman" w:hAnsi="Times New Roman" w:cs="Times New Roman"/>
          <w:sz w:val="20"/>
          <w:szCs w:val="20"/>
        </w:rPr>
        <w:t>Rel-15 NR tried to fix this issue in the UE power contr</w:t>
      </w:r>
      <w:r w:rsidR="002873A2">
        <w:rPr>
          <w:rFonts w:ascii="Times New Roman" w:hAnsi="Times New Roman" w:cs="Times New Roman"/>
          <w:sz w:val="20"/>
          <w:szCs w:val="20"/>
        </w:rPr>
        <w:t>ol section of the specification (Section 7.1 of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3A2" w:rsidRPr="0046285A" w:rsidTr="00181C9C">
        <w:tc>
          <w:tcPr>
            <w:tcW w:w="9629" w:type="dxa"/>
            <w:shd w:val="clear" w:color="auto" w:fill="auto"/>
          </w:tcPr>
          <w:p w:rsidR="002873A2" w:rsidRPr="002873A2" w:rsidRDefault="002873A2" w:rsidP="002873A2">
            <w:pPr>
              <w:rPr>
                <w:rFonts w:ascii="Times New Roman" w:hAnsi="Times New Roman" w:cs="Times New Roman"/>
                <w:sz w:val="20"/>
                <w:szCs w:val="20"/>
              </w:rPr>
            </w:pPr>
            <w:r w:rsidRPr="002873A2">
              <w:rPr>
                <w:rFonts w:ascii="Times New Roman" w:hAnsi="Times New Roman" w:cs="Times New Roman"/>
                <w:sz w:val="20"/>
                <w:szCs w:val="20"/>
              </w:rPr>
              <w:t xml:space="preserve">For PUSCH, a UE first scales a linear value </w:t>
            </w:r>
            <w:r w:rsidRPr="002873A2">
              <w:rPr>
                <w:rFonts w:ascii="Times New Roman" w:hAnsi="Times New Roman" w:cs="Times New Roman"/>
                <w:noProof/>
                <w:position w:val="-12"/>
                <w:sz w:val="20"/>
                <w:szCs w:val="20"/>
                <w:lang w:eastAsia="en-GB"/>
              </w:rPr>
              <w:drawing>
                <wp:inline distT="0" distB="0" distL="0" distR="0" wp14:anchorId="1FCBE899" wp14:editId="6CA6E72F">
                  <wp:extent cx="1066800" cy="243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066800" cy="243840"/>
                          </a:xfrm>
                          <a:prstGeom prst="rect">
                            <a:avLst/>
                          </a:prstGeom>
                          <a:noFill/>
                          <a:ln>
                            <a:noFill/>
                          </a:ln>
                        </pic:spPr>
                      </pic:pic>
                    </a:graphicData>
                  </a:graphic>
                </wp:inline>
              </w:drawing>
            </w:r>
            <w:r w:rsidRPr="002873A2">
              <w:rPr>
                <w:rFonts w:ascii="Times New Roman" w:hAnsi="Times New Roman" w:cs="Times New Roman"/>
                <w:iCs/>
                <w:sz w:val="20"/>
                <w:szCs w:val="20"/>
              </w:rPr>
              <w:t xml:space="preserve"> of the </w:t>
            </w:r>
            <w:r w:rsidRPr="002873A2">
              <w:rPr>
                <w:rFonts w:ascii="Times New Roman" w:hAnsi="Times New Roman" w:cs="Times New Roman"/>
                <w:sz w:val="20"/>
                <w:szCs w:val="20"/>
              </w:rPr>
              <w:t xml:space="preserve">transmit power </w:t>
            </w:r>
            <w:r w:rsidRPr="002873A2">
              <w:rPr>
                <w:rFonts w:ascii="Times New Roman" w:hAnsi="Times New Roman" w:cs="Times New Roman"/>
                <w:noProof/>
                <w:position w:val="-12"/>
                <w:sz w:val="20"/>
                <w:szCs w:val="20"/>
                <w:lang w:eastAsia="en-GB"/>
              </w:rPr>
              <w:drawing>
                <wp:inline distT="0" distB="0" distL="0" distR="0" wp14:anchorId="59FFD95A" wp14:editId="47424576">
                  <wp:extent cx="1043940" cy="1981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043940" cy="198120"/>
                          </a:xfrm>
                          <a:prstGeom prst="rect">
                            <a:avLst/>
                          </a:prstGeom>
                          <a:noFill/>
                          <a:ln>
                            <a:noFill/>
                          </a:ln>
                        </pic:spPr>
                      </pic:pic>
                    </a:graphicData>
                  </a:graphic>
                </wp:inline>
              </w:drawing>
            </w:r>
            <w:r w:rsidRPr="002873A2">
              <w:rPr>
                <w:rFonts w:ascii="Times New Roman" w:hAnsi="Times New Roman" w:cs="Times New Roman"/>
                <w:iCs/>
                <w:sz w:val="20"/>
                <w:szCs w:val="20"/>
              </w:rPr>
              <w:t xml:space="preserve"> </w:t>
            </w:r>
            <w:r w:rsidRPr="002873A2">
              <w:rPr>
                <w:rFonts w:ascii="Times New Roman" w:hAnsi="Times New Roman" w:cs="Times New Roman"/>
                <w:sz w:val="20"/>
                <w:szCs w:val="20"/>
              </w:rPr>
              <w:t xml:space="preserve">on UL BWP </w:t>
            </w:r>
            <w:r w:rsidRPr="002873A2">
              <w:rPr>
                <w:rFonts w:ascii="Times New Roman" w:eastAsia="Times New Roman" w:hAnsi="Times New Roman" w:cs="Times New Roman"/>
                <w:iCs/>
                <w:position w:val="-6"/>
                <w:sz w:val="20"/>
                <w:szCs w:val="20"/>
              </w:rPr>
              <w:object w:dxaOrig="180" w:dyaOrig="240">
                <v:shape id="_x0000_i1056" type="#_x0000_t75" style="width:9pt;height:12pt" o:ole="">
                  <v:imagedata r:id="rId74" o:title=""/>
                </v:shape>
                <o:OLEObject Type="Embed" ProgID="Equation.3" ShapeID="_x0000_i1056" DrawAspect="Content" ObjectID="_1599680446" r:id="rId75"/>
              </w:object>
            </w:r>
            <w:r w:rsidRPr="002873A2">
              <w:rPr>
                <w:rFonts w:ascii="Times New Roman" w:hAnsi="Times New Roman" w:cs="Times New Roman"/>
                <w:iCs/>
                <w:sz w:val="20"/>
                <w:szCs w:val="20"/>
              </w:rPr>
              <w:t xml:space="preserve">, as described in Subclause 12, of </w:t>
            </w:r>
            <w:r w:rsidRPr="002873A2">
              <w:rPr>
                <w:rFonts w:ascii="Times New Roman" w:hAnsi="Times New Roman" w:cs="Times New Roman"/>
                <w:sz w:val="20"/>
                <w:szCs w:val="20"/>
              </w:rPr>
              <w:t xml:space="preserve">carrier </w:t>
            </w:r>
            <w:r w:rsidRPr="002873A2">
              <w:rPr>
                <w:rFonts w:ascii="Times New Roman" w:eastAsia="Times New Roman" w:hAnsi="Times New Roman" w:cs="Times New Roman"/>
                <w:iCs/>
                <w:position w:val="-10"/>
                <w:sz w:val="20"/>
                <w:szCs w:val="20"/>
              </w:rPr>
              <w:object w:dxaOrig="216" w:dyaOrig="312">
                <v:shape id="_x0000_i1057" type="#_x0000_t75" style="width:10.5pt;height:15.75pt" o:ole="">
                  <v:imagedata r:id="rId76" o:title=""/>
                </v:shape>
                <o:OLEObject Type="Embed" ProgID="Equation.3" ShapeID="_x0000_i1057" DrawAspect="Content" ObjectID="_1599680447" r:id="rId77"/>
              </w:object>
            </w:r>
            <w:r w:rsidRPr="002873A2">
              <w:rPr>
                <w:rFonts w:ascii="Times New Roman" w:hAnsi="Times New Roman" w:cs="Times New Roman"/>
                <w:iCs/>
                <w:sz w:val="20"/>
                <w:szCs w:val="20"/>
              </w:rPr>
              <w:t xml:space="preserve"> of </w:t>
            </w:r>
            <w:r w:rsidRPr="002873A2">
              <w:rPr>
                <w:rFonts w:ascii="Times New Roman" w:hAnsi="Times New Roman" w:cs="Times New Roman"/>
                <w:sz w:val="20"/>
                <w:szCs w:val="20"/>
              </w:rPr>
              <w:t xml:space="preserve">serving cell </w:t>
            </w:r>
            <w:r w:rsidRPr="002873A2">
              <w:rPr>
                <w:rFonts w:ascii="Times New Roman" w:eastAsia="Times New Roman" w:hAnsi="Times New Roman" w:cs="Times New Roman"/>
                <w:iCs/>
                <w:position w:val="-6"/>
                <w:sz w:val="20"/>
                <w:szCs w:val="20"/>
              </w:rPr>
              <w:object w:dxaOrig="156" w:dyaOrig="204">
                <v:shape id="_x0000_i1058" type="#_x0000_t75" style="width:7.5pt;height:10.5pt" o:ole="">
                  <v:imagedata r:id="rId78" o:title=""/>
                </v:shape>
                <o:OLEObject Type="Embed" ProgID="Equation.3" ShapeID="_x0000_i1058" DrawAspect="Content" ObjectID="_1599680448" r:id="rId79"/>
              </w:object>
            </w:r>
            <w:r w:rsidRPr="002873A2">
              <w:rPr>
                <w:rFonts w:ascii="Times New Roman" w:hAnsi="Times New Roman" w:cs="Times New Roman"/>
                <w:iCs/>
                <w:sz w:val="20"/>
                <w:szCs w:val="20"/>
              </w:rPr>
              <w:t xml:space="preserve">, with parameters as defined in Subclause 7.1.1, </w:t>
            </w:r>
            <w:r w:rsidRPr="002873A2">
              <w:rPr>
                <w:rFonts w:ascii="Times New Roman" w:hAnsi="Times New Roman" w:cs="Times New Roman"/>
                <w:sz w:val="20"/>
                <w:szCs w:val="20"/>
              </w:rPr>
              <w:t>by the ratio of the number of antenna ports with a non-zero PUSCH transmission to the number of configured antenna ports for the transmission scheme. The resulting scaled power is then split equally across the antenna ports on which the non-zero PUSCH is transmitted.</w:t>
            </w:r>
          </w:p>
        </w:tc>
      </w:tr>
    </w:tbl>
    <w:p w:rsidR="002873A2" w:rsidRDefault="002873A2" w:rsidP="002873A2">
      <w:pPr>
        <w:rPr>
          <w:rFonts w:ascii="Times New Roman" w:hAnsi="Times New Roman" w:cs="Times New Roman"/>
          <w:sz w:val="20"/>
          <w:szCs w:val="20"/>
        </w:rPr>
      </w:pPr>
    </w:p>
    <w:p w:rsidR="002873A2" w:rsidRDefault="002873A2" w:rsidP="00577EEA">
      <w:pPr>
        <w:rPr>
          <w:rFonts w:ascii="Times New Roman" w:hAnsi="Times New Roman" w:cs="Times New Roman"/>
          <w:sz w:val="20"/>
          <w:szCs w:val="20"/>
        </w:rPr>
      </w:pPr>
      <w:r>
        <w:rPr>
          <w:rFonts w:ascii="Times New Roman" w:hAnsi="Times New Roman" w:cs="Times New Roman"/>
          <w:sz w:val="20"/>
          <w:szCs w:val="20"/>
        </w:rPr>
        <w:t>The scaling factor related to the partial/non-coherent codebooks is treated here in uplink power control as “</w:t>
      </w:r>
      <w:r w:rsidRPr="002873A2">
        <w:rPr>
          <w:rFonts w:ascii="Times New Roman" w:hAnsi="Times New Roman" w:cs="Times New Roman"/>
          <w:b/>
          <w:i/>
          <w:sz w:val="20"/>
          <w:szCs w:val="20"/>
        </w:rPr>
        <w:t>the ratio of the number of antenna ports with a non-zero PUSCH transmission to the number of configured antenna ports for the transmission scheme.</w:t>
      </w:r>
      <w:r>
        <w:rPr>
          <w:rFonts w:ascii="Times New Roman" w:hAnsi="Times New Roman" w:cs="Times New Roman"/>
          <w:sz w:val="20"/>
          <w:szCs w:val="20"/>
        </w:rPr>
        <w:t>” The intention is to ensure that the full transmission power won’t be affected when certain transmission antenna ports are muted due to partial/non-coherent precoders. However, the “configured antenna ports for the transmission scheme”, in the context of the uplink transmission, might still cause ambiguity.</w:t>
      </w:r>
      <w:r>
        <w:rPr>
          <w:rFonts w:ascii="Times New Roman" w:hAnsi="Times New Roman" w:cs="Times New Roman"/>
          <w:sz w:val="20"/>
          <w:szCs w:val="20"/>
        </w:rPr>
        <w:br/>
      </w:r>
    </w:p>
    <w:p w:rsidR="002873A2" w:rsidRDefault="000315D0" w:rsidP="00577EEA">
      <w:pPr>
        <w:rPr>
          <w:rFonts w:ascii="Times New Roman" w:hAnsi="Times New Roman" w:cs="Times New Roman"/>
          <w:sz w:val="20"/>
          <w:szCs w:val="20"/>
        </w:rPr>
      </w:pPr>
      <w:r>
        <w:rPr>
          <w:rFonts w:ascii="Times New Roman" w:hAnsi="Times New Roman" w:cs="Times New Roman"/>
          <w:sz w:val="20"/>
          <w:szCs w:val="20"/>
        </w:rPr>
        <w:t xml:space="preserve">There were discussions in RAN1 related to the UE capability with multiple RF PA chains/antenna ports. RAN4 has specified UE maximum transmission power is 23dBm, similar to that of LTE. However, at least to some UE implementation, full 23dBm power transmission won’t be possible when partial/non-coherent precoding matrices are applied. This certainly limits usability of partial/non-coherent precoders and will degrade overall uplink performance. </w:t>
      </w:r>
    </w:p>
    <w:p w:rsidR="002873A2" w:rsidRDefault="002873A2" w:rsidP="00577EEA">
      <w:pPr>
        <w:rPr>
          <w:rFonts w:ascii="Times New Roman" w:hAnsi="Times New Roman" w:cs="Times New Roman"/>
          <w:sz w:val="20"/>
          <w:szCs w:val="20"/>
        </w:rPr>
      </w:pPr>
    </w:p>
    <w:p w:rsidR="002873A2" w:rsidRDefault="002873A2" w:rsidP="002873A2">
      <w:pPr>
        <w:pStyle w:val="Heading2"/>
      </w:pPr>
      <w:r>
        <w:t>2.2</w:t>
      </w:r>
      <w:r>
        <w:tab/>
        <w:t>Specification impact</w:t>
      </w:r>
    </w:p>
    <w:p w:rsidR="009C4CBA" w:rsidRPr="002873A2" w:rsidRDefault="002873A2" w:rsidP="00577EEA">
      <w:pPr>
        <w:rPr>
          <w:rFonts w:ascii="Times New Roman" w:hAnsi="Times New Roman" w:cs="Times New Roman"/>
          <w:sz w:val="20"/>
          <w:szCs w:val="20"/>
          <w:u w:val="single"/>
        </w:rPr>
      </w:pPr>
      <w:r w:rsidRPr="002873A2">
        <w:rPr>
          <w:rFonts w:ascii="Times New Roman" w:hAnsi="Times New Roman" w:cs="Times New Roman"/>
          <w:sz w:val="20"/>
          <w:szCs w:val="20"/>
          <w:u w:val="single"/>
        </w:rPr>
        <w:t>Power control section</w:t>
      </w:r>
    </w:p>
    <w:p w:rsidR="009963DE" w:rsidRDefault="009963DE" w:rsidP="00577EEA">
      <w:pPr>
        <w:rPr>
          <w:rFonts w:ascii="Times New Roman" w:hAnsi="Times New Roman" w:cs="Times New Roman"/>
          <w:sz w:val="20"/>
          <w:szCs w:val="20"/>
        </w:rPr>
      </w:pPr>
      <w:r>
        <w:rPr>
          <w:rFonts w:ascii="Times New Roman" w:hAnsi="Times New Roman" w:cs="Times New Roman"/>
          <w:sz w:val="20"/>
          <w:szCs w:val="20"/>
        </w:rPr>
        <w:t>Further clarification on the “configured” antenna ports is needed in the uplink power control to address this issue. This shall be addressed for both Rel-15 and Rel-16 specification.</w:t>
      </w:r>
    </w:p>
    <w:p w:rsidR="000315D0" w:rsidRPr="00553335" w:rsidRDefault="001F3136" w:rsidP="00577EEA">
      <w:pPr>
        <w:rPr>
          <w:rFonts w:ascii="Times New Roman" w:hAnsi="Times New Roman" w:cs="Times New Roman"/>
          <w:b/>
          <w:sz w:val="20"/>
          <w:szCs w:val="20"/>
        </w:rPr>
      </w:pPr>
      <w:r w:rsidRPr="00553335">
        <w:rPr>
          <w:rFonts w:ascii="Times New Roman" w:hAnsi="Times New Roman" w:cs="Times New Roman"/>
          <w:b/>
          <w:sz w:val="20"/>
          <w:szCs w:val="20"/>
        </w:rPr>
        <w:t>Observation 1</w:t>
      </w:r>
      <w:r w:rsidR="0028521A" w:rsidRPr="00553335">
        <w:rPr>
          <w:rFonts w:ascii="Times New Roman" w:hAnsi="Times New Roman" w:cs="Times New Roman"/>
          <w:b/>
          <w:sz w:val="20"/>
          <w:szCs w:val="20"/>
        </w:rPr>
        <w:t xml:space="preserve">: </w:t>
      </w:r>
      <w:r w:rsidR="00600F36" w:rsidRPr="00553335">
        <w:rPr>
          <w:rFonts w:ascii="Times New Roman" w:hAnsi="Times New Roman" w:cs="Times New Roman"/>
          <w:b/>
          <w:sz w:val="20"/>
          <w:szCs w:val="20"/>
        </w:rPr>
        <w:t>Clarif</w:t>
      </w:r>
      <w:r w:rsidRPr="00553335">
        <w:rPr>
          <w:rFonts w:ascii="Times New Roman" w:hAnsi="Times New Roman" w:cs="Times New Roman"/>
          <w:b/>
          <w:sz w:val="20"/>
          <w:szCs w:val="20"/>
        </w:rPr>
        <w:t>ication</w:t>
      </w:r>
      <w:r w:rsidR="00600F36" w:rsidRPr="00553335">
        <w:rPr>
          <w:rFonts w:ascii="Times New Roman" w:hAnsi="Times New Roman" w:cs="Times New Roman"/>
          <w:b/>
          <w:sz w:val="20"/>
          <w:szCs w:val="20"/>
        </w:rPr>
        <w:t xml:space="preserve"> on the uplink power control on the number of “configured” antenna ports is needed to address this issue.</w:t>
      </w:r>
    </w:p>
    <w:p w:rsidR="00600F36" w:rsidRPr="00600F36" w:rsidRDefault="00600F36" w:rsidP="00577EEA">
      <w:pPr>
        <w:rPr>
          <w:rFonts w:ascii="Times New Roman" w:hAnsi="Times New Roman" w:cs="Times New Roman"/>
          <w:sz w:val="20"/>
          <w:szCs w:val="20"/>
        </w:rPr>
      </w:pPr>
    </w:p>
    <w:p w:rsidR="002873A2" w:rsidRDefault="002873A2" w:rsidP="00577EEA">
      <w:pPr>
        <w:rPr>
          <w:rFonts w:ascii="Times New Roman" w:hAnsi="Times New Roman" w:cs="Times New Roman"/>
          <w:sz w:val="20"/>
          <w:szCs w:val="20"/>
          <w:u w:val="single"/>
        </w:rPr>
      </w:pPr>
      <w:r w:rsidRPr="002873A2">
        <w:rPr>
          <w:rFonts w:ascii="Times New Roman" w:hAnsi="Times New Roman" w:cs="Times New Roman"/>
          <w:sz w:val="20"/>
          <w:szCs w:val="20"/>
          <w:u w:val="single"/>
        </w:rPr>
        <w:t>Scaling factor of uplink codebook</w:t>
      </w:r>
    </w:p>
    <w:p w:rsidR="009963DE" w:rsidRDefault="009963DE" w:rsidP="00577EEA">
      <w:pPr>
        <w:rPr>
          <w:rFonts w:ascii="Times New Roman" w:hAnsi="Times New Roman" w:cs="Times New Roman"/>
          <w:sz w:val="20"/>
          <w:szCs w:val="20"/>
        </w:rPr>
      </w:pPr>
      <w:r>
        <w:rPr>
          <w:rFonts w:ascii="Times New Roman" w:hAnsi="Times New Roman" w:cs="Times New Roman"/>
          <w:sz w:val="20"/>
          <w:szCs w:val="20"/>
        </w:rPr>
        <w:t>An alternative approach is to revisit the scaling factor of uplink codebooks. One approach is to normalize the total Tx power to one, regardless of coherent or non-coherent precoders. This should be addressed to both Rel-15 and Rel-16 specification, though.</w:t>
      </w:r>
      <w:r w:rsidR="00553335">
        <w:rPr>
          <w:rFonts w:ascii="Times New Roman" w:hAnsi="Times New Roman" w:cs="Times New Roman"/>
          <w:sz w:val="20"/>
          <w:szCs w:val="20"/>
        </w:rPr>
        <w:t xml:space="preserve"> With this modification, there is no need to address this issue under the uplink power control section.</w:t>
      </w:r>
    </w:p>
    <w:p w:rsidR="000315D0" w:rsidRPr="00553335" w:rsidRDefault="001F3136" w:rsidP="00577EEA">
      <w:pPr>
        <w:rPr>
          <w:rFonts w:ascii="Times New Roman" w:hAnsi="Times New Roman" w:cs="Times New Roman"/>
          <w:b/>
          <w:sz w:val="20"/>
          <w:szCs w:val="20"/>
        </w:rPr>
      </w:pPr>
      <w:r w:rsidRPr="00553335">
        <w:rPr>
          <w:rFonts w:ascii="Times New Roman" w:hAnsi="Times New Roman" w:cs="Times New Roman"/>
          <w:b/>
          <w:sz w:val="20"/>
          <w:szCs w:val="20"/>
        </w:rPr>
        <w:t xml:space="preserve">Observation 2: </w:t>
      </w:r>
      <w:r w:rsidR="00600F36" w:rsidRPr="00553335">
        <w:rPr>
          <w:rFonts w:ascii="Times New Roman" w:hAnsi="Times New Roman" w:cs="Times New Roman"/>
          <w:b/>
          <w:sz w:val="20"/>
          <w:szCs w:val="20"/>
        </w:rPr>
        <w:t xml:space="preserve">Alternative to resolve this issue is to change the normalization of the scaling factor of all uplink codebook. </w:t>
      </w:r>
    </w:p>
    <w:p w:rsidR="00600F36" w:rsidRDefault="00600F36" w:rsidP="00577EEA">
      <w:pPr>
        <w:rPr>
          <w:rFonts w:ascii="Times New Roman" w:hAnsi="Times New Roman" w:cs="Times New Roman"/>
          <w:sz w:val="20"/>
          <w:szCs w:val="20"/>
          <w:u w:val="single"/>
        </w:rPr>
      </w:pPr>
    </w:p>
    <w:p w:rsidR="002873A2" w:rsidRPr="002873A2" w:rsidRDefault="002873A2" w:rsidP="00577EEA">
      <w:pPr>
        <w:rPr>
          <w:rFonts w:ascii="Times New Roman" w:hAnsi="Times New Roman" w:cs="Times New Roman"/>
          <w:sz w:val="20"/>
          <w:szCs w:val="20"/>
          <w:u w:val="single"/>
        </w:rPr>
      </w:pPr>
      <w:r>
        <w:rPr>
          <w:rFonts w:ascii="Times New Roman" w:hAnsi="Times New Roman" w:cs="Times New Roman"/>
          <w:sz w:val="20"/>
          <w:szCs w:val="20"/>
          <w:u w:val="single"/>
        </w:rPr>
        <w:t>RAN4 impact</w:t>
      </w:r>
    </w:p>
    <w:p w:rsidR="00A75000" w:rsidRPr="00600F36" w:rsidRDefault="00553335" w:rsidP="00577EEA">
      <w:pPr>
        <w:rPr>
          <w:rFonts w:ascii="Times New Roman" w:hAnsi="Times New Roman" w:cs="Times New Roman"/>
          <w:sz w:val="20"/>
          <w:szCs w:val="20"/>
        </w:rPr>
      </w:pPr>
      <w:r>
        <w:rPr>
          <w:rFonts w:ascii="Times New Roman" w:hAnsi="Times New Roman" w:cs="Times New Roman"/>
          <w:sz w:val="20"/>
          <w:szCs w:val="20"/>
        </w:rPr>
        <w:t xml:space="preserve">The other issue is related to UE vendor’s implementation. </w:t>
      </w:r>
      <w:r w:rsidR="00600F36">
        <w:rPr>
          <w:rFonts w:ascii="Times New Roman" w:hAnsi="Times New Roman" w:cs="Times New Roman"/>
          <w:sz w:val="20"/>
          <w:szCs w:val="20"/>
        </w:rPr>
        <w:t>UE</w:t>
      </w:r>
      <w:r w:rsidR="00600F36" w:rsidRPr="00600F36">
        <w:rPr>
          <w:rFonts w:ascii="Times New Roman" w:hAnsi="Times New Roman" w:cs="Times New Roman"/>
          <w:sz w:val="20"/>
          <w:szCs w:val="20"/>
        </w:rPr>
        <w:t xml:space="preserve"> maximum </w:t>
      </w:r>
      <w:r w:rsidR="00600F36">
        <w:rPr>
          <w:rFonts w:ascii="Times New Roman" w:hAnsi="Times New Roman" w:cs="Times New Roman"/>
          <w:sz w:val="20"/>
          <w:szCs w:val="20"/>
        </w:rPr>
        <w:t xml:space="preserve">transmission power (23dBm) is specified as the full transmission power, regardless of </w:t>
      </w:r>
      <w:r w:rsidR="0039015E">
        <w:rPr>
          <w:rFonts w:ascii="Times New Roman" w:hAnsi="Times New Roman" w:cs="Times New Roman"/>
          <w:sz w:val="20"/>
          <w:szCs w:val="20"/>
        </w:rPr>
        <w:t xml:space="preserve">various uplink precoders. If some UE’s implementation needs an exception for partial/non-coherent precoders, this issue should be addressed in RAN4, where new UE power class might be specified. </w:t>
      </w:r>
    </w:p>
    <w:p w:rsidR="008D0E2E" w:rsidRPr="00553335" w:rsidRDefault="00553335" w:rsidP="0052500C">
      <w:pPr>
        <w:jc w:val="both"/>
        <w:rPr>
          <w:rFonts w:ascii="Times New Roman" w:hAnsi="Times New Roman" w:cs="Times New Roman"/>
          <w:b/>
          <w:sz w:val="20"/>
          <w:szCs w:val="20"/>
        </w:rPr>
      </w:pPr>
      <w:r w:rsidRPr="00553335">
        <w:rPr>
          <w:rFonts w:ascii="Times New Roman" w:hAnsi="Times New Roman" w:cs="Times New Roman"/>
          <w:b/>
          <w:sz w:val="20"/>
          <w:szCs w:val="20"/>
        </w:rPr>
        <w:t>Observation 3: RAN4 impact may be considered to define new UE power class where the maximum Tx power (23dBm) won’t be reached when non-coherent and partial-coherent precoding matrices are used.</w:t>
      </w:r>
    </w:p>
    <w:p w:rsidR="00C37368" w:rsidRDefault="00C37368" w:rsidP="00BC27A2">
      <w:pPr>
        <w:jc w:val="both"/>
        <w:rPr>
          <w:rFonts w:ascii="Times New Roman" w:hAnsi="Times New Roman" w:cs="Times New Roman"/>
          <w:sz w:val="20"/>
          <w:szCs w:val="20"/>
        </w:rPr>
      </w:pPr>
    </w:p>
    <w:p w:rsidR="00930825" w:rsidRDefault="003673B3" w:rsidP="00B12B1E">
      <w:pPr>
        <w:pStyle w:val="Heading1"/>
        <w:jc w:val="both"/>
      </w:pPr>
      <w:r>
        <w:t>3</w:t>
      </w:r>
      <w:r w:rsidR="00930825">
        <w:tab/>
        <w:t>Conclusion</w:t>
      </w:r>
      <w:r w:rsidR="00B47610">
        <w:t>s</w:t>
      </w:r>
    </w:p>
    <w:p w:rsidR="00D60C0C" w:rsidRDefault="00553335" w:rsidP="002B7F6C">
      <w:pPr>
        <w:jc w:val="both"/>
        <w:rPr>
          <w:rFonts w:ascii="Times New Roman" w:hAnsi="Times New Roman" w:cs="Times New Roman"/>
          <w:sz w:val="20"/>
          <w:szCs w:val="20"/>
        </w:rPr>
      </w:pPr>
      <w:r>
        <w:rPr>
          <w:rFonts w:ascii="Times New Roman" w:hAnsi="Times New Roman" w:cs="Times New Roman"/>
          <w:sz w:val="20"/>
          <w:szCs w:val="20"/>
        </w:rPr>
        <w:t xml:space="preserve">The full uplink Tx power issue with non/partial coherent precoders is discussed in the contribution. The specification related solutions are also discussed </w:t>
      </w:r>
      <w:r w:rsidR="00905869">
        <w:rPr>
          <w:rFonts w:ascii="Times New Roman" w:hAnsi="Times New Roman" w:cs="Times New Roman"/>
          <w:sz w:val="20"/>
          <w:szCs w:val="20"/>
        </w:rPr>
        <w:t>with these observations:</w:t>
      </w:r>
    </w:p>
    <w:p w:rsidR="00905869" w:rsidRPr="00553335" w:rsidRDefault="00905869" w:rsidP="00905869">
      <w:pPr>
        <w:rPr>
          <w:rFonts w:ascii="Times New Roman" w:hAnsi="Times New Roman" w:cs="Times New Roman"/>
          <w:b/>
          <w:sz w:val="20"/>
          <w:szCs w:val="20"/>
        </w:rPr>
      </w:pPr>
      <w:r w:rsidRPr="00553335">
        <w:rPr>
          <w:rFonts w:ascii="Times New Roman" w:hAnsi="Times New Roman" w:cs="Times New Roman"/>
          <w:b/>
          <w:sz w:val="20"/>
          <w:szCs w:val="20"/>
        </w:rPr>
        <w:t>Observation 1: Clarification on the uplink power control on the number of “configured” antenna ports is needed to address this issue.</w:t>
      </w:r>
    </w:p>
    <w:p w:rsidR="00905869" w:rsidRPr="00553335" w:rsidRDefault="00905869" w:rsidP="00905869">
      <w:pPr>
        <w:rPr>
          <w:rFonts w:ascii="Times New Roman" w:hAnsi="Times New Roman" w:cs="Times New Roman"/>
          <w:b/>
          <w:sz w:val="20"/>
          <w:szCs w:val="20"/>
        </w:rPr>
      </w:pPr>
      <w:r w:rsidRPr="00553335">
        <w:rPr>
          <w:rFonts w:ascii="Times New Roman" w:hAnsi="Times New Roman" w:cs="Times New Roman"/>
          <w:b/>
          <w:sz w:val="20"/>
          <w:szCs w:val="20"/>
        </w:rPr>
        <w:t xml:space="preserve">Observation 2: Alternative to resolve this issue is to change the normalization of the scaling factor of all uplink codebook. </w:t>
      </w:r>
    </w:p>
    <w:p w:rsidR="00905869" w:rsidRPr="00553335" w:rsidRDefault="00905869" w:rsidP="00905869">
      <w:pPr>
        <w:jc w:val="both"/>
        <w:rPr>
          <w:rFonts w:ascii="Times New Roman" w:hAnsi="Times New Roman" w:cs="Times New Roman"/>
          <w:b/>
          <w:sz w:val="20"/>
          <w:szCs w:val="20"/>
        </w:rPr>
      </w:pPr>
      <w:r w:rsidRPr="00553335">
        <w:rPr>
          <w:rFonts w:ascii="Times New Roman" w:hAnsi="Times New Roman" w:cs="Times New Roman"/>
          <w:b/>
          <w:sz w:val="20"/>
          <w:szCs w:val="20"/>
        </w:rPr>
        <w:t>Observation 3: RAN4 impact may be considered to define new UE power class where the maximum Tx power (23dBm) won’t be reached when non-coherent and partial-coherent precoding matrices are used.</w:t>
      </w:r>
    </w:p>
    <w:p w:rsidR="00553335" w:rsidRDefault="00553335" w:rsidP="002B7F6C">
      <w:pPr>
        <w:jc w:val="both"/>
        <w:rPr>
          <w:rFonts w:ascii="Times New Roman" w:hAnsi="Times New Roman" w:cs="Times New Roman"/>
          <w:sz w:val="20"/>
          <w:szCs w:val="20"/>
        </w:rPr>
      </w:pPr>
    </w:p>
    <w:p w:rsidR="00453A60" w:rsidRPr="00791982" w:rsidRDefault="00453A60" w:rsidP="00B12B1E">
      <w:pPr>
        <w:pStyle w:val="Heading1"/>
        <w:jc w:val="both"/>
      </w:pPr>
      <w:r w:rsidRPr="00E86042">
        <w:t>References</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r>
      <w:r w:rsidR="00577EEA">
        <w:rPr>
          <w:rFonts w:ascii="Times New Roman" w:hAnsi="Times New Roman" w:cs="Times New Roman"/>
          <w:sz w:val="20"/>
          <w:szCs w:val="20"/>
        </w:rPr>
        <w:t>RP-182067, Revised WID: enhancements on MIMO for NR, RAN #81, Sept, 2018</w:t>
      </w:r>
    </w:p>
    <w:p w:rsidR="00577EEA" w:rsidRDefault="00577EEA" w:rsidP="00B12B1E">
      <w:pPr>
        <w:ind w:left="540" w:hanging="540"/>
        <w:jc w:val="both"/>
        <w:rPr>
          <w:rFonts w:ascii="Times New Roman" w:hAnsi="Times New Roman" w:cs="Times New Roman"/>
          <w:sz w:val="20"/>
          <w:szCs w:val="20"/>
        </w:rPr>
      </w:pPr>
    </w:p>
    <w:p w:rsidR="00B47610" w:rsidRDefault="00B47610" w:rsidP="00B47610">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607" w:rsidRDefault="00A67607">
      <w:r>
        <w:separator/>
      </w:r>
    </w:p>
  </w:endnote>
  <w:endnote w:type="continuationSeparator" w:id="0">
    <w:p w:rsidR="00A67607" w:rsidRDefault="00A6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607" w:rsidRDefault="00A67607">
      <w:r>
        <w:separator/>
      </w:r>
    </w:p>
  </w:footnote>
  <w:footnote w:type="continuationSeparator" w:id="0">
    <w:p w:rsidR="00A67607" w:rsidRDefault="00A67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9"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2"/>
  </w:num>
  <w:num w:numId="2">
    <w:abstractNumId w:val="6"/>
  </w:num>
  <w:num w:numId="3">
    <w:abstractNumId w:val="10"/>
  </w:num>
  <w:num w:numId="4">
    <w:abstractNumId w:val="16"/>
  </w:num>
  <w:num w:numId="5">
    <w:abstractNumId w:val="30"/>
  </w:num>
  <w:num w:numId="6">
    <w:abstractNumId w:val="11"/>
  </w:num>
  <w:num w:numId="7">
    <w:abstractNumId w:val="28"/>
  </w:num>
  <w:num w:numId="8">
    <w:abstractNumId w:val="29"/>
  </w:num>
  <w:num w:numId="9">
    <w:abstractNumId w:val="0"/>
  </w:num>
  <w:num w:numId="10">
    <w:abstractNumId w:val="17"/>
  </w:num>
  <w:num w:numId="11">
    <w:abstractNumId w:val="4"/>
  </w:num>
  <w:num w:numId="12">
    <w:abstractNumId w:val="20"/>
  </w:num>
  <w:num w:numId="13">
    <w:abstractNumId w:val="27"/>
  </w:num>
  <w:num w:numId="14">
    <w:abstractNumId w:val="22"/>
  </w:num>
  <w:num w:numId="15">
    <w:abstractNumId w:val="19"/>
  </w:num>
  <w:num w:numId="16">
    <w:abstractNumId w:val="3"/>
  </w:num>
  <w:num w:numId="17">
    <w:abstractNumId w:val="1"/>
  </w:num>
  <w:num w:numId="18">
    <w:abstractNumId w:val="5"/>
  </w:num>
  <w:num w:numId="19">
    <w:abstractNumId w:val="26"/>
  </w:num>
  <w:num w:numId="20">
    <w:abstractNumId w:val="14"/>
  </w:num>
  <w:num w:numId="21">
    <w:abstractNumId w:val="15"/>
  </w:num>
  <w:num w:numId="22">
    <w:abstractNumId w:val="2"/>
  </w:num>
  <w:num w:numId="23">
    <w:abstractNumId w:val="25"/>
  </w:num>
  <w:num w:numId="24">
    <w:abstractNumId w:val="24"/>
  </w:num>
  <w:num w:numId="25">
    <w:abstractNumId w:val="21"/>
  </w:num>
  <w:num w:numId="26">
    <w:abstractNumId w:val="31"/>
  </w:num>
  <w:num w:numId="27">
    <w:abstractNumId w:val="9"/>
  </w:num>
  <w:num w:numId="28">
    <w:abstractNumId w:val="18"/>
  </w:num>
  <w:num w:numId="29">
    <w:abstractNumId w:val="23"/>
  </w:num>
  <w:num w:numId="30">
    <w:abstractNumId w:val="8"/>
  </w:num>
  <w:num w:numId="31">
    <w:abstractNumId w:val="7"/>
  </w:num>
  <w:num w:numId="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2CC"/>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F96"/>
    <w:rsid w:val="00313FD2"/>
    <w:rsid w:val="003148CD"/>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0E2E"/>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607"/>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B036FF"/>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C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148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8C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0.wmf"/><Relationship Id="rId76" Type="http://schemas.openxmlformats.org/officeDocument/2006/relationships/image" Target="media/image35.wmf"/><Relationship Id="rId7" Type="http://schemas.openxmlformats.org/officeDocument/2006/relationships/styles" Target="styles.xml"/><Relationship Id="rId71" Type="http://schemas.openxmlformats.org/officeDocument/2006/relationships/oleObject" Target="embeddings/oleObject30.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4.wmf"/><Relationship Id="rId79" Type="http://schemas.openxmlformats.org/officeDocument/2006/relationships/oleObject" Target="embeddings/oleObject33.bin"/><Relationship Id="rId5" Type="http://schemas.openxmlformats.org/officeDocument/2006/relationships/customXml" Target="../customXml/item5.xml"/><Relationship Id="rId61" Type="http://schemas.openxmlformats.org/officeDocument/2006/relationships/oleObject" Target="embeddings/oleObject25.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image" Target="media/image33.wmf"/><Relationship Id="rId78" Type="http://schemas.openxmlformats.org/officeDocument/2006/relationships/image" Target="media/image36.wmf"/><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oleObject" Target="embeddings/oleObject32.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image" Target="media/image32.wmf"/><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oleObject" Target="embeddings/oleObject2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5.xml><?xml version="1.0" encoding="utf-8"?>
<ds:datastoreItem xmlns:ds="http://schemas.openxmlformats.org/officeDocument/2006/customXml" ds:itemID="{CA303ED2-271B-41F9-B64F-36C8F8A9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4</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 - after RAN1#94</cp:lastModifiedBy>
  <cp:revision>26</cp:revision>
  <dcterms:created xsi:type="dcterms:W3CDTF">2018-08-10T05:23:00Z</dcterms:created>
  <dcterms:modified xsi:type="dcterms:W3CDTF">2018-09-28T19:53:00Z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