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20D" w:rsidRPr="0056520D" w:rsidRDefault="0056520D" w:rsidP="0056520D">
      <w:pPr>
        <w:pStyle w:val="Header"/>
        <w:rPr>
          <w:lang w:val="de-DE"/>
        </w:rPr>
      </w:pPr>
      <w:r w:rsidRPr="0056520D">
        <w:rPr>
          <w:lang w:val="de-DE"/>
        </w:rPr>
        <w:t>3GPP TSG-RAN WG1</w:t>
      </w:r>
      <w:r w:rsidR="00E329D8">
        <w:rPr>
          <w:lang w:val="de-DE"/>
        </w:rPr>
        <w:t>#9</w:t>
      </w:r>
      <w:r w:rsidR="008246D0">
        <w:rPr>
          <w:lang w:val="de-DE"/>
        </w:rPr>
        <w:t>4</w:t>
      </w:r>
      <w:r w:rsidRPr="0056520D">
        <w:rPr>
          <w:lang w:val="de-DE"/>
        </w:rPr>
        <w:tab/>
      </w:r>
      <w:r>
        <w:rPr>
          <w:lang w:val="de-DE"/>
        </w:rPr>
        <w:tab/>
      </w:r>
      <w:r w:rsidR="009702CD">
        <w:rPr>
          <w:lang w:val="de-DE"/>
        </w:rPr>
        <w:t>R1-18</w:t>
      </w:r>
      <w:r w:rsidR="00BD446E">
        <w:rPr>
          <w:lang w:val="de-DE"/>
        </w:rPr>
        <w:t>09410</w:t>
      </w:r>
    </w:p>
    <w:p w:rsidR="00467EDC" w:rsidRDefault="00B760DF" w:rsidP="00467EDC">
      <w:pPr>
        <w:pStyle w:val="Header"/>
        <w:rPr>
          <w:lang w:val="de-DE"/>
        </w:rPr>
      </w:pPr>
      <w:r>
        <w:rPr>
          <w:lang w:val="de-DE"/>
        </w:rPr>
        <w:t>Gothenburg</w:t>
      </w:r>
      <w:r w:rsidR="00467EDC">
        <w:rPr>
          <w:lang w:val="de-DE"/>
        </w:rPr>
        <w:t xml:space="preserve">, </w:t>
      </w:r>
      <w:r>
        <w:rPr>
          <w:lang w:val="de-DE"/>
        </w:rPr>
        <w:t>Sweden</w:t>
      </w:r>
      <w:r w:rsidR="00467EDC" w:rsidRPr="0056520D">
        <w:rPr>
          <w:lang w:val="de-DE"/>
        </w:rPr>
        <w:t xml:space="preserve">, </w:t>
      </w:r>
      <w:r>
        <w:rPr>
          <w:lang w:val="de-DE"/>
        </w:rPr>
        <w:t>August</w:t>
      </w:r>
      <w:r w:rsidR="00467EDC">
        <w:rPr>
          <w:lang w:val="de-DE"/>
        </w:rPr>
        <w:t xml:space="preserve"> </w:t>
      </w:r>
      <w:r w:rsidR="0079089C">
        <w:rPr>
          <w:lang w:val="de-DE"/>
        </w:rPr>
        <w:t>2</w:t>
      </w:r>
      <w:r>
        <w:rPr>
          <w:lang w:val="de-DE"/>
        </w:rPr>
        <w:t>0</w:t>
      </w:r>
      <w:r w:rsidR="00467EDC">
        <w:rPr>
          <w:lang w:val="de-DE"/>
        </w:rPr>
        <w:t xml:space="preserve"> – </w:t>
      </w:r>
      <w:r w:rsidR="008A766A">
        <w:rPr>
          <w:lang w:val="de-DE"/>
        </w:rPr>
        <w:t>2</w:t>
      </w:r>
      <w:r>
        <w:rPr>
          <w:lang w:val="de-DE"/>
        </w:rPr>
        <w:t>4</w:t>
      </w:r>
      <w:r w:rsidR="00467EDC">
        <w:rPr>
          <w:lang w:val="de-DE"/>
        </w:rPr>
        <w:t>, 2018</w:t>
      </w:r>
    </w:p>
    <w:p w:rsidR="0056520D" w:rsidRPr="000833FA" w:rsidRDefault="0056520D" w:rsidP="0056520D">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0" w:name="Title"/>
      <w:bookmarkEnd w:id="0"/>
      <w:r w:rsidRPr="0003368D">
        <w:tab/>
      </w:r>
      <w:r w:rsidR="00BD446E" w:rsidRPr="00BD446E">
        <w:t>Remaining issues on Power Control</w:t>
      </w:r>
    </w:p>
    <w:p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329D8">
        <w:t>1.</w:t>
      </w:r>
      <w:r w:rsidR="00B760DF">
        <w:t>5</w:t>
      </w:r>
    </w:p>
    <w:p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8D5137" w:rsidRPr="007D4902" w:rsidRDefault="005F3136" w:rsidP="008D5137">
      <w:pPr>
        <w:pStyle w:val="BodyText"/>
        <w:rPr>
          <w:lang w:val="en-AU"/>
        </w:rPr>
      </w:pPr>
      <w:bookmarkStart w:id="3" w:name="_Ref178064866"/>
      <w:r w:rsidRPr="007D4902">
        <w:rPr>
          <w:lang w:val="en-AU"/>
        </w:rPr>
        <w:t xml:space="preserve">In </w:t>
      </w:r>
      <w:r>
        <w:rPr>
          <w:lang w:val="en-AU"/>
        </w:rPr>
        <w:t>this document we discuss some remaining issues for finalising NR power control</w:t>
      </w:r>
      <w:r w:rsidR="00B922A7">
        <w:rPr>
          <w:lang w:val="en-AU"/>
        </w:rPr>
        <w:t xml:space="preserve"> specifications</w:t>
      </w:r>
      <w:r w:rsidR="0071094E">
        <w:rPr>
          <w:lang w:val="en-AU"/>
        </w:rPr>
        <w:t>.</w:t>
      </w:r>
    </w:p>
    <w:bookmarkEnd w:id="3"/>
    <w:p w:rsidR="000A74B8" w:rsidRDefault="00113113" w:rsidP="000A74B8">
      <w:pPr>
        <w:pStyle w:val="Heading1"/>
      </w:pPr>
      <w:r>
        <w:t>Discussion</w:t>
      </w:r>
      <w:bookmarkStart w:id="4" w:name="_GoBack"/>
      <w:bookmarkEnd w:id="4"/>
    </w:p>
    <w:p w:rsidR="00376F9D" w:rsidRPr="00836E6C" w:rsidRDefault="00376F9D" w:rsidP="00376F9D">
      <w:pPr>
        <w:pStyle w:val="Heading2"/>
        <w:rPr>
          <w:u w:val="single"/>
        </w:rPr>
      </w:pPr>
      <w:r>
        <w:rPr>
          <w:u w:val="single"/>
        </w:rPr>
        <w:t>P</w:t>
      </w:r>
      <w:r w:rsidR="001B7D17">
        <w:rPr>
          <w:u w:val="single"/>
        </w:rPr>
        <w:t xml:space="preserve">ower </w:t>
      </w:r>
      <w:r w:rsidR="00C05024">
        <w:rPr>
          <w:u w:val="single"/>
        </w:rPr>
        <w:t>Control for Rel15 NR-NR DC</w:t>
      </w:r>
    </w:p>
    <w:p w:rsidR="005B3DD7" w:rsidRDefault="005B3DD7" w:rsidP="00C05024">
      <w:pPr>
        <w:jc w:val="both"/>
      </w:pPr>
      <w:r>
        <w:rPr>
          <w:noProof/>
        </w:rPr>
        <w:drawing>
          <wp:inline distT="0" distB="0" distL="0" distR="0" wp14:anchorId="04F9EBA2" wp14:editId="35B7F504">
            <wp:extent cx="3971925" cy="399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971925" cy="3990975"/>
                    </a:xfrm>
                    <a:prstGeom prst="rect">
                      <a:avLst/>
                    </a:prstGeom>
                  </pic:spPr>
                </pic:pic>
              </a:graphicData>
            </a:graphic>
          </wp:inline>
        </w:drawing>
      </w:r>
    </w:p>
    <w:p w:rsidR="005B3DD7" w:rsidRDefault="005B3DD7" w:rsidP="00C05024">
      <w:pPr>
        <w:jc w:val="both"/>
      </w:pPr>
    </w:p>
    <w:p w:rsidR="005B3DD7" w:rsidRDefault="00443E1F" w:rsidP="00C05024">
      <w:pPr>
        <w:jc w:val="both"/>
      </w:pPr>
      <w:r>
        <w:t xml:space="preserve">According to [4] agreed in RAN#80, </w:t>
      </w:r>
      <w:r w:rsidR="00652A2C">
        <w:t xml:space="preserve">specification work for </w:t>
      </w:r>
      <w:r>
        <w:t xml:space="preserve">NR-NR DC </w:t>
      </w:r>
      <w:r w:rsidR="00652A2C">
        <w:t xml:space="preserve">case </w:t>
      </w:r>
      <w:r>
        <w:t xml:space="preserve">with </w:t>
      </w:r>
      <w:r w:rsidR="00652A2C">
        <w:t xml:space="preserve">MCG fully in FR1 and SCG fully in FR2 needs to be completed by Dec’18. </w:t>
      </w:r>
      <w:r w:rsidR="005B3DD7">
        <w:t xml:space="preserve"> </w:t>
      </w:r>
    </w:p>
    <w:p w:rsidR="005B3DD7" w:rsidRDefault="005B3DD7" w:rsidP="00C05024">
      <w:pPr>
        <w:jc w:val="both"/>
        <w:rPr>
          <w:noProof/>
        </w:rPr>
      </w:pPr>
    </w:p>
    <w:p w:rsidR="00443E1F" w:rsidRDefault="00652A2C" w:rsidP="00C05024">
      <w:pPr>
        <w:jc w:val="both"/>
      </w:pPr>
      <w:r>
        <w:rPr>
          <w:noProof/>
        </w:rPr>
        <w:t xml:space="preserve">Considering </w:t>
      </w:r>
      <w:r w:rsidR="005B3DD7">
        <w:rPr>
          <w:noProof/>
        </w:rPr>
        <w:t xml:space="preserve">the </w:t>
      </w:r>
      <w:r>
        <w:rPr>
          <w:noProof/>
        </w:rPr>
        <w:t>power control aspects for this case, according to current RAN4 specification</w:t>
      </w:r>
      <w:r w:rsidR="005B3DD7">
        <w:rPr>
          <w:noProof/>
        </w:rPr>
        <w:t>s,</w:t>
      </w:r>
      <w:r>
        <w:rPr>
          <w:noProof/>
        </w:rPr>
        <w:t xml:space="preserve"> UE power limts for FR1 (specified in 38.101-1) and FR2 (specified in 38.101-2) are different, and th</w:t>
      </w:r>
      <w:r w:rsidR="00B10BAD">
        <w:rPr>
          <w:noProof/>
        </w:rPr>
        <w:t>e</w:t>
      </w:r>
      <w:r>
        <w:rPr>
          <w:noProof/>
        </w:rPr>
        <w:t xml:space="preserve">re is no common power limit shared by UE transmissions across these frequency ranges. Given this, when </w:t>
      </w:r>
      <w:r>
        <w:t xml:space="preserve">MCG </w:t>
      </w:r>
      <w:r w:rsidR="0067026D">
        <w:t xml:space="preserve">is </w:t>
      </w:r>
      <w:r>
        <w:t xml:space="preserve">fully in FR1 and SCG </w:t>
      </w:r>
      <w:r w:rsidR="0067026D">
        <w:t xml:space="preserve">is </w:t>
      </w:r>
      <w:r>
        <w:t>fully in FR2, a power sharing mechanism between MCG and SCG need not be specified.</w:t>
      </w:r>
      <w:r w:rsidR="0067026D">
        <w:t xml:space="preserve"> For power control of serving cells within MCG and SCG respectively, the procedures described in section 7 of 38.213 other than sub clause 7.6.1 can be directly applied.</w:t>
      </w:r>
      <w:r>
        <w:t xml:space="preserve"> </w:t>
      </w:r>
      <w:r w:rsidR="00B10BAD">
        <w:t>W</w:t>
      </w:r>
      <w:r w:rsidR="0067026D">
        <w:t xml:space="preserve">e propose that RAN1 </w:t>
      </w:r>
      <w:r w:rsidR="005B3DD7">
        <w:t xml:space="preserve">conclude on the </w:t>
      </w:r>
      <w:r w:rsidR="0067026D">
        <w:t xml:space="preserve">above aspect and send </w:t>
      </w:r>
      <w:r w:rsidR="005B3DD7">
        <w:t>a</w:t>
      </w:r>
      <w:r w:rsidR="0067026D">
        <w:t xml:space="preserve"> LS to RAN4 to confirm</w:t>
      </w:r>
      <w:r w:rsidR="005B3DD7">
        <w:t xml:space="preserve"> the conclusions</w:t>
      </w:r>
      <w:r w:rsidR="0067026D">
        <w:t xml:space="preserve">. </w:t>
      </w:r>
    </w:p>
    <w:p w:rsidR="0067026D" w:rsidRDefault="0067026D" w:rsidP="00C05024">
      <w:pPr>
        <w:jc w:val="both"/>
        <w:rPr>
          <w:noProof/>
        </w:rPr>
      </w:pPr>
    </w:p>
    <w:p w:rsidR="00F0420F" w:rsidRDefault="00987CDC" w:rsidP="00824DB3">
      <w:pPr>
        <w:jc w:val="both"/>
        <w:rPr>
          <w:b/>
          <w:u w:val="single"/>
        </w:rPr>
      </w:pPr>
      <w:r w:rsidRPr="00D154CE">
        <w:rPr>
          <w:b/>
          <w:u w:val="single"/>
        </w:rPr>
        <w:t>Proposal 1</w:t>
      </w:r>
    </w:p>
    <w:p w:rsidR="0067026D" w:rsidRDefault="0067026D" w:rsidP="0067026D">
      <w:pPr>
        <w:pStyle w:val="ListParagraph"/>
        <w:numPr>
          <w:ilvl w:val="0"/>
          <w:numId w:val="23"/>
        </w:numPr>
        <w:jc w:val="both"/>
      </w:pPr>
      <w:r>
        <w:t>Send LS to RAN4 to confirm the below conclusion.</w:t>
      </w:r>
    </w:p>
    <w:p w:rsidR="00376F9D" w:rsidRDefault="0067026D" w:rsidP="0067026D">
      <w:pPr>
        <w:pStyle w:val="ListParagraph"/>
        <w:numPr>
          <w:ilvl w:val="0"/>
          <w:numId w:val="23"/>
        </w:numPr>
        <w:jc w:val="both"/>
      </w:pPr>
      <w:r>
        <w:t>From RAN1 perspective, for NR-NR DC when MCG is fully in FR1 and SCG is fully in FR2, a power sharing mechanism between MCG and SCG need not be specified.</w:t>
      </w:r>
    </w:p>
    <w:p w:rsidR="00C65E25" w:rsidRPr="00836E6C" w:rsidRDefault="00D63ECA" w:rsidP="00C65E25">
      <w:pPr>
        <w:pStyle w:val="Heading2"/>
        <w:rPr>
          <w:u w:val="single"/>
        </w:rPr>
      </w:pPr>
      <w:r>
        <w:rPr>
          <w:u w:val="single"/>
        </w:rPr>
        <w:lastRenderedPageBreak/>
        <w:t xml:space="preserve">Conditions </w:t>
      </w:r>
      <w:r w:rsidR="003A4AD8">
        <w:rPr>
          <w:u w:val="single"/>
        </w:rPr>
        <w:t xml:space="preserve">for </w:t>
      </w:r>
      <w:r>
        <w:rPr>
          <w:u w:val="single"/>
        </w:rPr>
        <w:t>limiting the accumulation of closed loops</w:t>
      </w:r>
    </w:p>
    <w:p w:rsidR="00BA7FED" w:rsidRDefault="00BA7FED" w:rsidP="001270EA"/>
    <w:p w:rsidR="00B255FC" w:rsidRDefault="00C25D54" w:rsidP="00B255FC">
      <w:r>
        <w:rPr>
          <w:noProof/>
        </w:rPr>
        <mc:AlternateContent>
          <mc:Choice Requires="wps">
            <w:drawing>
              <wp:anchor distT="45720" distB="45720" distL="114300" distR="114300" simplePos="0" relativeHeight="2" behindDoc="0" locked="0" layoutInCell="1" allowOverlap="1">
                <wp:simplePos x="0" y="0"/>
                <wp:positionH relativeFrom="margin">
                  <wp:align>left</wp:align>
                </wp:positionH>
                <wp:positionV relativeFrom="paragraph">
                  <wp:posOffset>239395</wp:posOffset>
                </wp:positionV>
                <wp:extent cx="6009640" cy="122174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221740"/>
                        </a:xfrm>
                        <a:prstGeom prst="rect">
                          <a:avLst/>
                        </a:prstGeom>
                        <a:solidFill>
                          <a:srgbClr val="FFFFFF"/>
                        </a:solidFill>
                        <a:ln w="9525">
                          <a:solidFill>
                            <a:srgbClr val="000000"/>
                          </a:solidFill>
                          <a:miter lim="800000"/>
                          <a:headEnd/>
                          <a:tailEnd/>
                        </a:ln>
                      </wps:spPr>
                      <wps:txbx>
                        <w:txbxContent>
                          <w:p w:rsidR="001B7D17" w:rsidRPr="00B916EC" w:rsidRDefault="001B7D17" w:rsidP="005258E7">
                            <w:pPr>
                              <w:pStyle w:val="B3"/>
                              <w:numPr>
                                <w:ilvl w:val="0"/>
                                <w:numId w:val="6"/>
                              </w:numPr>
                            </w:pPr>
                            <w:r w:rsidRPr="00C2714C">
                              <w:rPr>
                                <w:highlight w:val="yellow"/>
                              </w:rPr>
                              <w:t xml:space="preserve">If the UE has reached </w:t>
                            </w:r>
                            <w:r w:rsidRPr="00C2714C">
                              <w:rPr>
                                <w:position w:val="-12"/>
                                <w:highlight w:val="yellow"/>
                              </w:rPr>
                              <w:object w:dxaOrig="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45pt;height:15.7pt" o:ole="">
                                  <v:imagedata r:id="rId8" o:title=""/>
                                </v:shape>
                                <o:OLEObject Type="Embed" ProgID="Equation.3" ShapeID="_x0000_i1026" DrawAspect="Content" ObjectID="_1595450184" r:id="rId9"/>
                              </w:object>
                            </w:r>
                            <w:r w:rsidRPr="00C2714C">
                              <w:rPr>
                                <w:highlight w:val="yellow"/>
                              </w:rPr>
                              <w:t xml:space="preserve"> for UL BWP</w:t>
                            </w:r>
                            <w:r>
                              <w:t xml:space="preserve"> </w:t>
                            </w:r>
                            <w:r w:rsidRPr="00425377">
                              <w:rPr>
                                <w:iCs/>
                                <w:position w:val="-6"/>
                              </w:rPr>
                              <w:object w:dxaOrig="180" w:dyaOrig="260">
                                <v:shape id="_x0000_i1028" type="#_x0000_t75" style="width:9pt;height:14.3pt" o:ole="">
                                  <v:imagedata r:id="rId10" o:title=""/>
                                </v:shape>
                                <o:OLEObject Type="Embed" ProgID="Equation.3" ShapeID="_x0000_i1028" DrawAspect="Content" ObjectID="_1595450185" r:id="rId11"/>
                              </w:object>
                            </w:r>
                            <w:r>
                              <w:rPr>
                                <w:iCs/>
                              </w:rPr>
                              <w:t xml:space="preserve"> </w:t>
                            </w:r>
                            <w:r>
                              <w:t>of</w:t>
                            </w:r>
                            <w:r w:rsidRPr="00B916EC">
                              <w:t xml:space="preserve"> carrier </w:t>
                            </w:r>
                            <w:r w:rsidRPr="00B916EC">
                              <w:rPr>
                                <w:iCs/>
                                <w:position w:val="-10"/>
                              </w:rPr>
                              <w:object w:dxaOrig="220" w:dyaOrig="300">
                                <v:shape id="_x0000_i1030" type="#_x0000_t75" style="width:10.55pt;height:15.7pt" o:ole="">
                                  <v:imagedata r:id="rId12" o:title=""/>
                                </v:shape>
                                <o:OLEObject Type="Embed" ProgID="Equation.3" ShapeID="_x0000_i1030" DrawAspect="Content" ObjectID="_1595450186" r:id="rId13"/>
                              </w:object>
                            </w:r>
                            <w:r w:rsidRPr="00B916EC">
                              <w:rPr>
                                <w:iCs/>
                              </w:rPr>
                              <w:t xml:space="preserve"> of</w:t>
                            </w:r>
                            <w:r w:rsidRPr="00B916EC">
                              <w:t xml:space="preserve"> serving cell </w:t>
                            </w:r>
                            <w:r w:rsidRPr="00B916EC">
                              <w:rPr>
                                <w:position w:val="-6"/>
                              </w:rPr>
                              <w:object w:dxaOrig="160" w:dyaOrig="200">
                                <v:shape id="_x0000_i1032" type="#_x0000_t75" style="width:8.3pt;height:9.7pt" o:ole="">
                                  <v:imagedata r:id="rId14" o:title=""/>
                                </v:shape>
                                <o:OLEObject Type="Embed" ProgID="Equation.3" ShapeID="_x0000_i1032" DrawAspect="Content" ObjectID="_1595450187" r:id="rId15"/>
                              </w:object>
                            </w:r>
                            <w:r w:rsidRPr="00B916EC">
                              <w:t xml:space="preserve">, </w:t>
                            </w:r>
                            <w:r>
                              <w:t xml:space="preserve">the UE does not accumulate </w:t>
                            </w:r>
                            <w:r w:rsidRPr="00B916EC">
                              <w:t xml:space="preserve">positive TPC commands for </w:t>
                            </w:r>
                            <w:r>
                              <w:t xml:space="preserve">UL BWP </w:t>
                            </w:r>
                            <w:r w:rsidRPr="00425377">
                              <w:rPr>
                                <w:iCs/>
                                <w:position w:val="-6"/>
                              </w:rPr>
                              <w:object w:dxaOrig="180" w:dyaOrig="260">
                                <v:shape id="_x0000_i1034" type="#_x0000_t75" style="width:9pt;height:14.3pt" o:ole="">
                                  <v:imagedata r:id="rId10" o:title=""/>
                                </v:shape>
                                <o:OLEObject Type="Embed" ProgID="Equation.3" ShapeID="_x0000_i1034" DrawAspect="Content" ObjectID="_1595450188" r:id="rId16"/>
                              </w:object>
                            </w:r>
                            <w:r>
                              <w:rPr>
                                <w:iCs/>
                              </w:rPr>
                              <w:t xml:space="preserve"> </w:t>
                            </w:r>
                            <w:r>
                              <w:t>of</w:t>
                            </w:r>
                            <w:r w:rsidRPr="00B916EC">
                              <w:t xml:space="preserve"> carrier </w:t>
                            </w:r>
                            <w:r w:rsidRPr="00B916EC">
                              <w:rPr>
                                <w:iCs/>
                                <w:position w:val="-10"/>
                              </w:rPr>
                              <w:object w:dxaOrig="220" w:dyaOrig="300">
                                <v:shape id="_x0000_i1036" type="#_x0000_t75" style="width:10.55pt;height:15.7pt" o:ole="">
                                  <v:imagedata r:id="rId12" o:title=""/>
                                </v:shape>
                                <o:OLEObject Type="Embed" ProgID="Equation.3" ShapeID="_x0000_i1036" DrawAspect="Content" ObjectID="_1595450189" r:id="rId17"/>
                              </w:object>
                            </w:r>
                            <w:r w:rsidRPr="00B916EC">
                              <w:rPr>
                                <w:iCs/>
                              </w:rPr>
                              <w:t xml:space="preserve"> of</w:t>
                            </w:r>
                            <w:r w:rsidRPr="00B916EC">
                              <w:t xml:space="preserve"> serving cell </w:t>
                            </w:r>
                            <w:r w:rsidRPr="00B916EC">
                              <w:rPr>
                                <w:position w:val="-6"/>
                              </w:rPr>
                              <w:object w:dxaOrig="160" w:dyaOrig="200">
                                <v:shape id="_x0000_i1038" type="#_x0000_t75" style="width:8.3pt;height:9.7pt" o:ole="">
                                  <v:imagedata r:id="rId14" o:title=""/>
                                </v:shape>
                                <o:OLEObject Type="Embed" ProgID="Equation.3" ShapeID="_x0000_i1038" DrawAspect="Content" ObjectID="_1595450190" r:id="rId18"/>
                              </w:object>
                            </w:r>
                            <w:r w:rsidRPr="00B916EC">
                              <w:t>.</w:t>
                            </w:r>
                          </w:p>
                          <w:p w:rsidR="001B7D17" w:rsidRPr="005258E7" w:rsidRDefault="001B7D17" w:rsidP="005258E7">
                            <w:pPr>
                              <w:pStyle w:val="B3"/>
                              <w:numPr>
                                <w:ilvl w:val="0"/>
                                <w:numId w:val="6"/>
                              </w:numPr>
                            </w:pPr>
                            <w:r w:rsidRPr="00C2714C">
                              <w:rPr>
                                <w:highlight w:val="yellow"/>
                              </w:rPr>
                              <w:t>If UE has reached minimum power for UL BWP</w:t>
                            </w:r>
                            <w:r>
                              <w:t xml:space="preserve"> </w:t>
                            </w:r>
                            <w:r w:rsidRPr="00425377">
                              <w:rPr>
                                <w:iCs/>
                                <w:position w:val="-6"/>
                              </w:rPr>
                              <w:object w:dxaOrig="180" w:dyaOrig="260">
                                <v:shape id="_x0000_i1040" type="#_x0000_t75" style="width:9pt;height:14.3pt" o:ole="">
                                  <v:imagedata r:id="rId10" o:title=""/>
                                </v:shape>
                                <o:OLEObject Type="Embed" ProgID="Equation.3" ShapeID="_x0000_i1040" DrawAspect="Content" ObjectID="_1595450191" r:id="rId19"/>
                              </w:object>
                            </w:r>
                            <w:r>
                              <w:rPr>
                                <w:iCs/>
                              </w:rPr>
                              <w:t xml:space="preserve"> </w:t>
                            </w:r>
                            <w:r>
                              <w:t>of</w:t>
                            </w:r>
                            <w:r w:rsidRPr="00B916EC">
                              <w:t xml:space="preserve"> carrier </w:t>
                            </w:r>
                            <w:r w:rsidRPr="00B916EC">
                              <w:rPr>
                                <w:iCs/>
                                <w:position w:val="-10"/>
                              </w:rPr>
                              <w:object w:dxaOrig="220" w:dyaOrig="300">
                                <v:shape id="_x0000_i1042" type="#_x0000_t75" style="width:10.55pt;height:15.7pt" o:ole="">
                                  <v:imagedata r:id="rId12" o:title=""/>
                                </v:shape>
                                <o:OLEObject Type="Embed" ProgID="Equation.3" ShapeID="_x0000_i1042" DrawAspect="Content" ObjectID="_1595450192" r:id="rId20"/>
                              </w:object>
                            </w:r>
                            <w:r w:rsidRPr="00B916EC">
                              <w:rPr>
                                <w:iCs/>
                              </w:rPr>
                              <w:t xml:space="preserve"> of </w:t>
                            </w:r>
                            <w:r w:rsidRPr="00B916EC">
                              <w:t xml:space="preserve">serving cell </w:t>
                            </w:r>
                            <w:r w:rsidRPr="00B916EC">
                              <w:rPr>
                                <w:position w:val="-6"/>
                              </w:rPr>
                              <w:object w:dxaOrig="160" w:dyaOrig="200">
                                <v:shape id="_x0000_i1044" type="#_x0000_t75" style="width:8.3pt;height:9.7pt" o:ole="">
                                  <v:imagedata r:id="rId14" o:title=""/>
                                </v:shape>
                                <o:OLEObject Type="Embed" ProgID="Equation.3" ShapeID="_x0000_i1044" DrawAspect="Content" ObjectID="_1595450193" r:id="rId21"/>
                              </w:object>
                            </w:r>
                            <w:r w:rsidRPr="00B916EC">
                              <w:t xml:space="preserve">, </w:t>
                            </w:r>
                            <w:r>
                              <w:t xml:space="preserve">the UE does not accumulate </w:t>
                            </w:r>
                            <w:r w:rsidRPr="00B916EC">
                              <w:t xml:space="preserve">negative TPC commands for </w:t>
                            </w:r>
                            <w:r>
                              <w:t xml:space="preserve">UL BWP </w:t>
                            </w:r>
                            <w:r w:rsidRPr="00425377">
                              <w:rPr>
                                <w:iCs/>
                                <w:position w:val="-6"/>
                              </w:rPr>
                              <w:object w:dxaOrig="180" w:dyaOrig="260">
                                <v:shape id="_x0000_i1046" type="#_x0000_t75" style="width:9pt;height:14.3pt" o:ole="">
                                  <v:imagedata r:id="rId10" o:title=""/>
                                </v:shape>
                                <o:OLEObject Type="Embed" ProgID="Equation.3" ShapeID="_x0000_i1046" DrawAspect="Content" ObjectID="_1595450194" r:id="rId22"/>
                              </w:object>
                            </w:r>
                            <w:r>
                              <w:rPr>
                                <w:iCs/>
                              </w:rPr>
                              <w:t xml:space="preserve"> </w:t>
                            </w:r>
                            <w:r>
                              <w:t>of</w:t>
                            </w:r>
                            <w:r w:rsidRPr="00B916EC">
                              <w:t xml:space="preserve"> carrier </w:t>
                            </w:r>
                            <w:r w:rsidRPr="00B916EC">
                              <w:rPr>
                                <w:iCs/>
                                <w:position w:val="-10"/>
                              </w:rPr>
                              <w:object w:dxaOrig="220" w:dyaOrig="300">
                                <v:shape id="_x0000_i1048" type="#_x0000_t75" style="width:10.55pt;height:15.7pt" o:ole="">
                                  <v:imagedata r:id="rId12" o:title=""/>
                                </v:shape>
                                <o:OLEObject Type="Embed" ProgID="Equation.3" ShapeID="_x0000_i1048" DrawAspect="Content" ObjectID="_1595450195" r:id="rId23"/>
                              </w:object>
                            </w:r>
                            <w:r w:rsidRPr="00B916EC">
                              <w:rPr>
                                <w:iCs/>
                              </w:rPr>
                              <w:t xml:space="preserve"> of </w:t>
                            </w:r>
                            <w:r w:rsidRPr="00B916EC">
                              <w:t xml:space="preserve">serving cell </w:t>
                            </w:r>
                            <w:r w:rsidRPr="00B916EC">
                              <w:rPr>
                                <w:position w:val="-6"/>
                              </w:rPr>
                              <w:object w:dxaOrig="160" w:dyaOrig="200">
                                <v:shape id="_x0000_i1050" type="#_x0000_t75" style="width:8.3pt;height:9.7pt" o:ole="">
                                  <v:imagedata r:id="rId14" o:title=""/>
                                </v:shape>
                                <o:OLEObject Type="Embed" ProgID="Equation.3" ShapeID="_x0000_i1050" DrawAspect="Content" ObjectID="_1595450196" r:id="rId24"/>
                              </w:object>
                            </w:r>
                            <w:r w:rsidRPr="00B916EC">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6" type="#_x0000_t202" style="position:absolute;margin-left:0;margin-top:18.85pt;width:473.2pt;height:96.2pt;z-index: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">
                <v:textbox style="mso-fit-shape-to-text:t">
                  <w:txbxContent>
                    <w:p w:rsidR="001B7D17" w:rsidRPr="00B916EC" w:rsidRDefault="001B7D17" w:rsidP="005258E7">
                      <w:pPr>
                        <w:pStyle w:val="B3"/>
                        <w:numPr>
                          <w:ilvl w:val="0"/>
                          <w:numId w:val="6"/>
                        </w:numPr>
                      </w:pPr>
                      <w:r w:rsidRPr="00C2714C">
                        <w:rPr>
                          <w:highlight w:val="yellow"/>
                        </w:rPr>
                        <w:t xml:space="preserve">If the UE has reached </w:t>
                      </w:r>
                      <w:r w:rsidRPr="00C2714C">
                        <w:rPr>
                          <w:position w:val="-12"/>
                          <w:highlight w:val="yellow"/>
                        </w:rPr>
                        <w:object w:dxaOrig="960" w:dyaOrig="320">
                          <v:shape id="_x0000_i1026" type="#_x0000_t75" style="width:49.45pt;height:15.7pt" o:ole="">
                            <v:imagedata r:id="rId8" o:title=""/>
                          </v:shape>
                          <o:OLEObject Type="Embed" ProgID="Equation.3" ShapeID="_x0000_i1026" DrawAspect="Content" ObjectID="_1595450184" r:id="rId25"/>
                        </w:object>
                      </w:r>
                      <w:r w:rsidRPr="00C2714C">
                        <w:rPr>
                          <w:highlight w:val="yellow"/>
                        </w:rPr>
                        <w:t xml:space="preserve"> for UL BWP</w:t>
                      </w:r>
                      <w:r>
                        <w:t xml:space="preserve"> </w:t>
                      </w:r>
                      <w:r w:rsidRPr="00425377">
                        <w:rPr>
                          <w:iCs/>
                          <w:position w:val="-6"/>
                        </w:rPr>
                        <w:object w:dxaOrig="180" w:dyaOrig="260">
                          <v:shape id="_x0000_i1028" type="#_x0000_t75" style="width:9pt;height:14.3pt" o:ole="">
                            <v:imagedata r:id="rId10" o:title=""/>
                          </v:shape>
                          <o:OLEObject Type="Embed" ProgID="Equation.3" ShapeID="_x0000_i1028" DrawAspect="Content" ObjectID="_1595450185" r:id="rId26"/>
                        </w:object>
                      </w:r>
                      <w:r>
                        <w:rPr>
                          <w:iCs/>
                        </w:rPr>
                        <w:t xml:space="preserve"> </w:t>
                      </w:r>
                      <w:r>
                        <w:t>of</w:t>
                      </w:r>
                      <w:r w:rsidRPr="00B916EC">
                        <w:t xml:space="preserve"> carrier </w:t>
                      </w:r>
                      <w:r w:rsidRPr="00B916EC">
                        <w:rPr>
                          <w:iCs/>
                          <w:position w:val="-10"/>
                        </w:rPr>
                        <w:object w:dxaOrig="220" w:dyaOrig="300">
                          <v:shape id="_x0000_i1030" type="#_x0000_t75" style="width:10.55pt;height:15.7pt" o:ole="">
                            <v:imagedata r:id="rId12" o:title=""/>
                          </v:shape>
                          <o:OLEObject Type="Embed" ProgID="Equation.3" ShapeID="_x0000_i1030" DrawAspect="Content" ObjectID="_1595450186" r:id="rId27"/>
                        </w:object>
                      </w:r>
                      <w:r w:rsidRPr="00B916EC">
                        <w:rPr>
                          <w:iCs/>
                        </w:rPr>
                        <w:t xml:space="preserve"> of</w:t>
                      </w:r>
                      <w:r w:rsidRPr="00B916EC">
                        <w:t xml:space="preserve"> serving cell </w:t>
                      </w:r>
                      <w:r w:rsidRPr="00B916EC">
                        <w:rPr>
                          <w:position w:val="-6"/>
                        </w:rPr>
                        <w:object w:dxaOrig="160" w:dyaOrig="200">
                          <v:shape id="_x0000_i1032" type="#_x0000_t75" style="width:8.3pt;height:9.7pt" o:ole="">
                            <v:imagedata r:id="rId14" o:title=""/>
                          </v:shape>
                          <o:OLEObject Type="Embed" ProgID="Equation.3" ShapeID="_x0000_i1032" DrawAspect="Content" ObjectID="_1595450187" r:id="rId28"/>
                        </w:object>
                      </w:r>
                      <w:r w:rsidRPr="00B916EC">
                        <w:t xml:space="preserve">, </w:t>
                      </w:r>
                      <w:r>
                        <w:t xml:space="preserve">the UE does not accumulate </w:t>
                      </w:r>
                      <w:r w:rsidRPr="00B916EC">
                        <w:t xml:space="preserve">positive TPC commands for </w:t>
                      </w:r>
                      <w:r>
                        <w:t xml:space="preserve">UL BWP </w:t>
                      </w:r>
                      <w:r w:rsidRPr="00425377">
                        <w:rPr>
                          <w:iCs/>
                          <w:position w:val="-6"/>
                        </w:rPr>
                        <w:object w:dxaOrig="180" w:dyaOrig="260">
                          <v:shape id="_x0000_i1034" type="#_x0000_t75" style="width:9pt;height:14.3pt" o:ole="">
                            <v:imagedata r:id="rId10" o:title=""/>
                          </v:shape>
                          <o:OLEObject Type="Embed" ProgID="Equation.3" ShapeID="_x0000_i1034" DrawAspect="Content" ObjectID="_1595450188" r:id="rId29"/>
                        </w:object>
                      </w:r>
                      <w:r>
                        <w:rPr>
                          <w:iCs/>
                        </w:rPr>
                        <w:t xml:space="preserve"> </w:t>
                      </w:r>
                      <w:r>
                        <w:t>of</w:t>
                      </w:r>
                      <w:r w:rsidRPr="00B916EC">
                        <w:t xml:space="preserve"> carrier </w:t>
                      </w:r>
                      <w:r w:rsidRPr="00B916EC">
                        <w:rPr>
                          <w:iCs/>
                          <w:position w:val="-10"/>
                        </w:rPr>
                        <w:object w:dxaOrig="220" w:dyaOrig="300">
                          <v:shape id="_x0000_i1036" type="#_x0000_t75" style="width:10.55pt;height:15.7pt" o:ole="">
                            <v:imagedata r:id="rId12" o:title=""/>
                          </v:shape>
                          <o:OLEObject Type="Embed" ProgID="Equation.3" ShapeID="_x0000_i1036" DrawAspect="Content" ObjectID="_1595450189" r:id="rId30"/>
                        </w:object>
                      </w:r>
                      <w:r w:rsidRPr="00B916EC">
                        <w:rPr>
                          <w:iCs/>
                        </w:rPr>
                        <w:t xml:space="preserve"> of</w:t>
                      </w:r>
                      <w:r w:rsidRPr="00B916EC">
                        <w:t xml:space="preserve"> serving cell </w:t>
                      </w:r>
                      <w:r w:rsidRPr="00B916EC">
                        <w:rPr>
                          <w:position w:val="-6"/>
                        </w:rPr>
                        <w:object w:dxaOrig="160" w:dyaOrig="200">
                          <v:shape id="_x0000_i1038" type="#_x0000_t75" style="width:8.3pt;height:9.7pt" o:ole="">
                            <v:imagedata r:id="rId14" o:title=""/>
                          </v:shape>
                          <o:OLEObject Type="Embed" ProgID="Equation.3" ShapeID="_x0000_i1038" DrawAspect="Content" ObjectID="_1595450190" r:id="rId31"/>
                        </w:object>
                      </w:r>
                      <w:r w:rsidRPr="00B916EC">
                        <w:t>.</w:t>
                      </w:r>
                    </w:p>
                    <w:p w:rsidR="001B7D17" w:rsidRPr="005258E7" w:rsidRDefault="001B7D17" w:rsidP="005258E7">
                      <w:pPr>
                        <w:pStyle w:val="B3"/>
                        <w:numPr>
                          <w:ilvl w:val="0"/>
                          <w:numId w:val="6"/>
                        </w:numPr>
                      </w:pPr>
                      <w:r w:rsidRPr="00C2714C">
                        <w:rPr>
                          <w:highlight w:val="yellow"/>
                        </w:rPr>
                        <w:t>If UE has reached minimum power for UL BWP</w:t>
                      </w:r>
                      <w:r>
                        <w:t xml:space="preserve"> </w:t>
                      </w:r>
                      <w:r w:rsidRPr="00425377">
                        <w:rPr>
                          <w:iCs/>
                          <w:position w:val="-6"/>
                        </w:rPr>
                        <w:object w:dxaOrig="180" w:dyaOrig="260">
                          <v:shape id="_x0000_i1040" type="#_x0000_t75" style="width:9pt;height:14.3pt" o:ole="">
                            <v:imagedata r:id="rId10" o:title=""/>
                          </v:shape>
                          <o:OLEObject Type="Embed" ProgID="Equation.3" ShapeID="_x0000_i1040" DrawAspect="Content" ObjectID="_1595450191" r:id="rId32"/>
                        </w:object>
                      </w:r>
                      <w:r>
                        <w:rPr>
                          <w:iCs/>
                        </w:rPr>
                        <w:t xml:space="preserve"> </w:t>
                      </w:r>
                      <w:r>
                        <w:t>of</w:t>
                      </w:r>
                      <w:r w:rsidRPr="00B916EC">
                        <w:t xml:space="preserve"> carrier </w:t>
                      </w:r>
                      <w:r w:rsidRPr="00B916EC">
                        <w:rPr>
                          <w:iCs/>
                          <w:position w:val="-10"/>
                        </w:rPr>
                        <w:object w:dxaOrig="220" w:dyaOrig="300">
                          <v:shape id="_x0000_i1042" type="#_x0000_t75" style="width:10.55pt;height:15.7pt" o:ole="">
                            <v:imagedata r:id="rId12" o:title=""/>
                          </v:shape>
                          <o:OLEObject Type="Embed" ProgID="Equation.3" ShapeID="_x0000_i1042" DrawAspect="Content" ObjectID="_1595450192" r:id="rId33"/>
                        </w:object>
                      </w:r>
                      <w:r w:rsidRPr="00B916EC">
                        <w:rPr>
                          <w:iCs/>
                        </w:rPr>
                        <w:t xml:space="preserve"> of </w:t>
                      </w:r>
                      <w:r w:rsidRPr="00B916EC">
                        <w:t xml:space="preserve">serving cell </w:t>
                      </w:r>
                      <w:r w:rsidRPr="00B916EC">
                        <w:rPr>
                          <w:position w:val="-6"/>
                        </w:rPr>
                        <w:object w:dxaOrig="160" w:dyaOrig="200">
                          <v:shape id="_x0000_i1044" type="#_x0000_t75" style="width:8.3pt;height:9.7pt" o:ole="">
                            <v:imagedata r:id="rId14" o:title=""/>
                          </v:shape>
                          <o:OLEObject Type="Embed" ProgID="Equation.3" ShapeID="_x0000_i1044" DrawAspect="Content" ObjectID="_1595450193" r:id="rId34"/>
                        </w:object>
                      </w:r>
                      <w:r w:rsidRPr="00B916EC">
                        <w:t xml:space="preserve">, </w:t>
                      </w:r>
                      <w:r>
                        <w:t xml:space="preserve">the UE does not accumulate </w:t>
                      </w:r>
                      <w:r w:rsidRPr="00B916EC">
                        <w:t xml:space="preserve">negative TPC commands for </w:t>
                      </w:r>
                      <w:r>
                        <w:t xml:space="preserve">UL BWP </w:t>
                      </w:r>
                      <w:r w:rsidRPr="00425377">
                        <w:rPr>
                          <w:iCs/>
                          <w:position w:val="-6"/>
                        </w:rPr>
                        <w:object w:dxaOrig="180" w:dyaOrig="260">
                          <v:shape id="_x0000_i1046" type="#_x0000_t75" style="width:9pt;height:14.3pt" o:ole="">
                            <v:imagedata r:id="rId10" o:title=""/>
                          </v:shape>
                          <o:OLEObject Type="Embed" ProgID="Equation.3" ShapeID="_x0000_i1046" DrawAspect="Content" ObjectID="_1595450194" r:id="rId35"/>
                        </w:object>
                      </w:r>
                      <w:r>
                        <w:rPr>
                          <w:iCs/>
                        </w:rPr>
                        <w:t xml:space="preserve"> </w:t>
                      </w:r>
                      <w:r>
                        <w:t>of</w:t>
                      </w:r>
                      <w:r w:rsidRPr="00B916EC">
                        <w:t xml:space="preserve"> carrier </w:t>
                      </w:r>
                      <w:r w:rsidRPr="00B916EC">
                        <w:rPr>
                          <w:iCs/>
                          <w:position w:val="-10"/>
                        </w:rPr>
                        <w:object w:dxaOrig="220" w:dyaOrig="300">
                          <v:shape id="_x0000_i1048" type="#_x0000_t75" style="width:10.55pt;height:15.7pt" o:ole="">
                            <v:imagedata r:id="rId12" o:title=""/>
                          </v:shape>
                          <o:OLEObject Type="Embed" ProgID="Equation.3" ShapeID="_x0000_i1048" DrawAspect="Content" ObjectID="_1595450195" r:id="rId36"/>
                        </w:object>
                      </w:r>
                      <w:r w:rsidRPr="00B916EC">
                        <w:rPr>
                          <w:iCs/>
                        </w:rPr>
                        <w:t xml:space="preserve"> of </w:t>
                      </w:r>
                      <w:r w:rsidRPr="00B916EC">
                        <w:t xml:space="preserve">serving cell </w:t>
                      </w:r>
                      <w:r w:rsidRPr="00B916EC">
                        <w:rPr>
                          <w:position w:val="-6"/>
                        </w:rPr>
                        <w:object w:dxaOrig="160" w:dyaOrig="200">
                          <v:shape id="_x0000_i1050" type="#_x0000_t75" style="width:8.3pt;height:9.7pt" o:ole="">
                            <v:imagedata r:id="rId14" o:title=""/>
                          </v:shape>
                          <o:OLEObject Type="Embed" ProgID="Equation.3" ShapeID="_x0000_i1050" DrawAspect="Content" ObjectID="_1595450196" r:id="rId37"/>
                        </w:object>
                      </w:r>
                      <w:r w:rsidRPr="00B916EC">
                        <w:t>.</w:t>
                      </w:r>
                    </w:p>
                  </w:txbxContent>
                </v:textbox>
                <w10:wrap type="square" anchorx="margin"/>
              </v:shape>
            </w:pict>
          </mc:Fallback>
        </mc:AlternateContent>
      </w:r>
      <w:r w:rsidR="00B255FC">
        <w:t>For PUSCH power control</w:t>
      </w:r>
      <w:r w:rsidR="00162F9B">
        <w:t>,</w:t>
      </w:r>
      <w:r w:rsidR="00B255FC">
        <w:t xml:space="preserve"> the following is specified in TS 38.213</w:t>
      </w:r>
    </w:p>
    <w:p w:rsidR="00B255FC" w:rsidRDefault="00B255FC" w:rsidP="00B255FC">
      <w:r>
        <w:t xml:space="preserve">Hence, there is just as in LTE a condition that limits the closed loop accumulation when a UE’s power control loop has reached a level that is above (below) the maximum (minimum) output power of the UE. However, with the introduction of beam specific power control, given by </w:t>
      </w:r>
      <w:r w:rsidRPr="00FD04C1">
        <w:rPr>
          <w:position w:val="-14"/>
        </w:rPr>
        <w:object w:dxaOrig="1820" w:dyaOrig="380">
          <v:shape id="_x0000_i1051" type="#_x0000_t75" style="width:90.75pt;height:18.75pt" o:ole="">
            <v:imagedata r:id="rId38" o:title=""/>
          </v:shape>
          <o:OLEObject Type="Embed" ProgID="Equation.3" ShapeID="_x0000_i1051" DrawAspect="Content" ObjectID="_1595450119" r:id="rId39"/>
        </w:object>
      </w:r>
      <w:r>
        <w:t xml:space="preserve">, the statement above is ambiguous. It may for instance be so that </w:t>
      </w:r>
      <w:r w:rsidRPr="00185A69">
        <w:rPr>
          <w:position w:val="-16"/>
        </w:rPr>
        <w:object w:dxaOrig="3379" w:dyaOrig="400">
          <v:shape id="_x0000_i1052" type="#_x0000_t75" style="width:168.8pt;height:20.25pt" o:ole="">
            <v:imagedata r:id="rId40" o:title=""/>
          </v:shape>
          <o:OLEObject Type="Embed" ProgID="Equation.3" ShapeID="_x0000_i1052" DrawAspect="Content" ObjectID="_1595450120" r:id="rId41"/>
        </w:object>
      </w:r>
      <w:r>
        <w:t xml:space="preserve"> whereas </w:t>
      </w:r>
      <w:r w:rsidRPr="00185A69">
        <w:rPr>
          <w:position w:val="-16"/>
        </w:rPr>
        <w:object w:dxaOrig="3460" w:dyaOrig="400">
          <v:shape id="_x0000_i1053" type="#_x0000_t75" style="width:173.15pt;height:20.25pt" o:ole="">
            <v:imagedata r:id="rId42" o:title=""/>
          </v:shape>
          <o:OLEObject Type="Embed" ProgID="Equation.3" ShapeID="_x0000_i1053" DrawAspect="Content" ObjectID="_1595450121" r:id="rId43"/>
        </w:object>
      </w:r>
      <w:r>
        <w:t xml:space="preserve">. Hence, some power control loops may have reached its maximal power whereas some have not. </w:t>
      </w:r>
    </w:p>
    <w:p w:rsidR="00B255FC" w:rsidRDefault="00B255FC" w:rsidP="001270EA"/>
    <w:p w:rsidR="00B255FC" w:rsidRDefault="00B255FC" w:rsidP="001270EA">
      <w:r>
        <w:t>Given this, we pro</w:t>
      </w:r>
      <w:r w:rsidR="00162F9B">
        <w:t>po</w:t>
      </w:r>
      <w:r>
        <w:t xml:space="preserve">se that the limiting conditions be described </w:t>
      </w:r>
      <w:r w:rsidR="005B4012">
        <w:t>with more specific detail for NR as follows. We provide</w:t>
      </w:r>
      <w:r w:rsidR="00443E1F">
        <w:t>d</w:t>
      </w:r>
      <w:r w:rsidR="005B4012">
        <w:t xml:space="preserve"> a more detailed analysis and background for </w:t>
      </w:r>
      <w:r w:rsidR="00162F9B">
        <w:t xml:space="preserve">the </w:t>
      </w:r>
      <w:r w:rsidR="005B4012">
        <w:t xml:space="preserve">below proposals </w:t>
      </w:r>
      <w:r w:rsidR="00347030">
        <w:t xml:space="preserve">in </w:t>
      </w:r>
      <w:r>
        <w:t>[</w:t>
      </w:r>
      <w:r w:rsidR="00665D1F">
        <w:t>1</w:t>
      </w:r>
      <w:r>
        <w:t>]</w:t>
      </w:r>
      <w:r w:rsidR="005B4012">
        <w:t>.</w:t>
      </w:r>
    </w:p>
    <w:p w:rsidR="005B4012" w:rsidRDefault="005B4012" w:rsidP="001270EA"/>
    <w:p w:rsidR="008428F6" w:rsidRDefault="008428F6" w:rsidP="008428F6">
      <w:pPr>
        <w:jc w:val="both"/>
        <w:rPr>
          <w:b/>
          <w:u w:val="single"/>
        </w:rPr>
      </w:pPr>
      <w:r w:rsidRPr="00D154CE">
        <w:rPr>
          <w:b/>
          <w:u w:val="single"/>
        </w:rPr>
        <w:t xml:space="preserve">Proposal </w:t>
      </w:r>
      <w:r w:rsidR="00C23DB7">
        <w:rPr>
          <w:b/>
          <w:u w:val="single"/>
        </w:rPr>
        <w:t>2</w:t>
      </w:r>
      <w:r w:rsidR="00180134">
        <w:rPr>
          <w:b/>
          <w:u w:val="single"/>
        </w:rPr>
        <w:t>a</w:t>
      </w:r>
    </w:p>
    <w:p w:rsidR="00115B55" w:rsidRDefault="00115B55" w:rsidP="005D39C4">
      <w:pPr>
        <w:pStyle w:val="ListParagraph"/>
        <w:numPr>
          <w:ilvl w:val="0"/>
          <w:numId w:val="5"/>
        </w:numPr>
        <w:spacing w:after="180"/>
      </w:pPr>
      <w:bookmarkStart w:id="5" w:name="_Hlk510732759"/>
      <w:r>
        <w:t xml:space="preserve">For DCI formats 0_0 and 0_1 </w:t>
      </w:r>
      <w:r>
        <w:rPr>
          <w:lang w:val="en-AU"/>
        </w:rPr>
        <w:t xml:space="preserve">associated with an UL grant </w:t>
      </w:r>
      <w:r>
        <w:t xml:space="preserve">corresponding to a given </w:t>
      </w:r>
      <w:r w:rsidRPr="00D93762">
        <w:rPr>
          <w:position w:val="-12"/>
        </w:rPr>
        <w:object w:dxaOrig="999" w:dyaOrig="360">
          <v:shape id="_x0000_i1054" type="#_x0000_t75" style="width:50.25pt;height:18pt" o:ole="">
            <v:imagedata r:id="rId44" o:title=""/>
          </v:shape>
          <o:OLEObject Type="Embed" ProgID="Equation.3" ShapeID="_x0000_i1054" DrawAspect="Content" ObjectID="_1595450122" r:id="rId45"/>
        </w:object>
      </w:r>
      <w:r>
        <w:t xml:space="preserve">: </w:t>
      </w:r>
    </w:p>
    <w:p w:rsidR="00115B55" w:rsidRDefault="00115B55" w:rsidP="005D39C4">
      <w:pPr>
        <w:pStyle w:val="B2"/>
        <w:numPr>
          <w:ilvl w:val="1"/>
          <w:numId w:val="5"/>
        </w:numPr>
        <w:overflowPunct/>
        <w:autoSpaceDE/>
        <w:autoSpaceDN/>
        <w:adjustRightInd/>
        <w:textAlignment w:val="auto"/>
        <w:rPr>
          <w:lang w:val="en-US"/>
        </w:rPr>
      </w:pPr>
      <w:r w:rsidRPr="00B55315">
        <w:t xml:space="preserve">If </w:t>
      </w:r>
      <w:r w:rsidRPr="00B55315">
        <w:rPr>
          <w:lang w:val="en-US"/>
        </w:rPr>
        <w:t xml:space="preserve">the </w:t>
      </w:r>
      <w:r w:rsidRPr="00B55315">
        <w:t xml:space="preserve">UE has reached </w:t>
      </w:r>
      <w:r w:rsidRPr="00583AF4">
        <w:rPr>
          <w:position w:val="-14"/>
          <w:lang w:val="x-none"/>
        </w:rPr>
        <w:object w:dxaOrig="1080" w:dyaOrig="380">
          <v:shape id="_x0000_i1055" type="#_x0000_t75" style="width:54pt;height:18.75pt" o:ole="">
            <v:imagedata r:id="rId46" o:title=""/>
          </v:shape>
          <o:OLEObject Type="Embed" ProgID="Equation.3" ShapeID="_x0000_i1055" DrawAspect="Content" ObjectID="_1595450123" r:id="rId47"/>
        </w:object>
      </w:r>
      <w:r>
        <w:t xml:space="preserve"> for </w:t>
      </w:r>
      <w:r>
        <w:rPr>
          <w:lang w:val="en-US"/>
        </w:rPr>
        <w:t xml:space="preserve">carrier </w:t>
      </w:r>
      <w:r>
        <w:rPr>
          <w:iCs/>
          <w:position w:val="-10"/>
          <w:lang w:val="x-none"/>
        </w:rPr>
        <w:object w:dxaOrig="225" w:dyaOrig="300">
          <v:shape id="_x0000_i1056" type="#_x0000_t75" style="width:11.25pt;height:15pt" o:ole="">
            <v:imagedata r:id="rId12" o:title=""/>
          </v:shape>
          <o:OLEObject Type="Embed" ProgID="Equation.3" ShapeID="_x0000_i1056" DrawAspect="Content" ObjectID="_1595450124" r:id="rId48"/>
        </w:object>
      </w:r>
      <w:r>
        <w:rPr>
          <w:iCs/>
          <w:lang w:val="en-US"/>
        </w:rPr>
        <w:t xml:space="preserve"> of</w:t>
      </w:r>
      <w:r>
        <w:rPr>
          <w:lang w:val="en-US"/>
        </w:rPr>
        <w:t xml:space="preserve"> </w:t>
      </w:r>
      <w:r>
        <w:t>serving cell</w:t>
      </w:r>
      <w:r w:rsidRPr="00D2409C">
        <w:t xml:space="preserve"> </w:t>
      </w:r>
      <w:r w:rsidRPr="00D2409C">
        <w:rPr>
          <w:position w:val="-6"/>
          <w:lang w:val="x-none"/>
        </w:rPr>
        <w:object w:dxaOrig="165" w:dyaOrig="195">
          <v:shape id="_x0000_i1057" type="#_x0000_t75" style="width:8.25pt;height:9.75pt" o:ole="">
            <v:imagedata r:id="rId14" o:title=""/>
          </v:shape>
          <o:OLEObject Type="Embed" ProgID="Equation.3" ShapeID="_x0000_i1057" DrawAspect="Content" ObjectID="_1595450125" r:id="rId49"/>
        </w:object>
      </w:r>
      <w:r w:rsidRPr="00B55315">
        <w:rPr>
          <w:lang w:val="en-AU"/>
        </w:rPr>
        <w:t xml:space="preserve">, </w:t>
      </w:r>
      <w:r w:rsidRPr="00B55315">
        <w:rPr>
          <w:lang w:val="en-US"/>
        </w:rPr>
        <w:t xml:space="preserve">for the given </w:t>
      </w:r>
      <w:r w:rsidRPr="00D2409C">
        <w:rPr>
          <w:position w:val="-12"/>
        </w:rPr>
        <w:object w:dxaOrig="999" w:dyaOrig="360">
          <v:shape id="_x0000_i1058" type="#_x0000_t75" style="width:50.25pt;height:18pt" o:ole="">
            <v:imagedata r:id="rId50" o:title=""/>
          </v:shape>
          <o:OLEObject Type="Embed" ProgID="Equation.3" ShapeID="_x0000_i1058" DrawAspect="Content" ObjectID="_1595450126" r:id="rId51"/>
        </w:object>
      </w:r>
      <w:r>
        <w:t xml:space="preserve">, positive TPC commands for </w:t>
      </w:r>
      <w:r>
        <w:rPr>
          <w:lang w:val="en-US"/>
        </w:rPr>
        <w:t xml:space="preserve">carrier </w:t>
      </w:r>
      <w:r>
        <w:rPr>
          <w:iCs/>
          <w:position w:val="-10"/>
          <w:lang w:val="x-none"/>
        </w:rPr>
        <w:object w:dxaOrig="225" w:dyaOrig="300">
          <v:shape id="_x0000_i1059" type="#_x0000_t75" style="width:11.25pt;height:15pt" o:ole="">
            <v:imagedata r:id="rId12" o:title=""/>
          </v:shape>
          <o:OLEObject Type="Embed" ProgID="Equation.3" ShapeID="_x0000_i1059" DrawAspect="Content" ObjectID="_1595450127" r:id="rId52"/>
        </w:object>
      </w:r>
      <w:r>
        <w:rPr>
          <w:iCs/>
          <w:lang w:val="en-US"/>
        </w:rPr>
        <w:t xml:space="preserve"> of</w:t>
      </w:r>
      <w:r>
        <w:rPr>
          <w:lang w:val="en-US"/>
        </w:rPr>
        <w:t xml:space="preserve"> </w:t>
      </w:r>
      <w:r>
        <w:t xml:space="preserve">serving cell </w:t>
      </w:r>
      <w:r>
        <w:rPr>
          <w:position w:val="-6"/>
          <w:lang w:val="x-none"/>
        </w:rPr>
        <w:object w:dxaOrig="165" w:dyaOrig="195">
          <v:shape id="_x0000_i1060" type="#_x0000_t75" style="width:8.25pt;height:9.75pt" o:ole="">
            <v:imagedata r:id="rId14" o:title=""/>
          </v:shape>
          <o:OLEObject Type="Embed" ProgID="Equation.3" ShapeID="_x0000_i1060" DrawAspect="Content" ObjectID="_1595450128" r:id="rId53"/>
        </w:object>
      </w:r>
      <w:r>
        <w:t xml:space="preserve"> shall not be </w:t>
      </w:r>
      <w:r w:rsidRPr="00D2409C">
        <w:t xml:space="preserve">accumulated </w:t>
      </w:r>
      <w:r w:rsidRPr="00B55315">
        <w:rPr>
          <w:lang w:val="en-US"/>
        </w:rPr>
        <w:t xml:space="preserve">for that given </w:t>
      </w:r>
      <w:r w:rsidRPr="00583AF4">
        <w:rPr>
          <w:position w:val="-6"/>
        </w:rPr>
        <w:object w:dxaOrig="139" w:dyaOrig="279">
          <v:shape id="_x0000_i1061" type="#_x0000_t75" style="width:6.75pt;height:14.25pt" o:ole="">
            <v:imagedata r:id="rId54" o:title=""/>
          </v:shape>
          <o:OLEObject Type="Embed" ProgID="Equation.3" ShapeID="_x0000_i1061" DrawAspect="Content" ObjectID="_1595450129" r:id="rId55"/>
        </w:object>
      </w:r>
      <w:r>
        <w:rPr>
          <w:lang w:val="en-US"/>
        </w:rPr>
        <w:t>.</w:t>
      </w:r>
    </w:p>
    <w:p w:rsidR="00115B55" w:rsidRPr="00B55315" w:rsidRDefault="00115B55" w:rsidP="005D39C4">
      <w:pPr>
        <w:pStyle w:val="B2"/>
        <w:numPr>
          <w:ilvl w:val="1"/>
          <w:numId w:val="5"/>
        </w:numPr>
        <w:overflowPunct/>
        <w:autoSpaceDE/>
        <w:autoSpaceDN/>
        <w:adjustRightInd/>
        <w:textAlignment w:val="auto"/>
        <w:rPr>
          <w:lang w:val="en-US"/>
        </w:rPr>
      </w:pPr>
      <w:r w:rsidRPr="00B55315">
        <w:t>If UE has reached minimum power</w:t>
      </w:r>
      <w:r w:rsidRPr="00D2409C">
        <w:rPr>
          <w:lang w:val="en-US"/>
        </w:rPr>
        <w:t xml:space="preserve"> for</w:t>
      </w:r>
      <w:r>
        <w:rPr>
          <w:lang w:val="en-US"/>
        </w:rPr>
        <w:t xml:space="preserve"> carrier </w:t>
      </w:r>
      <w:r>
        <w:rPr>
          <w:iCs/>
          <w:position w:val="-10"/>
          <w:lang w:val="x-none"/>
        </w:rPr>
        <w:object w:dxaOrig="225" w:dyaOrig="300">
          <v:shape id="_x0000_i1062" type="#_x0000_t75" style="width:11.25pt;height:15pt" o:ole="">
            <v:imagedata r:id="rId12" o:title=""/>
          </v:shape>
          <o:OLEObject Type="Embed" ProgID="Equation.3" ShapeID="_x0000_i1062" DrawAspect="Content" ObjectID="_1595450130" r:id="rId56"/>
        </w:object>
      </w:r>
      <w:r>
        <w:rPr>
          <w:iCs/>
          <w:lang w:val="en-US"/>
        </w:rPr>
        <w:t xml:space="preserve"> of </w:t>
      </w:r>
      <w:r>
        <w:t xml:space="preserve">serving cell </w:t>
      </w:r>
      <w:r>
        <w:rPr>
          <w:position w:val="-6"/>
          <w:lang w:val="x-none"/>
        </w:rPr>
        <w:object w:dxaOrig="165" w:dyaOrig="195">
          <v:shape id="_x0000_i1063" type="#_x0000_t75" style="width:8.25pt;height:9.75pt" o:ole="">
            <v:imagedata r:id="rId14" o:title=""/>
          </v:shape>
          <o:OLEObject Type="Embed" ProgID="Equation.3" ShapeID="_x0000_i1063" DrawAspect="Content" ObjectID="_1595450131" r:id="rId57"/>
        </w:object>
      </w:r>
      <w:r>
        <w:t xml:space="preserve">, </w:t>
      </w:r>
      <w:r w:rsidRPr="000C150E">
        <w:rPr>
          <w:lang w:val="en-US"/>
        </w:rPr>
        <w:t>for the given</w:t>
      </w:r>
      <w:r>
        <w:rPr>
          <w:lang w:val="en-US"/>
        </w:rPr>
        <w:t xml:space="preserve"> </w:t>
      </w:r>
      <w:r w:rsidRPr="000C150E">
        <w:rPr>
          <w:position w:val="-12"/>
        </w:rPr>
        <w:object w:dxaOrig="999" w:dyaOrig="360">
          <v:shape id="_x0000_i1064" type="#_x0000_t75" style="width:50.25pt;height:18pt" o:ole="">
            <v:imagedata r:id="rId58" o:title=""/>
          </v:shape>
          <o:OLEObject Type="Embed" ProgID="Equation.3" ShapeID="_x0000_i1064" DrawAspect="Content" ObjectID="_1595450132" r:id="rId59"/>
        </w:object>
      </w:r>
      <w:r>
        <w:t xml:space="preserve">, negative TPC commands </w:t>
      </w:r>
      <w:r>
        <w:rPr>
          <w:lang w:val="en-US"/>
        </w:rPr>
        <w:t xml:space="preserve">for carrier </w:t>
      </w:r>
      <w:r>
        <w:rPr>
          <w:iCs/>
          <w:position w:val="-10"/>
          <w:lang w:val="x-none"/>
        </w:rPr>
        <w:object w:dxaOrig="225" w:dyaOrig="300">
          <v:shape id="_x0000_i1065" type="#_x0000_t75" style="width:11.25pt;height:15pt" o:ole="">
            <v:imagedata r:id="rId12" o:title=""/>
          </v:shape>
          <o:OLEObject Type="Embed" ProgID="Equation.3" ShapeID="_x0000_i1065" DrawAspect="Content" ObjectID="_1595450133" r:id="rId60"/>
        </w:object>
      </w:r>
      <w:r>
        <w:rPr>
          <w:iCs/>
          <w:lang w:val="en-US"/>
        </w:rPr>
        <w:t xml:space="preserve"> of </w:t>
      </w:r>
      <w:r>
        <w:t xml:space="preserve">serving cell </w:t>
      </w:r>
      <w:r>
        <w:rPr>
          <w:position w:val="-6"/>
          <w:lang w:val="x-none"/>
        </w:rPr>
        <w:object w:dxaOrig="165" w:dyaOrig="195">
          <v:shape id="_x0000_i1066" type="#_x0000_t75" style="width:8.25pt;height:9.75pt" o:ole="">
            <v:imagedata r:id="rId14" o:title=""/>
          </v:shape>
          <o:OLEObject Type="Embed" ProgID="Equation.3" ShapeID="_x0000_i1066" DrawAspect="Content" ObjectID="_1595450134" r:id="rId61"/>
        </w:object>
      </w:r>
      <w:r>
        <w:rPr>
          <w:lang w:val="en-US"/>
        </w:rPr>
        <w:t xml:space="preserve"> </w:t>
      </w:r>
      <w:r>
        <w:t xml:space="preserve">shall not be accumulated </w:t>
      </w:r>
      <w:r w:rsidRPr="000C150E">
        <w:rPr>
          <w:lang w:val="en-US"/>
        </w:rPr>
        <w:t xml:space="preserve">for that given </w:t>
      </w:r>
      <w:r w:rsidRPr="000C150E">
        <w:rPr>
          <w:position w:val="-6"/>
        </w:rPr>
        <w:object w:dxaOrig="139" w:dyaOrig="279">
          <v:shape id="_x0000_i1067" type="#_x0000_t75" style="width:6.75pt;height:14.25pt" o:ole="">
            <v:imagedata r:id="rId54" o:title=""/>
          </v:shape>
          <o:OLEObject Type="Embed" ProgID="Equation.3" ShapeID="_x0000_i1067" DrawAspect="Content" ObjectID="_1595450135" r:id="rId62"/>
        </w:object>
      </w:r>
    </w:p>
    <w:p w:rsidR="00115B55" w:rsidRPr="00002556" w:rsidRDefault="00115B55" w:rsidP="005D39C4">
      <w:pPr>
        <w:pStyle w:val="ListParagraph"/>
        <w:numPr>
          <w:ilvl w:val="0"/>
          <w:numId w:val="5"/>
        </w:numPr>
        <w:spacing w:after="180"/>
      </w:pPr>
      <w:r>
        <w:t xml:space="preserve">Closed loop power control for PUCCH given DCI </w:t>
      </w:r>
      <w:r w:rsidRPr="00716732">
        <w:t xml:space="preserve">formats 1_0 and 1_1 </w:t>
      </w:r>
      <w:r w:rsidRPr="00716732">
        <w:rPr>
          <w:color w:val="000000"/>
          <w:szCs w:val="20"/>
          <w:lang w:val="en-AU"/>
        </w:rPr>
        <w:t>adopts an analogous solution</w:t>
      </w:r>
      <w:r>
        <w:rPr>
          <w:color w:val="000000"/>
          <w:szCs w:val="20"/>
          <w:lang w:val="en-AU"/>
        </w:rPr>
        <w:t xml:space="preserve"> to DCI formats 0_0 and 0_1 for limiting accumulation</w:t>
      </w:r>
    </w:p>
    <w:bookmarkEnd w:id="5"/>
    <w:p w:rsidR="00002556" w:rsidRDefault="00002556" w:rsidP="00002556">
      <w:pPr>
        <w:jc w:val="both"/>
        <w:rPr>
          <w:b/>
          <w:u w:val="single"/>
        </w:rPr>
      </w:pPr>
      <w:r w:rsidRPr="00D154CE">
        <w:rPr>
          <w:b/>
          <w:u w:val="single"/>
        </w:rPr>
        <w:t xml:space="preserve">Proposal </w:t>
      </w:r>
      <w:r w:rsidR="00C23DB7">
        <w:rPr>
          <w:b/>
          <w:u w:val="single"/>
        </w:rPr>
        <w:t>2</w:t>
      </w:r>
      <w:r>
        <w:rPr>
          <w:b/>
          <w:u w:val="single"/>
        </w:rPr>
        <w:t>b</w:t>
      </w:r>
    </w:p>
    <w:p w:rsidR="00002556" w:rsidRDefault="00002556" w:rsidP="005D39C4">
      <w:pPr>
        <w:pStyle w:val="ListParagraph"/>
        <w:numPr>
          <w:ilvl w:val="0"/>
          <w:numId w:val="5"/>
        </w:numPr>
        <w:spacing w:after="180"/>
      </w:pPr>
      <w:r>
        <w:t xml:space="preserve">Limitation of the closed loop accumulation for PUSCH in the case of DCI format 2_2 should </w:t>
      </w:r>
      <w:r w:rsidRPr="00456794">
        <w:t xml:space="preserve">be based on a condition on all </w:t>
      </w:r>
      <w:r w:rsidRPr="00456794">
        <w:rPr>
          <w:position w:val="-14"/>
        </w:rPr>
        <w:object w:dxaOrig="1800" w:dyaOrig="380">
          <v:shape id="_x0000_i1068" type="#_x0000_t75" style="width:90pt;height:18.75pt" o:ole="">
            <v:imagedata r:id="rId63" o:title=""/>
          </v:shape>
          <o:OLEObject Type="Embed" ProgID="Equation.3" ShapeID="_x0000_i1068" DrawAspect="Content" ObjectID="_1595450136" r:id="rId64"/>
        </w:object>
      </w:r>
      <w:r w:rsidRPr="00456794">
        <w:t xml:space="preserve"> affected by the group common DCI. </w:t>
      </w:r>
    </w:p>
    <w:p w:rsidR="00002556" w:rsidRDefault="00002556" w:rsidP="005D39C4">
      <w:pPr>
        <w:pStyle w:val="ListParagraph"/>
        <w:numPr>
          <w:ilvl w:val="1"/>
          <w:numId w:val="5"/>
        </w:numPr>
        <w:spacing w:after="180"/>
      </w:pPr>
      <w:r w:rsidRPr="00D2409C">
        <w:rPr>
          <w:szCs w:val="20"/>
        </w:rPr>
        <w:t xml:space="preserve">If for </w:t>
      </w:r>
      <w:r w:rsidRPr="00B55315">
        <w:rPr>
          <w:szCs w:val="20"/>
        </w:rPr>
        <w:t>all</w:t>
      </w:r>
      <w:r w:rsidRPr="00D2409C">
        <w:rPr>
          <w:szCs w:val="20"/>
        </w:rPr>
        <w:t xml:space="preserve"> </w:t>
      </w:r>
      <w:r w:rsidRPr="00D2409C">
        <w:rPr>
          <w:position w:val="-16"/>
        </w:rPr>
        <w:object w:dxaOrig="1939" w:dyaOrig="400">
          <v:shape id="_x0000_i1069" type="#_x0000_t75" style="width:96.75pt;height:20.25pt" o:ole="">
            <v:imagedata r:id="rId65" o:title=""/>
          </v:shape>
          <o:OLEObject Type="Embed" ProgID="Equation.3" ShapeID="_x0000_i1069" DrawAspect="Content" ObjectID="_1595450137" r:id="rId66"/>
        </w:object>
      </w:r>
      <w:r w:rsidRPr="00D2409C">
        <w:rPr>
          <w:szCs w:val="20"/>
        </w:rPr>
        <w:t xml:space="preserve">, </w:t>
      </w:r>
      <w:r w:rsidRPr="00B55315">
        <w:rPr>
          <w:szCs w:val="20"/>
        </w:rPr>
        <w:t>affected by the TPC</w:t>
      </w:r>
      <w:r w:rsidR="00162F9B">
        <w:rPr>
          <w:szCs w:val="20"/>
        </w:rPr>
        <w:t xml:space="preserve"> command</w:t>
      </w:r>
      <w:r w:rsidRPr="00D2409C">
        <w:rPr>
          <w:szCs w:val="20"/>
        </w:rPr>
        <w:t>, the condition</w:t>
      </w:r>
      <w:r w:rsidRPr="00D2409C">
        <w:rPr>
          <w:position w:val="-16"/>
        </w:rPr>
        <w:object w:dxaOrig="3300" w:dyaOrig="400">
          <v:shape id="_x0000_i1070" type="#_x0000_t75" style="width:165pt;height:20.25pt" o:ole="">
            <v:imagedata r:id="rId67" o:title=""/>
          </v:shape>
          <o:OLEObject Type="Embed" ProgID="Equation.3" ShapeID="_x0000_i1070" DrawAspect="Content" ObjectID="_1595450138" r:id="rId68"/>
        </w:object>
      </w:r>
      <w:r w:rsidRPr="00D2409C">
        <w:rPr>
          <w:szCs w:val="20"/>
        </w:rPr>
        <w:t xml:space="preserve"> holds</w:t>
      </w:r>
      <w:r>
        <w:rPr>
          <w:szCs w:val="20"/>
        </w:rPr>
        <w:t xml:space="preserve"> then </w:t>
      </w:r>
      <w:r>
        <w:t xml:space="preserve">positive TPC commands should not be accumulated. </w:t>
      </w:r>
    </w:p>
    <w:p w:rsidR="00002556" w:rsidRDefault="00002556" w:rsidP="005D39C4">
      <w:pPr>
        <w:pStyle w:val="ListParagraph"/>
        <w:numPr>
          <w:ilvl w:val="1"/>
          <w:numId w:val="5"/>
        </w:numPr>
        <w:spacing w:after="180"/>
      </w:pPr>
      <w:r w:rsidRPr="000C150E">
        <w:rPr>
          <w:szCs w:val="20"/>
        </w:rPr>
        <w:t xml:space="preserve">If for all </w:t>
      </w:r>
      <w:r w:rsidRPr="000C150E">
        <w:rPr>
          <w:position w:val="-16"/>
        </w:rPr>
        <w:object w:dxaOrig="1939" w:dyaOrig="400">
          <v:shape id="_x0000_i1071" type="#_x0000_t75" style="width:96.75pt;height:20.25pt" o:ole="">
            <v:imagedata r:id="rId65" o:title=""/>
          </v:shape>
          <o:OLEObject Type="Embed" ProgID="Equation.3" ShapeID="_x0000_i1071" DrawAspect="Content" ObjectID="_1595450139" r:id="rId69"/>
        </w:object>
      </w:r>
      <w:r w:rsidRPr="000C150E">
        <w:rPr>
          <w:szCs w:val="20"/>
        </w:rPr>
        <w:t>, affected by the TPC</w:t>
      </w:r>
      <w:r w:rsidR="00162F9B">
        <w:rPr>
          <w:szCs w:val="20"/>
        </w:rPr>
        <w:t xml:space="preserve"> command</w:t>
      </w:r>
      <w:r w:rsidRPr="000C150E">
        <w:rPr>
          <w:szCs w:val="20"/>
        </w:rPr>
        <w:t>, the condition</w:t>
      </w:r>
      <w:r>
        <w:rPr>
          <w:szCs w:val="20"/>
        </w:rPr>
        <w:t xml:space="preserve"> </w:t>
      </w:r>
      <w:r w:rsidRPr="00456794">
        <w:rPr>
          <w:position w:val="-14"/>
        </w:rPr>
        <w:object w:dxaOrig="1980" w:dyaOrig="380">
          <v:shape id="_x0000_i1072" type="#_x0000_t75" style="width:99pt;height:19.5pt" o:ole="">
            <v:imagedata r:id="rId70" o:title=""/>
          </v:shape>
          <o:OLEObject Type="Embed" ProgID="Equation.3" ShapeID="_x0000_i1072" DrawAspect="Content" ObjectID="_1595450140" r:id="rId71"/>
        </w:object>
      </w:r>
      <w:r>
        <w:rPr>
          <w:szCs w:val="20"/>
        </w:rPr>
        <w:t xml:space="preserve">minimum_power holds then </w:t>
      </w:r>
      <w:r>
        <w:t xml:space="preserve">negative TPC commands should not be accumulated. </w:t>
      </w:r>
    </w:p>
    <w:p w:rsidR="00002556" w:rsidRPr="00662419" w:rsidRDefault="00002556" w:rsidP="005D39C4">
      <w:pPr>
        <w:pStyle w:val="ListParagraph"/>
        <w:numPr>
          <w:ilvl w:val="0"/>
          <w:numId w:val="5"/>
        </w:numPr>
        <w:spacing w:after="180"/>
      </w:pPr>
      <w:r>
        <w:t xml:space="preserve">Closed loop power control for PUCCH given DCI format 2_2 </w:t>
      </w:r>
      <w:r w:rsidRPr="00716732">
        <w:rPr>
          <w:color w:val="000000"/>
          <w:szCs w:val="20"/>
          <w:lang w:val="en-AU"/>
        </w:rPr>
        <w:t>adopts an analogous solution</w:t>
      </w:r>
      <w:r>
        <w:rPr>
          <w:color w:val="000000"/>
          <w:szCs w:val="20"/>
          <w:lang w:val="en-AU"/>
        </w:rPr>
        <w:t xml:space="preserve"> to PUSCH</w:t>
      </w:r>
      <w:r w:rsidRPr="00693617">
        <w:rPr>
          <w:color w:val="000000"/>
          <w:szCs w:val="20"/>
          <w:lang w:val="en-AU"/>
        </w:rPr>
        <w:t xml:space="preserve"> </w:t>
      </w:r>
      <w:r>
        <w:rPr>
          <w:color w:val="000000"/>
          <w:szCs w:val="20"/>
          <w:lang w:val="en-AU"/>
        </w:rPr>
        <w:t>given DCI format 2_2 for limiting accumulation</w:t>
      </w:r>
    </w:p>
    <w:p w:rsidR="00180134" w:rsidRDefault="00180134" w:rsidP="008428F6">
      <w:pPr>
        <w:jc w:val="both"/>
        <w:rPr>
          <w:b/>
          <w:u w:val="single"/>
        </w:rPr>
      </w:pPr>
    </w:p>
    <w:p w:rsidR="00EB6037" w:rsidRPr="00836E6C" w:rsidRDefault="00EB6037" w:rsidP="00EB6037">
      <w:pPr>
        <w:pStyle w:val="Heading2"/>
        <w:rPr>
          <w:u w:val="single"/>
        </w:rPr>
      </w:pPr>
      <w:r>
        <w:rPr>
          <w:u w:val="single"/>
        </w:rPr>
        <w:t>Scaling of PUSCH transmission power for UL-MIMO</w:t>
      </w:r>
    </w:p>
    <w:p w:rsidR="002673ED" w:rsidRDefault="002673ED" w:rsidP="001270EA"/>
    <w:p w:rsidR="00E97B95" w:rsidRDefault="00E97B95" w:rsidP="001270EA">
      <w:r>
        <w:t>For PUSCH power control the following is specified in TS 38.213 section 7.1</w:t>
      </w:r>
    </w:p>
    <w:p w:rsidR="00E97B95" w:rsidRDefault="00E97B95" w:rsidP="001270EA"/>
    <w:p w:rsidR="00E97B95" w:rsidRDefault="00C25D54" w:rsidP="001270EA">
      <w:r>
        <w:rPr>
          <w:noProof/>
        </w:rPr>
        <w:lastRenderedPageBreak/>
        <mc:AlternateContent>
          <mc:Choice Requires="wps">
            <w:drawing>
              <wp:inline distT="0" distB="0" distL="0" distR="0">
                <wp:extent cx="6009640" cy="971550"/>
                <wp:effectExtent l="13970" t="6985" r="5715"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971550"/>
                        </a:xfrm>
                        <a:prstGeom prst="rect">
                          <a:avLst/>
                        </a:prstGeom>
                        <a:solidFill>
                          <a:srgbClr val="FFFFFF"/>
                        </a:solidFill>
                        <a:ln w="9525">
                          <a:solidFill>
                            <a:srgbClr val="000000"/>
                          </a:solidFill>
                          <a:miter lim="800000"/>
                          <a:headEnd/>
                          <a:tailEnd/>
                        </a:ln>
                      </wps:spPr>
                      <wps:txbx>
                        <w:txbxContent>
                          <w:p w:rsidR="001B7D17" w:rsidRPr="00E37A4C" w:rsidRDefault="001B7D17" w:rsidP="00797D82">
                            <w:pPr>
                              <w:rPr>
                                <w:lang w:val="en-AU"/>
                              </w:rPr>
                            </w:pPr>
                            <w:r w:rsidRPr="00E37A4C">
                              <w:rPr>
                                <w:lang w:val="en-AU"/>
                              </w:rPr>
                              <w:t xml:space="preserve">For PUSCH, a UE first scales a linear value </w:t>
                            </w:r>
                            <w:r>
                              <w:rPr>
                                <w:iCs/>
                                <w:position w:val="-12"/>
                              </w:rPr>
                              <w:object w:dxaOrig="1590" w:dyaOrig="375">
                                <v:shape id="_x0000_i1074" type="#_x0000_t75" style="width:79.5pt;height:18.75pt" o:ole="">
                                  <v:imagedata r:id="rId72" o:title=""/>
                                </v:shape>
                                <o:OLEObject Type="Embed" ProgID="Equation.3" ShapeID="_x0000_i1074" DrawAspect="Content" ObjectID="_1595450197" r:id="rId73"/>
                              </w:object>
                            </w:r>
                            <w:r w:rsidRPr="00E37A4C">
                              <w:rPr>
                                <w:iCs/>
                                <w:lang w:val="en-AU"/>
                              </w:rPr>
                              <w:t xml:space="preserve"> of the </w:t>
                            </w:r>
                            <w:r w:rsidRPr="00E37A4C">
                              <w:rPr>
                                <w:lang w:val="en-AU"/>
                              </w:rPr>
                              <w:t xml:space="preserve">transmit power </w:t>
                            </w:r>
                            <w:r>
                              <w:rPr>
                                <w:iCs/>
                                <w:position w:val="-12"/>
                              </w:rPr>
                              <w:object w:dxaOrig="1590" w:dyaOrig="330">
                                <v:shape id="_x0000_i1076" type="#_x0000_t75" style="width:79.5pt;height:16.5pt" o:ole="">
                                  <v:imagedata r:id="rId74" o:title=""/>
                                </v:shape>
                                <o:OLEObject Type="Embed" ProgID="Equation.3" ShapeID="_x0000_i1076" DrawAspect="Content" ObjectID="_1595450198" r:id="rId75"/>
                              </w:object>
                            </w:r>
                            <w:r w:rsidRPr="00E37A4C">
                              <w:rPr>
                                <w:iCs/>
                                <w:lang w:val="en-AU"/>
                              </w:rPr>
                              <w:t xml:space="preserve"> </w:t>
                            </w:r>
                            <w:r w:rsidRPr="00E37A4C">
                              <w:rPr>
                                <w:lang w:val="en-AU"/>
                              </w:rPr>
                              <w:t xml:space="preserve">on UL BWP </w:t>
                            </w:r>
                            <w:r>
                              <w:rPr>
                                <w:iCs/>
                                <w:position w:val="-6"/>
                              </w:rPr>
                              <w:object w:dxaOrig="180" w:dyaOrig="240">
                                <v:shape id="_x0000_i1078" type="#_x0000_t75" style="width:9pt;height:11.25pt" o:ole="">
                                  <v:imagedata r:id="rId76" o:title=""/>
                                </v:shape>
                                <o:OLEObject Type="Embed" ProgID="Equation.3" ShapeID="_x0000_i1078" DrawAspect="Content" ObjectID="_1595450199" r:id="rId77"/>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v:shape id="_x0000_i1080" type="#_x0000_t75" style="width:10.5pt;height:15pt" o:ole="">
                                  <v:imagedata r:id="rId12" o:title=""/>
                                </v:shape>
                                <o:OLEObject Type="Embed" ProgID="Equation.3" ShapeID="_x0000_i1080" DrawAspect="Content" ObjectID="_1595450200" r:id="rId78"/>
                              </w:object>
                            </w:r>
                            <w:r w:rsidRPr="00E37A4C">
                              <w:rPr>
                                <w:iCs/>
                                <w:lang w:val="en-AU"/>
                              </w:rPr>
                              <w:t xml:space="preserve"> of </w:t>
                            </w:r>
                            <w:r w:rsidRPr="00E37A4C">
                              <w:rPr>
                                <w:lang w:val="en-AU"/>
                              </w:rPr>
                              <w:t xml:space="preserve">serving cell </w:t>
                            </w:r>
                            <w:r>
                              <w:rPr>
                                <w:iCs/>
                                <w:position w:val="-6"/>
                              </w:rPr>
                              <w:object w:dxaOrig="165" w:dyaOrig="210">
                                <v:shape id="_x0000_i1082" type="#_x0000_t75" style="width:8.25pt;height:10.5pt" o:ole="">
                                  <v:imagedata r:id="rId79" o:title=""/>
                                </v:shape>
                                <o:OLEObject Type="Embed" ProgID="Equation.3" ShapeID="_x0000_i1082" DrawAspect="Content" ObjectID="_1595450201" r:id="rId80"/>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rsidR="001B7D17" w:rsidRPr="00760BD3" w:rsidRDefault="001B7D17" w:rsidP="00A94C24"/>
                        </w:txbxContent>
                      </wps:txbx>
                      <wps:bodyPr rot="0" vert="horz" wrap="square" lIns="91440" tIns="45720" rIns="91440" bIns="45720" anchor="t" anchorCtr="0" upright="1">
                        <a:noAutofit/>
                      </wps:bodyPr>
                    </wps:wsp>
                  </a:graphicData>
                </a:graphic>
              </wp:inline>
            </w:drawing>
          </mc:Choice>
          <mc:Fallback>
            <w:pict>
              <v:shape id="Text Box 2" o:spid="_x0000_s1027" type="#_x0000_t202" style="width:473.2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">
                <v:textbox>
                  <w:txbxContent>
                    <w:p w:rsidR="001B7D17" w:rsidRPr="00E37A4C" w:rsidRDefault="001B7D17" w:rsidP="00797D82">
                      <w:pPr>
                        <w:rPr>
                          <w:lang w:val="en-AU"/>
                        </w:rPr>
                      </w:pPr>
                      <w:r w:rsidRPr="00E37A4C">
                        <w:rPr>
                          <w:lang w:val="en-AU"/>
                        </w:rPr>
                        <w:t xml:space="preserve">For PUSCH, a UE first scales a linear value </w:t>
                      </w:r>
                      <w:r>
                        <w:rPr>
                          <w:iCs/>
                          <w:position w:val="-12"/>
                        </w:rPr>
                        <w:object w:dxaOrig="1590" w:dyaOrig="375">
                          <v:shape id="_x0000_i1074" type="#_x0000_t75" style="width:79.5pt;height:18.75pt" o:ole="">
                            <v:imagedata r:id="rId72" o:title=""/>
                          </v:shape>
                          <o:OLEObject Type="Embed" ProgID="Equation.3" ShapeID="_x0000_i1074" DrawAspect="Content" ObjectID="_1595450197" r:id="rId81"/>
                        </w:object>
                      </w:r>
                      <w:r w:rsidRPr="00E37A4C">
                        <w:rPr>
                          <w:iCs/>
                          <w:lang w:val="en-AU"/>
                        </w:rPr>
                        <w:t xml:space="preserve"> of the </w:t>
                      </w:r>
                      <w:r w:rsidRPr="00E37A4C">
                        <w:rPr>
                          <w:lang w:val="en-AU"/>
                        </w:rPr>
                        <w:t xml:space="preserve">transmit power </w:t>
                      </w:r>
                      <w:r>
                        <w:rPr>
                          <w:iCs/>
                          <w:position w:val="-12"/>
                        </w:rPr>
                        <w:object w:dxaOrig="1590" w:dyaOrig="330">
                          <v:shape id="_x0000_i1076" type="#_x0000_t75" style="width:79.5pt;height:16.5pt" o:ole="">
                            <v:imagedata r:id="rId74" o:title=""/>
                          </v:shape>
                          <o:OLEObject Type="Embed" ProgID="Equation.3" ShapeID="_x0000_i1076" DrawAspect="Content" ObjectID="_1595450198" r:id="rId82"/>
                        </w:object>
                      </w:r>
                      <w:r w:rsidRPr="00E37A4C">
                        <w:rPr>
                          <w:iCs/>
                          <w:lang w:val="en-AU"/>
                        </w:rPr>
                        <w:t xml:space="preserve"> </w:t>
                      </w:r>
                      <w:r w:rsidRPr="00E37A4C">
                        <w:rPr>
                          <w:lang w:val="en-AU"/>
                        </w:rPr>
                        <w:t xml:space="preserve">on UL BWP </w:t>
                      </w:r>
                      <w:r>
                        <w:rPr>
                          <w:iCs/>
                          <w:position w:val="-6"/>
                        </w:rPr>
                        <w:object w:dxaOrig="180" w:dyaOrig="240">
                          <v:shape id="_x0000_i1078" type="#_x0000_t75" style="width:9pt;height:11.25pt" o:ole="">
                            <v:imagedata r:id="rId76" o:title=""/>
                          </v:shape>
                          <o:OLEObject Type="Embed" ProgID="Equation.3" ShapeID="_x0000_i1078" DrawAspect="Content" ObjectID="_1595450199" r:id="rId83"/>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v:shape id="_x0000_i1080" type="#_x0000_t75" style="width:10.5pt;height:15pt" o:ole="">
                            <v:imagedata r:id="rId12" o:title=""/>
                          </v:shape>
                          <o:OLEObject Type="Embed" ProgID="Equation.3" ShapeID="_x0000_i1080" DrawAspect="Content" ObjectID="_1595450200" r:id="rId84"/>
                        </w:object>
                      </w:r>
                      <w:r w:rsidRPr="00E37A4C">
                        <w:rPr>
                          <w:iCs/>
                          <w:lang w:val="en-AU"/>
                        </w:rPr>
                        <w:t xml:space="preserve"> of </w:t>
                      </w:r>
                      <w:r w:rsidRPr="00E37A4C">
                        <w:rPr>
                          <w:lang w:val="en-AU"/>
                        </w:rPr>
                        <w:t xml:space="preserve">serving cell </w:t>
                      </w:r>
                      <w:r>
                        <w:rPr>
                          <w:iCs/>
                          <w:position w:val="-6"/>
                        </w:rPr>
                        <w:object w:dxaOrig="165" w:dyaOrig="210">
                          <v:shape id="_x0000_i1082" type="#_x0000_t75" style="width:8.25pt;height:10.5pt" o:ole="">
                            <v:imagedata r:id="rId79" o:title=""/>
                          </v:shape>
                          <o:OLEObject Type="Embed" ProgID="Equation.3" ShapeID="_x0000_i1082" DrawAspect="Content" ObjectID="_1595450201" r:id="rId85"/>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rsidR="001B7D17" w:rsidRPr="00760BD3" w:rsidRDefault="001B7D17" w:rsidP="00A94C24"/>
                  </w:txbxContent>
                </v:textbox>
                <w10:anchorlock/>
              </v:shape>
            </w:pict>
          </mc:Fallback>
        </mc:AlternateContent>
      </w:r>
    </w:p>
    <w:p w:rsidR="001E5785" w:rsidRDefault="001E5785" w:rsidP="001270EA"/>
    <w:p w:rsidR="00797D82" w:rsidRDefault="00797D82" w:rsidP="00797D82">
      <w:r w:rsidRPr="00797D82">
        <w:rPr>
          <w:lang w:val="en-AU"/>
        </w:rPr>
        <w:t>Given that the UE is configured for a single transmission scheme on PUSCH in Rel-15, 'the number of configured antenna ports for the transmission scheme’ can be interpreted as</w:t>
      </w:r>
      <w:r>
        <w:t xml:space="preserve"> a) “</w:t>
      </w:r>
      <w:r w:rsidRPr="00797D82">
        <w:t>The number of ports in one SRS resource configured to the UE for codebook or non-codebook based operation</w:t>
      </w:r>
      <w:r>
        <w:t>” or b) “</w:t>
      </w:r>
      <w:r w:rsidRPr="00797D82">
        <w:t>The number of ports in all SRS resources configured to the UE for codebook or non-codebook based operation</w:t>
      </w:r>
      <w:r>
        <w:t xml:space="preserve"> c) “</w:t>
      </w:r>
      <w:r w:rsidRPr="00797D82">
        <w:t xml:space="preserve">The maximum rank that the UE is configured for through maxRank and using non-concoherent TPMIs. </w:t>
      </w:r>
      <w:r>
        <w:t>Therefore, the above text is ambiguous and needs to be clarified.</w:t>
      </w:r>
    </w:p>
    <w:p w:rsidR="00797D82" w:rsidRDefault="00797D82" w:rsidP="00797D82"/>
    <w:p w:rsidR="001E5785" w:rsidRDefault="001E5785" w:rsidP="001270EA">
      <w:r>
        <w:t>In companion contribution [</w:t>
      </w:r>
      <w:r w:rsidR="00665D1F">
        <w:t>2</w:t>
      </w:r>
      <w:r>
        <w:t xml:space="preserve">], we provide a more detailed analysis </w:t>
      </w:r>
      <w:r w:rsidR="00797D82">
        <w:t>on this issue and propose the following</w:t>
      </w:r>
    </w:p>
    <w:p w:rsidR="001E5785" w:rsidRDefault="001E5785" w:rsidP="001270EA"/>
    <w:p w:rsidR="001E5785" w:rsidRPr="00E14DE0" w:rsidRDefault="001E5785" w:rsidP="001E5785">
      <w:pPr>
        <w:rPr>
          <w:b/>
          <w:u w:val="single"/>
        </w:rPr>
      </w:pPr>
      <w:r>
        <w:rPr>
          <w:b/>
          <w:u w:val="single"/>
        </w:rPr>
        <w:t xml:space="preserve">Proposal </w:t>
      </w:r>
      <w:r w:rsidR="00C23DB7">
        <w:rPr>
          <w:b/>
          <w:u w:val="single"/>
        </w:rPr>
        <w:t>3</w:t>
      </w:r>
      <w:r>
        <w:rPr>
          <w:b/>
          <w:u w:val="single"/>
        </w:rPr>
        <w:t xml:space="preserve"> </w:t>
      </w:r>
    </w:p>
    <w:p w:rsidR="00797D82" w:rsidRDefault="002A13E7" w:rsidP="002A13E7">
      <w:pPr>
        <w:pStyle w:val="ListParagraph"/>
        <w:numPr>
          <w:ilvl w:val="0"/>
          <w:numId w:val="11"/>
        </w:numPr>
        <w:spacing w:after="180" w:line="259" w:lineRule="auto"/>
      </w:pPr>
      <w:r w:rsidRPr="002A13E7">
        <w:t>Clarify Rel-15 NR PUSCH power scaling specifications such that per-PA full power capacity for all PAs in the UE is not required for any MIMO UE capability.</w:t>
      </w:r>
    </w:p>
    <w:p w:rsidR="00A52E52" w:rsidRDefault="00A52E52" w:rsidP="00A52E52">
      <w:pPr>
        <w:pStyle w:val="ListParagraph"/>
        <w:spacing w:after="180" w:line="259" w:lineRule="auto"/>
      </w:pPr>
    </w:p>
    <w:p w:rsidR="00797D82" w:rsidRPr="00797D82" w:rsidRDefault="00797D82" w:rsidP="00797D82">
      <w:pPr>
        <w:pStyle w:val="ListParagraph"/>
        <w:numPr>
          <w:ilvl w:val="0"/>
          <w:numId w:val="11"/>
        </w:numPr>
        <w:spacing w:after="180" w:line="259" w:lineRule="auto"/>
      </w:pPr>
      <w:r>
        <w:t>Agree to the below TP</w:t>
      </w:r>
    </w:p>
    <w:p w:rsidR="00797D82" w:rsidRPr="00797D82" w:rsidRDefault="00797D82" w:rsidP="00797D82">
      <w:pPr>
        <w:pStyle w:val="ListParagraph"/>
        <w:ind w:left="1304"/>
        <w:rPr>
          <w:lang w:val="en-AU"/>
        </w:rPr>
      </w:pPr>
      <w:r w:rsidRPr="00797D82">
        <w:rPr>
          <w:highlight w:val="yellow"/>
          <w:lang w:val="en-AU"/>
        </w:rPr>
        <w:t>&gt;&gt;&gt;&gt;&gt;&gt;&gt;&gt;&gt;&gt;&gt;&gt; Start text proposal &gt;&gt;&gt;&gt;&gt;&gt;&gt;&gt;&gt;&gt;&gt;&gt;</w:t>
      </w:r>
    </w:p>
    <w:p w:rsidR="00797D82" w:rsidRPr="00797D82" w:rsidRDefault="00797D82" w:rsidP="00797D82">
      <w:pPr>
        <w:pStyle w:val="ListParagraph"/>
        <w:ind w:left="1304"/>
        <w:rPr>
          <w:lang w:val="en-AU"/>
        </w:rPr>
      </w:pPr>
      <w:r w:rsidRPr="00797D82">
        <w:rPr>
          <w:color w:val="FF0000"/>
          <w:u w:val="single"/>
          <w:lang w:val="en-AU"/>
        </w:rPr>
        <w:t xml:space="preserve">For PUSCH configured with one antenna port, a UE transmits with power </w:t>
      </w:r>
      <w:r w:rsidRPr="00BA4329">
        <w:rPr>
          <w:position w:val="-12"/>
        </w:rPr>
        <w:object w:dxaOrig="1590" w:dyaOrig="330">
          <v:shape id="_x0000_i1083" type="#_x0000_t75" style="width:79.5pt;height:16.5pt" o:ole="">
            <v:imagedata r:id="rId74" o:title=""/>
          </v:shape>
          <o:OLEObject Type="Embed" ProgID="Equation.3" ShapeID="_x0000_i1083" DrawAspect="Content" ObjectID="_1595450141" r:id="rId86"/>
        </w:object>
      </w:r>
      <w:r w:rsidRPr="00797D82">
        <w:rPr>
          <w:iCs/>
          <w:color w:val="FF0000"/>
          <w:u w:val="single"/>
          <w:lang w:val="en-AU"/>
        </w:rPr>
        <w:t xml:space="preserve"> </w:t>
      </w:r>
      <w:r w:rsidRPr="00797D82">
        <w:rPr>
          <w:color w:val="FF0000"/>
          <w:u w:val="single"/>
          <w:lang w:val="en-AU"/>
        </w:rPr>
        <w:t xml:space="preserve">on UL BWP </w:t>
      </w:r>
      <w:r w:rsidRPr="00BA4329">
        <w:rPr>
          <w:position w:val="-6"/>
        </w:rPr>
        <w:object w:dxaOrig="180" w:dyaOrig="240">
          <v:shape id="_x0000_i1084" type="#_x0000_t75" style="width:9pt;height:11.25pt" o:ole="">
            <v:imagedata r:id="rId76" o:title=""/>
          </v:shape>
          <o:OLEObject Type="Embed" ProgID="Equation.3" ShapeID="_x0000_i1084" DrawAspect="Content" ObjectID="_1595450142" r:id="rId87"/>
        </w:object>
      </w:r>
      <w:r w:rsidRPr="00797D82">
        <w:rPr>
          <w:iCs/>
          <w:color w:val="FF0000"/>
          <w:u w:val="single"/>
          <w:lang w:val="en-AU"/>
        </w:rPr>
        <w:t xml:space="preserve">, as described in Subclause </w:t>
      </w:r>
      <w:r w:rsidRPr="00797D82">
        <w:rPr>
          <w:iCs/>
          <w:color w:val="FF0000"/>
          <w:u w:val="single"/>
        </w:rPr>
        <w:fldChar w:fldCharType="begin"/>
      </w:r>
      <w:r w:rsidRPr="00797D82">
        <w:rPr>
          <w:iCs/>
          <w:color w:val="FF0000"/>
          <w:u w:val="single"/>
          <w:lang w:val="en-AU"/>
        </w:rPr>
        <w:instrText xml:space="preserve"> REF _Ref496621482 \h </w:instrText>
      </w:r>
      <w:r w:rsidRPr="00797D82">
        <w:rPr>
          <w:iCs/>
          <w:color w:val="FF0000"/>
          <w:u w:val="single"/>
        </w:rPr>
        <w:instrText xml:space="preserve"> \* MERGEFORMAT </w:instrText>
      </w:r>
      <w:r w:rsidRPr="00797D82">
        <w:rPr>
          <w:iCs/>
          <w:color w:val="FF0000"/>
          <w:u w:val="single"/>
        </w:rPr>
      </w:r>
      <w:r w:rsidRPr="00797D82">
        <w:rPr>
          <w:iCs/>
          <w:color w:val="FF0000"/>
          <w:u w:val="single"/>
        </w:rPr>
        <w:fldChar w:fldCharType="separate"/>
      </w:r>
      <w:r w:rsidRPr="00797D82">
        <w:rPr>
          <w:color w:val="FF0000"/>
          <w:u w:val="single"/>
          <w:lang w:val="en-AU"/>
        </w:rPr>
        <w:t>12</w:t>
      </w:r>
      <w:r w:rsidRPr="00797D82">
        <w:rPr>
          <w:iCs/>
          <w:color w:val="FF0000"/>
          <w:u w:val="single"/>
        </w:rPr>
        <w:fldChar w:fldCharType="end"/>
      </w:r>
      <w:r w:rsidRPr="00797D82">
        <w:rPr>
          <w:iCs/>
          <w:color w:val="FF0000"/>
          <w:u w:val="single"/>
          <w:lang w:val="en-AU"/>
        </w:rPr>
        <w:t xml:space="preserve">, of </w:t>
      </w:r>
      <w:r w:rsidRPr="00797D82">
        <w:rPr>
          <w:color w:val="FF0000"/>
          <w:u w:val="single"/>
          <w:lang w:val="en-AU"/>
        </w:rPr>
        <w:t xml:space="preserve">carrier </w:t>
      </w:r>
      <w:r w:rsidRPr="00BA4329">
        <w:rPr>
          <w:position w:val="-10"/>
        </w:rPr>
        <w:object w:dxaOrig="225" w:dyaOrig="300">
          <v:shape id="_x0000_i1085" type="#_x0000_t75" style="width:10.5pt;height:15pt" o:ole="">
            <v:imagedata r:id="rId12" o:title=""/>
          </v:shape>
          <o:OLEObject Type="Embed" ProgID="Equation.3" ShapeID="_x0000_i1085" DrawAspect="Content" ObjectID="_1595450143" r:id="rId88"/>
        </w:object>
      </w:r>
      <w:r w:rsidRPr="00797D82">
        <w:rPr>
          <w:iCs/>
          <w:color w:val="FF0000"/>
          <w:u w:val="single"/>
          <w:lang w:val="en-AU"/>
        </w:rPr>
        <w:t xml:space="preserve"> of </w:t>
      </w:r>
      <w:r w:rsidRPr="00797D82">
        <w:rPr>
          <w:color w:val="FF0000"/>
          <w:u w:val="single"/>
          <w:lang w:val="en-AU"/>
        </w:rPr>
        <w:t xml:space="preserve">serving cell </w:t>
      </w:r>
      <w:r w:rsidRPr="00BA4329">
        <w:rPr>
          <w:position w:val="-6"/>
        </w:rPr>
        <w:object w:dxaOrig="165" w:dyaOrig="210">
          <v:shape id="_x0000_i1086" type="#_x0000_t75" style="width:8.25pt;height:10.5pt" o:ole="">
            <v:imagedata r:id="rId79" o:title=""/>
          </v:shape>
          <o:OLEObject Type="Embed" ProgID="Equation.3" ShapeID="_x0000_i1086" DrawAspect="Content" ObjectID="_1595450144" r:id="rId89"/>
        </w:object>
      </w:r>
      <w:r w:rsidRPr="00797D82">
        <w:rPr>
          <w:iCs/>
          <w:color w:val="FF0000"/>
          <w:u w:val="single"/>
          <w:lang w:val="en-AU"/>
        </w:rPr>
        <w:t xml:space="preserve">, with parameters as defined in Subclause </w:t>
      </w:r>
      <w:r w:rsidRPr="00797D82">
        <w:rPr>
          <w:iCs/>
          <w:color w:val="FF0000"/>
          <w:u w:val="single"/>
        </w:rPr>
        <w:fldChar w:fldCharType="begin"/>
      </w:r>
      <w:r w:rsidRPr="00797D82">
        <w:rPr>
          <w:iCs/>
          <w:color w:val="FF0000"/>
          <w:u w:val="single"/>
          <w:lang w:val="en-AU"/>
        </w:rPr>
        <w:instrText xml:space="preserve"> REF _Ref497117847 \h  \* MERGEFORMAT </w:instrText>
      </w:r>
      <w:r w:rsidRPr="00797D82">
        <w:rPr>
          <w:iCs/>
          <w:color w:val="FF0000"/>
          <w:u w:val="single"/>
        </w:rPr>
      </w:r>
      <w:r w:rsidRPr="00797D82">
        <w:rPr>
          <w:iCs/>
          <w:color w:val="FF0000"/>
          <w:u w:val="single"/>
        </w:rPr>
        <w:fldChar w:fldCharType="separate"/>
      </w:r>
      <w:r w:rsidRPr="00797D82">
        <w:rPr>
          <w:color w:val="FF0000"/>
          <w:u w:val="single"/>
          <w:lang w:val="en-AU"/>
        </w:rPr>
        <w:t>7.1.1</w:t>
      </w:r>
      <w:r w:rsidRPr="00797D82">
        <w:rPr>
          <w:iCs/>
          <w:color w:val="FF0000"/>
          <w:u w:val="single"/>
        </w:rPr>
        <w:fldChar w:fldCharType="end"/>
      </w:r>
      <w:r w:rsidRPr="00797D82">
        <w:rPr>
          <w:iCs/>
          <w:color w:val="FF0000"/>
          <w:u w:val="single"/>
          <w:lang w:val="en-AU"/>
        </w:rPr>
        <w:t xml:space="preserve">. </w:t>
      </w:r>
      <w:r w:rsidRPr="00797D82">
        <w:rPr>
          <w:lang w:val="en-AU"/>
        </w:rPr>
        <w:t>For PUSCH</w:t>
      </w:r>
      <w:r w:rsidRPr="00797D82">
        <w:rPr>
          <w:color w:val="FF0000"/>
          <w:u w:val="single"/>
          <w:lang w:val="en-AU"/>
        </w:rPr>
        <w:t xml:space="preserve"> configured with more than one antenna port</w:t>
      </w:r>
      <w:r w:rsidRPr="00797D82">
        <w:rPr>
          <w:lang w:val="en-AU"/>
        </w:rPr>
        <w:t xml:space="preserve">, a UE first scales a linear value </w:t>
      </w:r>
      <w:r>
        <w:rPr>
          <w:position w:val="-12"/>
        </w:rPr>
        <w:object w:dxaOrig="1590" w:dyaOrig="375">
          <v:shape id="_x0000_i1087" type="#_x0000_t75" style="width:79.5pt;height:18.75pt" o:ole="">
            <v:imagedata r:id="rId72" o:title=""/>
          </v:shape>
          <o:OLEObject Type="Embed" ProgID="Equation.3" ShapeID="_x0000_i1087" DrawAspect="Content" ObjectID="_1595450145" r:id="rId90"/>
        </w:object>
      </w:r>
      <w:r w:rsidRPr="00797D82">
        <w:rPr>
          <w:iCs/>
          <w:lang w:val="en-AU"/>
        </w:rPr>
        <w:t xml:space="preserve"> of the </w:t>
      </w:r>
      <w:r w:rsidRPr="00797D82">
        <w:rPr>
          <w:lang w:val="en-AU"/>
        </w:rPr>
        <w:t xml:space="preserve">transmit power </w:t>
      </w:r>
      <w:r>
        <w:rPr>
          <w:position w:val="-12"/>
        </w:rPr>
        <w:object w:dxaOrig="1590" w:dyaOrig="330">
          <v:shape id="_x0000_i1088" type="#_x0000_t75" style="width:79.5pt;height:16.5pt" o:ole="">
            <v:imagedata r:id="rId74" o:title=""/>
          </v:shape>
          <o:OLEObject Type="Embed" ProgID="Equation.3" ShapeID="_x0000_i1088" DrawAspect="Content" ObjectID="_1595450146" r:id="rId91"/>
        </w:object>
      </w:r>
      <w:r w:rsidRPr="00797D82">
        <w:rPr>
          <w:iCs/>
          <w:strike/>
          <w:color w:val="FF0000"/>
          <w:lang w:val="en-AU"/>
        </w:rPr>
        <w:t xml:space="preserve"> </w:t>
      </w:r>
      <w:r w:rsidRPr="00797D82">
        <w:rPr>
          <w:strike/>
          <w:color w:val="FF0000"/>
          <w:lang w:val="en-AU"/>
        </w:rPr>
        <w:t xml:space="preserve">on UL BWP </w:t>
      </w:r>
      <w:r w:rsidRPr="00DD4355">
        <w:rPr>
          <w:strike/>
          <w:position w:val="-6"/>
        </w:rPr>
        <w:object w:dxaOrig="180" w:dyaOrig="240">
          <v:shape id="_x0000_i1089" type="#_x0000_t75" style="width:9pt;height:11.25pt" o:ole="">
            <v:imagedata r:id="rId76" o:title=""/>
          </v:shape>
          <o:OLEObject Type="Embed" ProgID="Equation.3" ShapeID="_x0000_i1089" DrawAspect="Content" ObjectID="_1595450147" r:id="rId92"/>
        </w:object>
      </w:r>
      <w:r w:rsidRPr="00797D82">
        <w:rPr>
          <w:iCs/>
          <w:strike/>
          <w:color w:val="FF0000"/>
          <w:lang w:val="en-AU"/>
        </w:rPr>
        <w:t xml:space="preserve">, as described in Subclause </w:t>
      </w:r>
      <w:r w:rsidRPr="00797D82">
        <w:rPr>
          <w:iCs/>
          <w:strike/>
          <w:color w:val="FF0000"/>
        </w:rPr>
        <w:fldChar w:fldCharType="begin"/>
      </w:r>
      <w:r w:rsidRPr="00797D82">
        <w:rPr>
          <w:iCs/>
          <w:strike/>
          <w:color w:val="FF0000"/>
          <w:lang w:val="en-AU"/>
        </w:rPr>
        <w:instrText xml:space="preserve"> REF _Ref496621482 \h </w:instrText>
      </w:r>
      <w:r w:rsidRPr="00797D82">
        <w:rPr>
          <w:iCs/>
          <w:strike/>
          <w:color w:val="FF0000"/>
        </w:rPr>
        <w:instrText xml:space="preserve"> \* MERGEFORMAT </w:instrText>
      </w:r>
      <w:r w:rsidRPr="00797D82">
        <w:rPr>
          <w:iCs/>
          <w:strike/>
          <w:color w:val="FF0000"/>
        </w:rPr>
      </w:r>
      <w:r w:rsidRPr="00797D82">
        <w:rPr>
          <w:iCs/>
          <w:strike/>
          <w:color w:val="FF0000"/>
        </w:rPr>
        <w:fldChar w:fldCharType="separate"/>
      </w:r>
      <w:r w:rsidRPr="00797D82">
        <w:rPr>
          <w:strike/>
          <w:color w:val="FF0000"/>
          <w:lang w:val="en-AU"/>
        </w:rPr>
        <w:t>12</w:t>
      </w:r>
      <w:r w:rsidRPr="00797D82">
        <w:rPr>
          <w:iCs/>
          <w:strike/>
          <w:color w:val="FF0000"/>
        </w:rPr>
        <w:fldChar w:fldCharType="end"/>
      </w:r>
      <w:r w:rsidRPr="00797D82">
        <w:rPr>
          <w:iCs/>
          <w:strike/>
          <w:color w:val="FF0000"/>
          <w:lang w:val="en-AU"/>
        </w:rPr>
        <w:t xml:space="preserve">, of </w:t>
      </w:r>
      <w:r w:rsidRPr="00797D82">
        <w:rPr>
          <w:strike/>
          <w:color w:val="FF0000"/>
          <w:lang w:val="en-AU"/>
        </w:rPr>
        <w:t xml:space="preserve">carrier </w:t>
      </w:r>
      <w:r w:rsidRPr="00DD4355">
        <w:rPr>
          <w:strike/>
          <w:position w:val="-10"/>
        </w:rPr>
        <w:object w:dxaOrig="225" w:dyaOrig="300">
          <v:shape id="_x0000_i1090" type="#_x0000_t75" style="width:10.5pt;height:15pt" o:ole="">
            <v:imagedata r:id="rId12" o:title=""/>
          </v:shape>
          <o:OLEObject Type="Embed" ProgID="Equation.3" ShapeID="_x0000_i1090" DrawAspect="Content" ObjectID="_1595450148" r:id="rId93"/>
        </w:object>
      </w:r>
      <w:r w:rsidRPr="00797D82">
        <w:rPr>
          <w:iCs/>
          <w:strike/>
          <w:color w:val="FF0000"/>
          <w:lang w:val="en-AU"/>
        </w:rPr>
        <w:t xml:space="preserve"> of </w:t>
      </w:r>
      <w:r w:rsidRPr="00797D82">
        <w:rPr>
          <w:strike/>
          <w:color w:val="FF0000"/>
          <w:lang w:val="en-AU"/>
        </w:rPr>
        <w:t xml:space="preserve">serving cell </w:t>
      </w:r>
      <w:r w:rsidRPr="00DD4355">
        <w:rPr>
          <w:strike/>
          <w:position w:val="-6"/>
        </w:rPr>
        <w:object w:dxaOrig="165" w:dyaOrig="210">
          <v:shape id="_x0000_i1091" type="#_x0000_t75" style="width:8.25pt;height:10.5pt" o:ole="">
            <v:imagedata r:id="rId79" o:title=""/>
          </v:shape>
          <o:OLEObject Type="Embed" ProgID="Equation.3" ShapeID="_x0000_i1091" DrawAspect="Content" ObjectID="_1595450149" r:id="rId94"/>
        </w:object>
      </w:r>
      <w:r w:rsidRPr="00797D82">
        <w:rPr>
          <w:iCs/>
          <w:strike/>
          <w:color w:val="FF0000"/>
          <w:lang w:val="en-AU"/>
        </w:rPr>
        <w:t xml:space="preserve">, with parameters as defined in Subclause </w:t>
      </w:r>
      <w:r w:rsidRPr="00797D82">
        <w:rPr>
          <w:iCs/>
          <w:strike/>
          <w:color w:val="FF0000"/>
        </w:rPr>
        <w:fldChar w:fldCharType="begin"/>
      </w:r>
      <w:r w:rsidRPr="00797D82">
        <w:rPr>
          <w:iCs/>
          <w:strike/>
          <w:color w:val="FF0000"/>
          <w:lang w:val="en-AU"/>
        </w:rPr>
        <w:instrText xml:space="preserve"> REF _Ref497117847 \h  \* MERGEFORMAT </w:instrText>
      </w:r>
      <w:r w:rsidRPr="00797D82">
        <w:rPr>
          <w:iCs/>
          <w:strike/>
          <w:color w:val="FF0000"/>
        </w:rPr>
      </w:r>
      <w:r w:rsidRPr="00797D82">
        <w:rPr>
          <w:iCs/>
          <w:strike/>
          <w:color w:val="FF0000"/>
        </w:rPr>
        <w:fldChar w:fldCharType="separate"/>
      </w:r>
      <w:r w:rsidRPr="00797D82">
        <w:rPr>
          <w:strike/>
          <w:color w:val="FF0000"/>
          <w:lang w:val="en-AU"/>
        </w:rPr>
        <w:t>7.1.1</w:t>
      </w:r>
      <w:r w:rsidRPr="00797D82">
        <w:rPr>
          <w:iCs/>
          <w:strike/>
          <w:color w:val="FF0000"/>
        </w:rPr>
        <w:fldChar w:fldCharType="end"/>
      </w:r>
      <w:r w:rsidRPr="00797D82">
        <w:rPr>
          <w:iCs/>
          <w:lang w:val="en-AU"/>
        </w:rPr>
        <w:t xml:space="preserve">, </w:t>
      </w:r>
      <w:r w:rsidRPr="00797D82">
        <w:rPr>
          <w:lang w:val="en-AU"/>
        </w:rPr>
        <w:t xml:space="preserve">by the ratio of the number of antenna ports with a non-zero PUSCH transmission to the </w:t>
      </w:r>
      <w:r w:rsidRPr="00797D82">
        <w:rPr>
          <w:color w:val="FF0000"/>
          <w:u w:val="single"/>
          <w:lang w:val="en-AU"/>
        </w:rPr>
        <w:t xml:space="preserve">maximum number of PUSCH layers supported by the UE </w:t>
      </w:r>
      <w:r w:rsidRPr="00797D82">
        <w:rPr>
          <w:strike/>
          <w:color w:val="FF0000"/>
          <w:lang w:val="en-AU"/>
        </w:rPr>
        <w:t>number of configured antenna ports for the transmission scheme</w:t>
      </w:r>
      <w:r w:rsidRPr="00797D82">
        <w:rPr>
          <w:lang w:val="en-AU"/>
        </w:rPr>
        <w:t xml:space="preserve">. The resulting scaled power is then split equally across the antenna ports on which the non-zero PUSCH is transmitted. </w:t>
      </w:r>
    </w:p>
    <w:p w:rsidR="00797D82" w:rsidRPr="00797D82" w:rsidRDefault="00797D82" w:rsidP="00797D82">
      <w:pPr>
        <w:pStyle w:val="ListParagraph"/>
        <w:ind w:left="1304"/>
        <w:rPr>
          <w:lang w:val="en-AU" w:eastAsia="zh-CN"/>
        </w:rPr>
      </w:pPr>
      <w:r w:rsidRPr="00797D82">
        <w:rPr>
          <w:highlight w:val="yellow"/>
          <w:lang w:val="en-AU"/>
        </w:rPr>
        <w:t>&gt;&gt;&gt;&gt;&gt;&gt;&gt;&gt;&gt;&gt;&gt;&gt; End text proposal &gt;&gt;&gt;&gt;&gt;&gt;&gt;&gt;&gt;&gt;&gt;&gt;&gt;</w:t>
      </w:r>
    </w:p>
    <w:p w:rsidR="00797D82" w:rsidRPr="0029430B" w:rsidRDefault="00797D82" w:rsidP="00797D82">
      <w:pPr>
        <w:pStyle w:val="ListParagraph"/>
        <w:spacing w:after="180" w:line="259" w:lineRule="auto"/>
        <w:rPr>
          <w:lang w:val="en-AU"/>
        </w:rPr>
      </w:pPr>
    </w:p>
    <w:p w:rsidR="00797D82" w:rsidRPr="00797D82" w:rsidRDefault="00797D82" w:rsidP="00797D82">
      <w:pPr>
        <w:pStyle w:val="ListParagraph"/>
        <w:spacing w:after="180" w:line="259" w:lineRule="auto"/>
      </w:pPr>
    </w:p>
    <w:p w:rsidR="001E5785" w:rsidRPr="00CB066C" w:rsidRDefault="001E5785" w:rsidP="00797D82">
      <w:pPr>
        <w:pStyle w:val="ListParagraph"/>
        <w:spacing w:after="180" w:line="259" w:lineRule="auto"/>
      </w:pPr>
      <w:r>
        <w:rPr>
          <w:iCs/>
        </w:rPr>
        <w:t>.</w:t>
      </w:r>
    </w:p>
    <w:p w:rsidR="00D1296D" w:rsidRPr="00836E6C" w:rsidRDefault="00D1296D" w:rsidP="00D1296D">
      <w:pPr>
        <w:pStyle w:val="Heading2"/>
        <w:rPr>
          <w:u w:val="single"/>
        </w:rPr>
      </w:pPr>
      <w:r>
        <w:rPr>
          <w:u w:val="single"/>
        </w:rPr>
        <w:t>Scaling of SRS transmission power for UL-MIMO</w:t>
      </w:r>
    </w:p>
    <w:p w:rsidR="001E5785" w:rsidRDefault="001E5785" w:rsidP="001270EA"/>
    <w:p w:rsidR="007D6833" w:rsidRPr="00864DA6" w:rsidRDefault="00C25D54" w:rsidP="007D6833">
      <w:pPr>
        <w:rPr>
          <w:lang w:val="en-AU"/>
        </w:rPr>
      </w:pPr>
      <w:r>
        <w:rPr>
          <w:noProof/>
        </w:rPr>
        <mc:AlternateContent>
          <mc:Choice Requires="wps">
            <w:drawing>
              <wp:anchor distT="45720" distB="45720" distL="114300" distR="114300" simplePos="0" relativeHeight="3" behindDoc="0" locked="0" layoutInCell="1" allowOverlap="1">
                <wp:simplePos x="0" y="0"/>
                <wp:positionH relativeFrom="margin">
                  <wp:align>left</wp:align>
                </wp:positionH>
                <wp:positionV relativeFrom="paragraph">
                  <wp:posOffset>239395</wp:posOffset>
                </wp:positionV>
                <wp:extent cx="6009640" cy="554990"/>
                <wp:effectExtent l="0" t="0" r="0" b="0"/>
                <wp:wrapSquare wrapText="bothSides"/>
                <wp:docPr id="3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554990"/>
                        </a:xfrm>
                        <a:prstGeom prst="rect">
                          <a:avLst/>
                        </a:prstGeom>
                        <a:solidFill>
                          <a:srgbClr val="FFFFFF"/>
                        </a:solidFill>
                        <a:ln w="9525">
                          <a:solidFill>
                            <a:srgbClr val="000000"/>
                          </a:solidFill>
                          <a:miter lim="800000"/>
                          <a:headEnd/>
                          <a:tailEnd/>
                        </a:ln>
                      </wps:spPr>
                      <wps:txbx>
                        <w:txbxContent>
                          <w:p w:rsidR="001B7D17" w:rsidRPr="00E1638E" w:rsidRDefault="001B7D17" w:rsidP="007D6833">
                            <w:pPr>
                              <w:rPr>
                                <w:lang w:val="x-none"/>
                              </w:rPr>
                            </w:pPr>
                            <w:r w:rsidRPr="00E1638E">
                              <w:rPr>
                                <w:lang w:val="en-AU" w:eastAsia="zh-CN"/>
                              </w:rPr>
                              <w:t xml:space="preserve">For SRS, the linear value </w:t>
                            </w:r>
                            <w:r w:rsidRPr="00B916EC">
                              <w:rPr>
                                <w:iCs/>
                                <w:position w:val="-12"/>
                              </w:rPr>
                              <w:object w:dxaOrig="1219" w:dyaOrig="360">
                                <v:shape id="_x0000_i1093" type="#_x0000_t75" style="width:57.7pt;height:21.75pt" o:ole="">
                                  <v:imagedata r:id="rId95" o:title=""/>
                                </v:shape>
                                <o:OLEObject Type="Embed" ProgID="Equation.3" ShapeID="_x0000_i1093" DrawAspect="Content" ObjectID="_1595450202" r:id="rId96"/>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v:shape id="_x0000_i1095" type="#_x0000_t75" style="width:57.7pt;height:14.25pt" o:ole="">
                                  <v:imagedata r:id="rId97" o:title=""/>
                                </v:shape>
                                <o:OLEObject Type="Embed" ProgID="Equation.3" ShapeID="_x0000_i1095" DrawAspect="Content" ObjectID="_1595450203" r:id="rId98"/>
                              </w:object>
                            </w:r>
                            <w:r w:rsidRPr="00E1638E">
                              <w:rPr>
                                <w:iCs/>
                                <w:lang w:val="en-AU"/>
                              </w:rPr>
                              <w:t xml:space="preserve"> </w:t>
                            </w:r>
                            <w:r w:rsidRPr="00E1638E">
                              <w:rPr>
                                <w:lang w:val="en-AU" w:eastAsia="zh-CN"/>
                              </w:rPr>
                              <w:t xml:space="preserve">on </w:t>
                            </w:r>
                            <w:r>
                              <w:t xml:space="preserve">UL BWP </w:t>
                            </w:r>
                            <w:r w:rsidRPr="00425377">
                              <w:rPr>
                                <w:iCs/>
                                <w:position w:val="-6"/>
                              </w:rPr>
                              <w:object w:dxaOrig="180" w:dyaOrig="260">
                                <v:shape id="_x0000_i1097" type="#_x0000_t75" style="width:7.5pt;height:14.25pt" o:ole="">
                                  <v:imagedata r:id="rId10" o:title=""/>
                                </v:shape>
                                <o:OLEObject Type="Embed" ProgID="Equation.3" ShapeID="_x0000_i1097" DrawAspect="Content" ObjectID="_1595450204" r:id="rId99"/>
                              </w:object>
                            </w:r>
                            <w:r>
                              <w:rPr>
                                <w:iCs/>
                              </w:rPr>
                              <w:t xml:space="preserve"> </w:t>
                            </w:r>
                            <w:r>
                              <w:t>of</w:t>
                            </w:r>
                            <w:r w:rsidRPr="00B916EC">
                              <w:t xml:space="preserve"> carrier </w:t>
                            </w:r>
                            <w:r w:rsidRPr="00B916EC">
                              <w:rPr>
                                <w:iCs/>
                                <w:position w:val="-10"/>
                              </w:rPr>
                              <w:object w:dxaOrig="212" w:dyaOrig="309">
                                <v:shape id="_x0000_i1099" type="#_x0000_t75" style="width:14.25pt;height:14.25pt" o:ole="">
                                  <v:imagedata r:id="rId12" o:title=""/>
                                </v:shape>
                                <o:OLEObject Type="Embed" ProgID="Equation.3" ShapeID="_x0000_i1099" DrawAspect="Content" ObjectID="_1595450205" r:id="rId100"/>
                              </w:object>
                            </w:r>
                            <w:r w:rsidRPr="00B916EC">
                              <w:rPr>
                                <w:iCs/>
                              </w:rPr>
                              <w:t xml:space="preserve"> </w:t>
                            </w:r>
                            <w:r w:rsidRPr="00E1638E">
                              <w:rPr>
                                <w:lang w:val="en-AU"/>
                              </w:rPr>
                              <w:t xml:space="preserve">of serving cell </w:t>
                            </w:r>
                            <w:r w:rsidRPr="00B916EC">
                              <w:rPr>
                                <w:position w:val="-6"/>
                              </w:rPr>
                              <w:object w:dxaOrig="135" w:dyaOrig="135">
                                <v:shape id="_x0000_i1101" type="#_x0000_t75" style="width:6.75pt;height:6.75pt" o:ole="">
                                  <v:imagedata r:id="rId14" o:title=""/>
                                </v:shape>
                                <o:OLEObject Type="Embed" ProgID="Equation.3" ShapeID="_x0000_i1101" DrawAspect="Content" ObjectID="_1595450206" r:id="rId101"/>
                              </w:object>
                            </w:r>
                            <w:r w:rsidRPr="00E1638E">
                              <w:rPr>
                                <w:lang w:val="en-AU"/>
                              </w:rPr>
                              <w:t xml:space="preserve"> </w:t>
                            </w:r>
                            <w:r w:rsidRPr="00E1638E">
                              <w:rPr>
                                <w:lang w:val="en-AU" w:eastAsia="zh-CN"/>
                              </w:rPr>
                              <w:t>is split equally across the configured antenna ports for SRS</w:t>
                            </w:r>
                            <w:r w:rsidRPr="00E1638E">
                              <w:rPr>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0;margin-top:18.85pt;width:473.2pt;height:43.7pt;z-index: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">
                <v:textbox>
                  <w:txbxContent>
                    <w:p w:rsidR="001B7D17" w:rsidRPr="00E1638E" w:rsidRDefault="001B7D17" w:rsidP="007D6833">
                      <w:pPr>
                        <w:rPr>
                          <w:lang w:val="x-none"/>
                        </w:rPr>
                      </w:pPr>
                      <w:r w:rsidRPr="00E1638E">
                        <w:rPr>
                          <w:lang w:val="en-AU" w:eastAsia="zh-CN"/>
                        </w:rPr>
                        <w:t xml:space="preserve">For SRS, the linear value </w:t>
                      </w:r>
                      <w:r w:rsidRPr="00B916EC">
                        <w:rPr>
                          <w:iCs/>
                          <w:position w:val="-12"/>
                        </w:rPr>
                        <w:object w:dxaOrig="1219" w:dyaOrig="360">
                          <v:shape id="_x0000_i1093" type="#_x0000_t75" style="width:57.7pt;height:21.75pt" o:ole="">
                            <v:imagedata r:id="rId95" o:title=""/>
                          </v:shape>
                          <o:OLEObject Type="Embed" ProgID="Equation.3" ShapeID="_x0000_i1093" DrawAspect="Content" ObjectID="_1595450202" r:id="rId102"/>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v:shape id="_x0000_i1095" type="#_x0000_t75" style="width:57.7pt;height:14.25pt" o:ole="">
                            <v:imagedata r:id="rId97" o:title=""/>
                          </v:shape>
                          <o:OLEObject Type="Embed" ProgID="Equation.3" ShapeID="_x0000_i1095" DrawAspect="Content" ObjectID="_1595450203" r:id="rId103"/>
                        </w:object>
                      </w:r>
                      <w:r w:rsidRPr="00E1638E">
                        <w:rPr>
                          <w:iCs/>
                          <w:lang w:val="en-AU"/>
                        </w:rPr>
                        <w:t xml:space="preserve"> </w:t>
                      </w:r>
                      <w:r w:rsidRPr="00E1638E">
                        <w:rPr>
                          <w:lang w:val="en-AU" w:eastAsia="zh-CN"/>
                        </w:rPr>
                        <w:t xml:space="preserve">on </w:t>
                      </w:r>
                      <w:r>
                        <w:t xml:space="preserve">UL BWP </w:t>
                      </w:r>
                      <w:r w:rsidRPr="00425377">
                        <w:rPr>
                          <w:iCs/>
                          <w:position w:val="-6"/>
                        </w:rPr>
                        <w:object w:dxaOrig="180" w:dyaOrig="260">
                          <v:shape id="_x0000_i1097" type="#_x0000_t75" style="width:7.5pt;height:14.25pt" o:ole="">
                            <v:imagedata r:id="rId10" o:title=""/>
                          </v:shape>
                          <o:OLEObject Type="Embed" ProgID="Equation.3" ShapeID="_x0000_i1097" DrawAspect="Content" ObjectID="_1595450204" r:id="rId104"/>
                        </w:object>
                      </w:r>
                      <w:r>
                        <w:rPr>
                          <w:iCs/>
                        </w:rPr>
                        <w:t xml:space="preserve"> </w:t>
                      </w:r>
                      <w:r>
                        <w:t>of</w:t>
                      </w:r>
                      <w:r w:rsidRPr="00B916EC">
                        <w:t xml:space="preserve"> carrier </w:t>
                      </w:r>
                      <w:r w:rsidRPr="00B916EC">
                        <w:rPr>
                          <w:iCs/>
                          <w:position w:val="-10"/>
                        </w:rPr>
                        <w:object w:dxaOrig="212" w:dyaOrig="309">
                          <v:shape id="_x0000_i1099" type="#_x0000_t75" style="width:14.25pt;height:14.25pt" o:ole="">
                            <v:imagedata r:id="rId12" o:title=""/>
                          </v:shape>
                          <o:OLEObject Type="Embed" ProgID="Equation.3" ShapeID="_x0000_i1099" DrawAspect="Content" ObjectID="_1595450205" r:id="rId105"/>
                        </w:object>
                      </w:r>
                      <w:r w:rsidRPr="00B916EC">
                        <w:rPr>
                          <w:iCs/>
                        </w:rPr>
                        <w:t xml:space="preserve"> </w:t>
                      </w:r>
                      <w:r w:rsidRPr="00E1638E">
                        <w:rPr>
                          <w:lang w:val="en-AU"/>
                        </w:rPr>
                        <w:t xml:space="preserve">of serving cell </w:t>
                      </w:r>
                      <w:r w:rsidRPr="00B916EC">
                        <w:rPr>
                          <w:position w:val="-6"/>
                        </w:rPr>
                        <w:object w:dxaOrig="135" w:dyaOrig="135">
                          <v:shape id="_x0000_i1101" type="#_x0000_t75" style="width:6.75pt;height:6.75pt" o:ole="">
                            <v:imagedata r:id="rId14" o:title=""/>
                          </v:shape>
                          <o:OLEObject Type="Embed" ProgID="Equation.3" ShapeID="_x0000_i1101" DrawAspect="Content" ObjectID="_1595450206" r:id="rId106"/>
                        </w:object>
                      </w:r>
                      <w:r w:rsidRPr="00E1638E">
                        <w:rPr>
                          <w:lang w:val="en-AU"/>
                        </w:rPr>
                        <w:t xml:space="preserve"> </w:t>
                      </w:r>
                      <w:r w:rsidRPr="00E1638E">
                        <w:rPr>
                          <w:lang w:val="en-AU" w:eastAsia="zh-CN"/>
                        </w:rPr>
                        <w:t>is split equally across the configured antenna ports for SRS</w:t>
                      </w:r>
                      <w:r w:rsidRPr="00E1638E">
                        <w:rPr>
                          <w:lang w:val="en-AU"/>
                        </w:rPr>
                        <w:t>.</w:t>
                      </w:r>
                    </w:p>
                  </w:txbxContent>
                </v:textbox>
                <w10:wrap type="square" anchorx="margin"/>
              </v:shape>
            </w:pict>
          </mc:Fallback>
        </mc:AlternateContent>
      </w:r>
      <w:r w:rsidR="007D6833" w:rsidRPr="00864DA6">
        <w:rPr>
          <w:lang w:val="en-AU"/>
        </w:rPr>
        <w:t xml:space="preserve">For </w:t>
      </w:r>
      <w:r w:rsidR="007D6833">
        <w:rPr>
          <w:lang w:val="en-AU"/>
        </w:rPr>
        <w:t>SRS</w:t>
      </w:r>
      <w:r w:rsidR="007D6833" w:rsidRPr="00864DA6">
        <w:rPr>
          <w:lang w:val="en-AU"/>
        </w:rPr>
        <w:t xml:space="preserve"> power control the following is specified in TS 38.213 section 7.</w:t>
      </w:r>
      <w:r w:rsidR="007D6833">
        <w:rPr>
          <w:lang w:val="en-AU"/>
        </w:rPr>
        <w:t>3</w:t>
      </w:r>
      <w:r w:rsidR="007D6833" w:rsidRPr="00864DA6">
        <w:rPr>
          <w:lang w:val="en-AU"/>
        </w:rPr>
        <w:t>:</w:t>
      </w:r>
    </w:p>
    <w:p w:rsidR="00D1296D" w:rsidRDefault="00D1296D" w:rsidP="001270EA"/>
    <w:p w:rsidR="00A52E52" w:rsidRDefault="00A52E52" w:rsidP="00A52E52">
      <w:pPr>
        <w:spacing w:after="180" w:line="259" w:lineRule="auto"/>
      </w:pPr>
      <w:r>
        <w:t>In companion contribution [3], we study SRS power scaling details and make the following observations.</w:t>
      </w:r>
    </w:p>
    <w:p w:rsidR="00A52E52" w:rsidRPr="00A52E52" w:rsidRDefault="00A52E52" w:rsidP="00A52E52">
      <w:pPr>
        <w:pStyle w:val="ListParagraph"/>
        <w:numPr>
          <w:ilvl w:val="0"/>
          <w:numId w:val="12"/>
        </w:numPr>
        <w:spacing w:after="180" w:line="259" w:lineRule="auto"/>
        <w:rPr>
          <w:lang w:val="en-AU"/>
        </w:rPr>
      </w:pPr>
      <w:r w:rsidRPr="00A52E52">
        <w:rPr>
          <w:lang w:val="en-AU"/>
        </w:rPr>
        <w:t xml:space="preserve">The current SRS power scaling specification is ambiguous in TS 38.213 </w:t>
      </w:r>
      <w:bookmarkStart w:id="6" w:name="_Hlk521505769"/>
      <w:r w:rsidRPr="00A52E52">
        <w:rPr>
          <w:lang w:val="en-AU"/>
        </w:rPr>
        <w:t>with respect to how SRS power is split over time, SRS resources, and SRS resource sets</w:t>
      </w:r>
      <w:bookmarkEnd w:id="6"/>
      <w:r w:rsidRPr="00A52E52">
        <w:rPr>
          <w:lang w:val="en-AU"/>
        </w:rPr>
        <w:t>.</w:t>
      </w:r>
    </w:p>
    <w:p w:rsidR="00A52E52" w:rsidRPr="003F4362" w:rsidRDefault="00A52E52" w:rsidP="00A52E52">
      <w:pPr>
        <w:pStyle w:val="ListParagraph"/>
        <w:numPr>
          <w:ilvl w:val="0"/>
          <w:numId w:val="17"/>
        </w:numPr>
        <w:spacing w:after="180" w:line="259" w:lineRule="auto"/>
        <w:rPr>
          <w:b/>
          <w:lang w:val="en-AU"/>
        </w:rPr>
      </w:pPr>
      <w:r w:rsidRPr="003F4362">
        <w:rPr>
          <w:lang w:val="en-AU"/>
        </w:rPr>
        <w:t>Different SRS resource sets utilizing shared SRS resources does not work together with SRS power control per SRS resource set.</w:t>
      </w:r>
    </w:p>
    <w:p w:rsidR="00A52E52" w:rsidRPr="003F4362" w:rsidRDefault="00A52E52" w:rsidP="00A52E52">
      <w:pPr>
        <w:pStyle w:val="ListParagraph"/>
        <w:numPr>
          <w:ilvl w:val="0"/>
          <w:numId w:val="17"/>
        </w:numPr>
        <w:spacing w:after="180" w:line="259" w:lineRule="auto"/>
        <w:rPr>
          <w:rFonts w:eastAsia="SimSun"/>
          <w:b/>
          <w:lang w:val="en-AU" w:eastAsia="ja-JP"/>
        </w:rPr>
      </w:pPr>
      <w:r w:rsidRPr="003F4362">
        <w:rPr>
          <w:rFonts w:eastAsia="SimSun"/>
          <w:lang w:val="en-AU" w:eastAsia="ja-JP"/>
        </w:rPr>
        <w:t>The underlying assumption on a UE’s antenna port capabilities, in terms of maximal transmitted power per antenna port, will have an impact on the PUSCH and SRS power scaling in the UL power control.</w:t>
      </w:r>
    </w:p>
    <w:p w:rsidR="00A52E52" w:rsidRPr="003F4362" w:rsidRDefault="00A52E52" w:rsidP="00A52E52">
      <w:pPr>
        <w:pStyle w:val="ListParagraph"/>
        <w:numPr>
          <w:ilvl w:val="0"/>
          <w:numId w:val="12"/>
        </w:numPr>
        <w:spacing w:after="180" w:line="259" w:lineRule="auto"/>
        <w:rPr>
          <w:lang w:val="en-AU"/>
        </w:rPr>
      </w:pPr>
      <w:r w:rsidRPr="003F4362">
        <w:rPr>
          <w:lang w:val="en-AU"/>
        </w:rPr>
        <w:t xml:space="preserve">The number of SRS ports and SRS resources transmitted per OFDM symbol for an SRS resource set may vary over the OFDM symbols corresponding to the SRS resource set according to the current specifications  </w:t>
      </w:r>
    </w:p>
    <w:p w:rsidR="00A52E52" w:rsidRPr="003F4362" w:rsidRDefault="00A52E52" w:rsidP="00A52E52">
      <w:pPr>
        <w:pStyle w:val="ListParagraph"/>
        <w:numPr>
          <w:ilvl w:val="0"/>
          <w:numId w:val="12"/>
        </w:numPr>
        <w:spacing w:after="180" w:line="259" w:lineRule="auto"/>
        <w:rPr>
          <w:lang w:val="en-AU"/>
        </w:rPr>
      </w:pPr>
      <w:r w:rsidRPr="003F4362">
        <w:rPr>
          <w:lang w:val="en-AU"/>
        </w:rPr>
        <w:lastRenderedPageBreak/>
        <w:t xml:space="preserve">An SRS port transmitted over multiple OFDM symbols should keep a constant power over these symbols. </w:t>
      </w:r>
    </w:p>
    <w:p w:rsidR="00A52E52" w:rsidRPr="003F4362" w:rsidRDefault="00A52E52" w:rsidP="00A52E52">
      <w:pPr>
        <w:pStyle w:val="ListParagraph"/>
        <w:numPr>
          <w:ilvl w:val="0"/>
          <w:numId w:val="12"/>
        </w:numPr>
        <w:spacing w:after="180" w:line="259" w:lineRule="auto"/>
        <w:rPr>
          <w:lang w:val="en-AU"/>
        </w:rPr>
      </w:pPr>
      <w:r w:rsidRPr="003F4362">
        <w:rPr>
          <w:lang w:val="en-AU"/>
        </w:rPr>
        <w:t xml:space="preserve">The procedure on how to determine the power to be used for transmitting an SRS port in transmission period </w:t>
      </w:r>
      <w:r w:rsidRPr="003F4362">
        <w:rPr>
          <w:i/>
          <w:lang w:val="en-AU"/>
        </w:rPr>
        <w:t>i</w:t>
      </w:r>
      <w:r w:rsidRPr="003F4362">
        <w:rPr>
          <w:lang w:val="en-AU"/>
        </w:rPr>
        <w:t xml:space="preserve"> should not depend on SRS transmissions outside of transmission period </w:t>
      </w:r>
      <w:r w:rsidRPr="003F4362">
        <w:rPr>
          <w:i/>
          <w:lang w:val="en-AU"/>
        </w:rPr>
        <w:t>i</w:t>
      </w:r>
      <w:r w:rsidRPr="003F4362">
        <w:rPr>
          <w:lang w:val="en-AU"/>
        </w:rPr>
        <w:t xml:space="preserve">. </w:t>
      </w:r>
    </w:p>
    <w:p w:rsidR="00A52E52" w:rsidRPr="003F4362" w:rsidRDefault="00A52E52" w:rsidP="00A52E52">
      <w:pPr>
        <w:pStyle w:val="ListParagraph"/>
        <w:numPr>
          <w:ilvl w:val="0"/>
          <w:numId w:val="12"/>
        </w:numPr>
        <w:spacing w:after="180" w:line="259" w:lineRule="auto"/>
        <w:rPr>
          <w:lang w:val="en-AU"/>
        </w:rPr>
      </w:pPr>
      <w:r w:rsidRPr="003F4362">
        <w:rPr>
          <w:lang w:val="en-AU"/>
        </w:rPr>
        <w:t xml:space="preserve">The number of SRS resource sets transmitted per OFDM symbol within a transmission period may vary over the OFDM symbols according to the current specifications.  </w:t>
      </w:r>
    </w:p>
    <w:p w:rsidR="007D6833" w:rsidRDefault="00A52E52" w:rsidP="007D6833">
      <w:r>
        <w:t>Considering the above observations, we propose the following. More detailed analysis and example text proposals are given in</w:t>
      </w:r>
      <w:r w:rsidR="007D6833">
        <w:t xml:space="preserve"> [</w:t>
      </w:r>
      <w:r w:rsidR="00665D1F">
        <w:t>3</w:t>
      </w:r>
      <w:r w:rsidR="007D6833">
        <w:t>]</w:t>
      </w:r>
      <w:r>
        <w:t>.</w:t>
      </w:r>
    </w:p>
    <w:p w:rsidR="00CE6EDD" w:rsidRDefault="00CE6EDD" w:rsidP="007D6833">
      <w:pPr>
        <w:rPr>
          <w:b/>
          <w:u w:val="single"/>
        </w:rPr>
      </w:pPr>
    </w:p>
    <w:p w:rsidR="007D6833" w:rsidRDefault="007D6833" w:rsidP="007D6833">
      <w:pPr>
        <w:rPr>
          <w:b/>
          <w:u w:val="single"/>
        </w:rPr>
      </w:pPr>
      <w:r>
        <w:rPr>
          <w:b/>
          <w:u w:val="single"/>
        </w:rPr>
        <w:t xml:space="preserve">Proposal </w:t>
      </w:r>
      <w:r w:rsidR="00C23DB7">
        <w:rPr>
          <w:b/>
          <w:u w:val="single"/>
        </w:rPr>
        <w:t>4</w:t>
      </w:r>
    </w:p>
    <w:p w:rsidR="00A52E52" w:rsidRPr="00375E92" w:rsidRDefault="002A13E7" w:rsidP="002A13E7">
      <w:pPr>
        <w:pStyle w:val="ListParagraph"/>
        <w:keepNext/>
        <w:numPr>
          <w:ilvl w:val="0"/>
          <w:numId w:val="12"/>
        </w:numPr>
        <w:spacing w:after="180" w:line="259" w:lineRule="auto"/>
        <w:rPr>
          <w:lang w:val="en-AU"/>
        </w:rPr>
      </w:pPr>
      <w:r w:rsidRPr="002A13E7">
        <w:rPr>
          <w:lang w:val="en-AU"/>
        </w:rPr>
        <w:t>Clarify Rel-15 NR PUSCH power scaling specifications such that per-PA full power capacity for all PAs in the UE is not required for any MIMO UE capability.</w:t>
      </w:r>
    </w:p>
    <w:p w:rsidR="00A52E52" w:rsidRPr="00C51741" w:rsidRDefault="00A52E52" w:rsidP="00A52E52">
      <w:pPr>
        <w:pStyle w:val="ListParagraph"/>
        <w:numPr>
          <w:ilvl w:val="1"/>
          <w:numId w:val="14"/>
        </w:numPr>
        <w:spacing w:after="180" w:line="259" w:lineRule="auto"/>
        <w:ind w:left="1440"/>
        <w:rPr>
          <w:lang w:val="en-AU"/>
        </w:rPr>
      </w:pPr>
      <w:r w:rsidRPr="00C51741">
        <w:rPr>
          <w:lang w:val="en-AU"/>
        </w:rPr>
        <w:t xml:space="preserve">Note: NR rel-16 MIMO WI includes full power capability </w:t>
      </w:r>
    </w:p>
    <w:p w:rsidR="00A52E52" w:rsidRPr="003F4362" w:rsidRDefault="00A52E52" w:rsidP="00A52E52">
      <w:pPr>
        <w:pStyle w:val="ListParagraph"/>
        <w:numPr>
          <w:ilvl w:val="0"/>
          <w:numId w:val="14"/>
        </w:numPr>
        <w:spacing w:after="180" w:line="259" w:lineRule="auto"/>
        <w:ind w:left="720"/>
        <w:rPr>
          <w:lang w:val="en-AU"/>
        </w:rPr>
      </w:pPr>
      <w:r w:rsidRPr="003F4362">
        <w:rPr>
          <w:lang w:val="en-AU"/>
        </w:rPr>
        <w:t xml:space="preserve">A total power of </w:t>
      </w:r>
      <w:r w:rsidRPr="002B5F3D">
        <w:rPr>
          <w:iCs/>
          <w:position w:val="-12"/>
        </w:rPr>
        <w:object w:dxaOrig="1219" w:dyaOrig="360">
          <v:shape id="_x0000_i1102" type="#_x0000_t75" style="width:57.75pt;height:21.75pt" o:ole="">
            <v:imagedata r:id="rId95" o:title=""/>
          </v:shape>
          <o:OLEObject Type="Embed" ProgID="Equation.3" ShapeID="_x0000_i1102" DrawAspect="Content" ObjectID="_1595450150" r:id="rId107"/>
        </w:object>
      </w:r>
      <w:r w:rsidRPr="003F4362">
        <w:rPr>
          <w:lang w:val="en-AU"/>
        </w:rPr>
        <w:t xml:space="preserve">  should at most be transmitted per OFDM symbol in transmission period </w:t>
      </w:r>
      <w:r w:rsidRPr="003F4362">
        <w:rPr>
          <w:i/>
          <w:lang w:val="en-AU"/>
        </w:rPr>
        <w:t>i</w:t>
      </w:r>
      <w:r w:rsidRPr="003F4362">
        <w:rPr>
          <w:lang w:val="en-AU"/>
        </w:rPr>
        <w:t xml:space="preserve"> from the transmitted SRS resource set </w:t>
      </w:r>
      <w:r w:rsidRPr="003F4362">
        <w:rPr>
          <w:i/>
          <w:lang w:val="en-AU"/>
        </w:rPr>
        <w:t>q</w:t>
      </w:r>
      <w:r w:rsidRPr="003F4362">
        <w:rPr>
          <w:i/>
          <w:vertAlign w:val="subscript"/>
          <w:lang w:val="en-AU"/>
        </w:rPr>
        <w:t>s</w:t>
      </w:r>
      <w:r w:rsidRPr="003F4362">
        <w:rPr>
          <w:lang w:val="en-AU"/>
        </w:rPr>
        <w:t xml:space="preserve">. </w:t>
      </w:r>
    </w:p>
    <w:p w:rsidR="00A52E52" w:rsidRDefault="00A52E52" w:rsidP="00A52E52">
      <w:pPr>
        <w:pStyle w:val="ListParagraph"/>
        <w:numPr>
          <w:ilvl w:val="0"/>
          <w:numId w:val="14"/>
        </w:numPr>
        <w:spacing w:after="180" w:line="259" w:lineRule="auto"/>
        <w:ind w:left="720"/>
        <w:rPr>
          <w:lang w:val="en-AU"/>
        </w:rPr>
      </w:pPr>
      <w:r w:rsidRPr="003F4362">
        <w:rPr>
          <w:lang w:val="en-AU"/>
        </w:rPr>
        <w:t xml:space="preserve">All of the SRS ports transmitted from SRS resource set </w:t>
      </w:r>
      <w:r w:rsidRPr="003F4362">
        <w:rPr>
          <w:i/>
          <w:lang w:val="en-AU"/>
        </w:rPr>
        <w:t>q</w:t>
      </w:r>
      <w:r w:rsidRPr="003F4362">
        <w:rPr>
          <w:i/>
          <w:vertAlign w:val="subscript"/>
          <w:lang w:val="en-AU"/>
        </w:rPr>
        <w:t>s</w:t>
      </w:r>
      <w:r w:rsidRPr="003F4362">
        <w:rPr>
          <w:lang w:val="en-AU"/>
        </w:rPr>
        <w:t xml:space="preserve">, in transmission period </w:t>
      </w:r>
      <w:r w:rsidRPr="003F4362">
        <w:rPr>
          <w:vertAlign w:val="superscript"/>
          <w:lang w:val="en-AU"/>
        </w:rPr>
        <w:t>i</w:t>
      </w:r>
      <w:r w:rsidRPr="003F4362">
        <w:rPr>
          <w:lang w:val="en-AU"/>
        </w:rPr>
        <w:t>, are transmitted with the same power per port.</w:t>
      </w:r>
    </w:p>
    <w:p w:rsidR="00A52E52" w:rsidRPr="003F4362" w:rsidRDefault="00A52E52" w:rsidP="00A52E52">
      <w:pPr>
        <w:pStyle w:val="ListParagraph"/>
        <w:numPr>
          <w:ilvl w:val="0"/>
          <w:numId w:val="14"/>
        </w:numPr>
        <w:spacing w:after="180" w:line="259" w:lineRule="auto"/>
        <w:ind w:left="720"/>
        <w:rPr>
          <w:lang w:val="en-AU"/>
        </w:rPr>
      </w:pPr>
      <w:r w:rsidRPr="003F4362">
        <w:rPr>
          <w:rFonts w:ascii="Times" w:eastAsia="SimSun" w:hAnsi="Times"/>
          <w:lang w:val="en-AU" w:eastAsia="ja-JP"/>
        </w:rPr>
        <w:t xml:space="preserve">When multiple SRS resource sets are present in transmission period </w:t>
      </w:r>
      <w:r w:rsidRPr="003F4362">
        <w:rPr>
          <w:rFonts w:ascii="Times" w:eastAsia="SimSun" w:hAnsi="Times"/>
          <w:i/>
          <w:lang w:val="en-AU" w:eastAsia="ja-JP"/>
        </w:rPr>
        <w:t>i</w:t>
      </w:r>
      <w:r w:rsidRPr="003F4362">
        <w:rPr>
          <w:rFonts w:ascii="Times" w:eastAsia="SimSun" w:hAnsi="Times"/>
          <w:lang w:val="en-AU" w:eastAsia="ja-JP"/>
        </w:rPr>
        <w:t xml:space="preserve"> scale the transmit power of SRS resource set </w:t>
      </w:r>
      <w:r w:rsidRPr="003F4362">
        <w:rPr>
          <w:rFonts w:ascii="Times" w:eastAsia="SimSun" w:hAnsi="Times"/>
          <w:i/>
          <w:lang w:val="en-AU" w:eastAsia="ja-JP"/>
        </w:rPr>
        <w:t>q</w:t>
      </w:r>
      <w:r w:rsidRPr="003F4362">
        <w:rPr>
          <w:rFonts w:ascii="Times" w:eastAsia="SimSun" w:hAnsi="Times"/>
          <w:i/>
          <w:vertAlign w:val="subscript"/>
          <w:lang w:val="en-AU" w:eastAsia="ja-JP"/>
        </w:rPr>
        <w:t>s</w:t>
      </w:r>
      <w:r w:rsidRPr="003F4362">
        <w:rPr>
          <w:rFonts w:ascii="Times" w:eastAsia="SimSun" w:hAnsi="Times"/>
          <w:lang w:val="en-AU" w:eastAsia="ja-JP"/>
        </w:rPr>
        <w:t xml:space="preserve"> such that it is transmitted with power </w:t>
      </w:r>
      <w:r w:rsidRPr="003F4362">
        <w:rPr>
          <w:rFonts w:ascii="Symbol" w:eastAsia="SimSun" w:hAnsi="Symbol"/>
          <w:i/>
          <w:lang w:val="en-AU" w:eastAsia="ja-JP"/>
        </w:rPr>
        <w:t></w:t>
      </w:r>
      <w:r w:rsidRPr="003F4362">
        <w:rPr>
          <w:rFonts w:ascii="Symbol" w:eastAsia="SimSun" w:hAnsi="Symbol"/>
          <w:i/>
          <w:lang w:val="en-AU" w:eastAsia="ja-JP"/>
        </w:rPr>
        <w:t></w:t>
      </w:r>
      <w:r w:rsidRPr="003F4362">
        <w:rPr>
          <w:rFonts w:ascii="Times" w:eastAsia="SimSun" w:hAnsi="Times"/>
          <w:i/>
          <w:lang w:val="en-AU" w:eastAsia="ja-JP"/>
        </w:rPr>
        <w:t>i</w:t>
      </w:r>
      <w:r w:rsidRPr="003F4362">
        <w:rPr>
          <w:rFonts w:ascii="Symbol" w:eastAsia="SimSun" w:hAnsi="Symbol"/>
          <w:i/>
          <w:lang w:val="en-AU" w:eastAsia="ja-JP"/>
        </w:rPr>
        <w:t></w:t>
      </w:r>
      <w:r w:rsidRPr="005E202D">
        <w:rPr>
          <w:rFonts w:ascii="Times" w:eastAsia="SimSun" w:hAnsi="Times"/>
          <w:iCs/>
          <w:position w:val="-14"/>
          <w:lang w:eastAsia="ja-JP"/>
        </w:rPr>
        <w:object w:dxaOrig="1340" w:dyaOrig="380">
          <v:shape id="_x0000_i1103" type="#_x0000_t75" style="width:65.25pt;height:21.75pt" o:ole="">
            <v:imagedata r:id="rId108" o:title=""/>
          </v:shape>
          <o:OLEObject Type="Embed" ProgID="Equation.3" ShapeID="_x0000_i1103" DrawAspect="Content" ObjectID="_1595450151" r:id="rId109"/>
        </w:object>
      </w:r>
      <w:r>
        <w:rPr>
          <w:iCs/>
        </w:rPr>
        <w:t xml:space="preserve">, </w:t>
      </w:r>
      <w:r w:rsidRPr="003F4362">
        <w:rPr>
          <w:rFonts w:ascii="Times" w:eastAsia="SimSun" w:hAnsi="Times"/>
          <w:iCs/>
          <w:lang w:val="en-AU" w:eastAsia="ja-JP"/>
        </w:rPr>
        <w:t xml:space="preserve">where </w:t>
      </w:r>
    </w:p>
    <w:p w:rsidR="00A52E52" w:rsidRPr="003F4362" w:rsidRDefault="00A52E52" w:rsidP="00A52E52">
      <w:pPr>
        <w:pStyle w:val="ListParagraph"/>
        <w:numPr>
          <w:ilvl w:val="1"/>
          <w:numId w:val="14"/>
        </w:numPr>
        <w:spacing w:after="180" w:line="259" w:lineRule="auto"/>
        <w:ind w:left="1440"/>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sidRPr="003F4362">
        <w:rPr>
          <w:lang w:val="en-AU"/>
        </w:rPr>
        <w:t xml:space="preserve"> where s denotes the OFDM symbol index in transmission period </w:t>
      </w:r>
      <w:r w:rsidRPr="003F4362">
        <w:rPr>
          <w:i/>
          <w:lang w:val="en-AU"/>
        </w:rPr>
        <w:t>i</w:t>
      </w:r>
      <w:r w:rsidRPr="003F4362">
        <w:rPr>
          <w:lang w:val="en-AU"/>
        </w:rPr>
        <w:t xml:space="preserve"> and</w:t>
      </w:r>
    </w:p>
    <w:p w:rsidR="00A52E52" w:rsidRPr="003F4362" w:rsidRDefault="00A52E52" w:rsidP="00A52E52">
      <w:pPr>
        <w:pStyle w:val="ListParagraph"/>
        <w:numPr>
          <w:ilvl w:val="2"/>
          <w:numId w:val="14"/>
        </w:numPr>
        <w:spacing w:after="180" w:line="259" w:lineRule="auto"/>
        <w:ind w:left="2160"/>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v:shape id="_x0000_i1105" type="#_x0000_t75" style="width:65.25pt;height:21.75pt" o:ole="">
                  <v:imagedata r:id="rId110" o:title=""/>
                </v:shape>
                <o:OLEObject Type="Embed" ProgID="Equation.3" ShapeID="_x0000_i1105" DrawAspect="Content" ObjectID="_1595450152" r:id="rId111"/>
              </w:object>
            </m:r>
          </m:e>
        </m:nary>
      </m:oMath>
      <w:r w:rsidRPr="003F4362">
        <w:rPr>
          <w:lang w:val="en-AU"/>
        </w:rPr>
        <w:t xml:space="preserve"> with </w:t>
      </w:r>
    </w:p>
    <w:p w:rsidR="00A52E52" w:rsidRPr="003F4362" w:rsidRDefault="00A52E52" w:rsidP="00A52E52">
      <w:pPr>
        <w:pStyle w:val="ListParagraph"/>
        <w:numPr>
          <w:ilvl w:val="2"/>
          <w:numId w:val="14"/>
        </w:numPr>
        <w:spacing w:after="180" w:line="259" w:lineRule="auto"/>
        <w:ind w:left="2160"/>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sidRPr="003F4362">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3F4362">
        <w:rPr>
          <w:lang w:val="en-AU"/>
        </w:rPr>
        <w:t xml:space="preserve"> is transmitted in symbol s in transmission period i, and</w:t>
      </w:r>
    </w:p>
    <w:p w:rsidR="00A52E52" w:rsidRDefault="00A52E52" w:rsidP="00A52E52">
      <w:pPr>
        <w:pStyle w:val="ListParagraph"/>
        <w:numPr>
          <w:ilvl w:val="2"/>
          <w:numId w:val="14"/>
        </w:numPr>
        <w:spacing w:after="180" w:line="259" w:lineRule="auto"/>
        <w:ind w:left="2160"/>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sidRPr="003F4362">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3F4362">
        <w:rPr>
          <w:lang w:val="en-AU"/>
        </w:rPr>
        <w:t xml:space="preserve"> is transmitted in symbol s in transmission period i. </w:t>
      </w:r>
    </w:p>
    <w:p w:rsidR="007D6833" w:rsidRDefault="007D6833" w:rsidP="001270EA"/>
    <w:p w:rsidR="006D788C" w:rsidRPr="00836E6C" w:rsidRDefault="006D788C" w:rsidP="006D788C">
      <w:pPr>
        <w:pStyle w:val="Heading2"/>
        <w:rPr>
          <w:u w:val="single"/>
        </w:rPr>
      </w:pPr>
      <w:r>
        <w:rPr>
          <w:u w:val="single"/>
        </w:rPr>
        <w:t>Power sharing for NR architecture option 4/4A</w:t>
      </w:r>
    </w:p>
    <w:p w:rsidR="006D788C" w:rsidRDefault="006D788C" w:rsidP="006D788C">
      <w:pPr>
        <w:jc w:val="both"/>
      </w:pPr>
    </w:p>
    <w:p w:rsidR="006D788C" w:rsidRDefault="006D788C" w:rsidP="006D788C">
      <w:pPr>
        <w:jc w:val="both"/>
      </w:pPr>
      <w:r>
        <w:t>Below we provide our view for Option 4/4A power sharing framework taking into account RAN guidance to minimize specification impact.</w:t>
      </w:r>
    </w:p>
    <w:p w:rsidR="006D788C" w:rsidRDefault="006D788C" w:rsidP="006D788C">
      <w:pPr>
        <w:jc w:val="both"/>
      </w:pPr>
    </w:p>
    <w:p w:rsidR="006D788C" w:rsidRDefault="006D788C" w:rsidP="006D788C">
      <w:pPr>
        <w:numPr>
          <w:ilvl w:val="0"/>
          <w:numId w:val="18"/>
        </w:numPr>
        <w:jc w:val="both"/>
      </w:pPr>
      <w:r>
        <w:t>P_LTE and P_NR signaling</w:t>
      </w:r>
    </w:p>
    <w:p w:rsidR="006D788C" w:rsidRDefault="006D788C" w:rsidP="006D788C">
      <w:pPr>
        <w:numPr>
          <w:ilvl w:val="1"/>
          <w:numId w:val="18"/>
        </w:numPr>
        <w:jc w:val="both"/>
      </w:pPr>
      <w:r>
        <w:t xml:space="preserve">P_LTE and P_NR are maximum allowed power values configured on LTE and NR side respectively. </w:t>
      </w:r>
    </w:p>
    <w:p w:rsidR="006D788C" w:rsidRDefault="006D788C" w:rsidP="006D788C">
      <w:pPr>
        <w:numPr>
          <w:ilvl w:val="1"/>
          <w:numId w:val="18"/>
        </w:numPr>
        <w:jc w:val="both"/>
      </w:pPr>
      <w:r>
        <w:t>These are already specified for EN-DC and can be reused without changes for Option 4/4A</w:t>
      </w:r>
    </w:p>
    <w:p w:rsidR="006D788C" w:rsidRDefault="006D788C" w:rsidP="006D788C">
      <w:pPr>
        <w:numPr>
          <w:ilvl w:val="0"/>
          <w:numId w:val="18"/>
        </w:numPr>
        <w:jc w:val="both"/>
      </w:pPr>
      <w:r>
        <w:t>Dynamic power sharing</w:t>
      </w:r>
    </w:p>
    <w:p w:rsidR="006D788C" w:rsidRDefault="006D788C" w:rsidP="006D788C">
      <w:pPr>
        <w:numPr>
          <w:ilvl w:val="1"/>
          <w:numId w:val="18"/>
        </w:numPr>
        <w:jc w:val="both"/>
      </w:pPr>
      <w:r>
        <w:t xml:space="preserve">For EN-DC, a UE supporting ‘dynamic power sharing’ capability can scale down/drop NR (SCG) transmissions when power limited. Details of scaling down/dropping are left to UE implementation. </w:t>
      </w:r>
    </w:p>
    <w:p w:rsidR="006D788C" w:rsidRDefault="006D788C" w:rsidP="006D788C">
      <w:pPr>
        <w:numPr>
          <w:ilvl w:val="1"/>
          <w:numId w:val="18"/>
        </w:numPr>
        <w:jc w:val="both"/>
      </w:pPr>
      <w:r>
        <w:t xml:space="preserve">Similar capability should be supported for option 4/4A. In this case, the UE should be able to scale down/drop LTE (SCG) transmissions when power limited and the details of scaling/dropping can be left to UE implementation. </w:t>
      </w:r>
    </w:p>
    <w:p w:rsidR="006D788C" w:rsidRDefault="006D788C" w:rsidP="006D788C">
      <w:pPr>
        <w:numPr>
          <w:ilvl w:val="0"/>
          <w:numId w:val="18"/>
        </w:numPr>
        <w:jc w:val="both"/>
      </w:pPr>
      <w:r>
        <w:t>Semi-static partitioning of LTE and NR UL transmissions</w:t>
      </w:r>
    </w:p>
    <w:p w:rsidR="006D788C" w:rsidRDefault="006D788C" w:rsidP="006D788C">
      <w:pPr>
        <w:numPr>
          <w:ilvl w:val="1"/>
          <w:numId w:val="18"/>
        </w:numPr>
        <w:jc w:val="both"/>
      </w:pPr>
      <w:r>
        <w:t xml:space="preserve">For EN-DC, Case1-OperationA behavior is supported, where network can restrict LTE UL transmissions to a subset of subframes via RRC signaling on LTE side (i.e., by configuring Case1 reference TDD UL/DL configuration for LTE including LTE FDD Pcell). When such reference configuration is indicated, and when the UE does not support dynamic power sharing, the UE is </w:t>
      </w:r>
      <w:r>
        <w:rPr>
          <w:lang w:eastAsia="zh-CN"/>
        </w:rPr>
        <w:t xml:space="preserve">not expected to make NR transmissions in </w:t>
      </w:r>
      <w:r>
        <w:t xml:space="preserve">slots corresponding to UL subframes indicated by the RRC signaling on LTE side (i.e., the UL subframes of Case1 reference TDD UL/DL configuration). </w:t>
      </w:r>
    </w:p>
    <w:p w:rsidR="006D788C" w:rsidRDefault="006D788C" w:rsidP="006D788C">
      <w:pPr>
        <w:numPr>
          <w:ilvl w:val="1"/>
          <w:numId w:val="18"/>
        </w:numPr>
        <w:jc w:val="both"/>
      </w:pPr>
      <w:r>
        <w:lastRenderedPageBreak/>
        <w:t>Similar framework can be supported for Option4/4A, for UEs not supporting dynamic power sharing, by replicating the changes agreed for LTE Pcell UE behavior to LTE PScell UE behavior.</w:t>
      </w:r>
    </w:p>
    <w:p w:rsidR="006D788C" w:rsidRDefault="006D788C" w:rsidP="006D788C">
      <w:pPr>
        <w:jc w:val="both"/>
      </w:pPr>
    </w:p>
    <w:p w:rsidR="006D788C" w:rsidRDefault="006D788C" w:rsidP="006D788C">
      <w:pPr>
        <w:jc w:val="both"/>
      </w:pPr>
      <w:r>
        <w:t>In summary, we propose the following high-level framework for Option 4/4A power sharing between NR and LTE</w:t>
      </w:r>
    </w:p>
    <w:p w:rsidR="006D788C" w:rsidRDefault="006D788C" w:rsidP="006D788C">
      <w:pPr>
        <w:jc w:val="both"/>
      </w:pPr>
    </w:p>
    <w:p w:rsidR="006D788C" w:rsidRDefault="006D788C" w:rsidP="006D788C">
      <w:pPr>
        <w:pStyle w:val="BodyText"/>
        <w:rPr>
          <w:b/>
          <w:u w:val="single"/>
        </w:rPr>
      </w:pPr>
      <w:r w:rsidRPr="00CE08A1">
        <w:rPr>
          <w:b/>
          <w:u w:val="single"/>
        </w:rPr>
        <w:t xml:space="preserve">Proposal </w:t>
      </w:r>
      <w:r>
        <w:rPr>
          <w:b/>
          <w:u w:val="single"/>
        </w:rPr>
        <w:t>5</w:t>
      </w:r>
    </w:p>
    <w:p w:rsidR="006D788C" w:rsidRPr="00967BE6" w:rsidRDefault="006D788C" w:rsidP="006D788C">
      <w:pPr>
        <w:pStyle w:val="BodyText"/>
        <w:numPr>
          <w:ilvl w:val="0"/>
          <w:numId w:val="19"/>
        </w:numPr>
        <w:rPr>
          <w:b/>
          <w:u w:val="single"/>
        </w:rPr>
      </w:pPr>
      <w:r>
        <w:t>P_LTE and P_NR signaling defined for EN-DC should be reused for Option 4/4A</w:t>
      </w:r>
    </w:p>
    <w:p w:rsidR="006D788C" w:rsidRPr="00967BE6" w:rsidRDefault="006D788C" w:rsidP="006D788C">
      <w:pPr>
        <w:pStyle w:val="BodyText"/>
        <w:numPr>
          <w:ilvl w:val="0"/>
          <w:numId w:val="19"/>
        </w:numPr>
        <w:rPr>
          <w:b/>
          <w:u w:val="single"/>
        </w:rPr>
      </w:pPr>
      <w:r>
        <w:t>Dynamic power sharing capability should be supported for Option 4/4A</w:t>
      </w:r>
    </w:p>
    <w:p w:rsidR="006D788C" w:rsidRPr="00967BE6" w:rsidRDefault="006D788C" w:rsidP="006D788C">
      <w:pPr>
        <w:pStyle w:val="BodyText"/>
        <w:numPr>
          <w:ilvl w:val="1"/>
          <w:numId w:val="19"/>
        </w:numPr>
        <w:rPr>
          <w:b/>
          <w:u w:val="single"/>
        </w:rPr>
      </w:pPr>
      <w:r>
        <w:t>UE should scale down/drop LTE (SCG) transmissions when power limited, and the details of scaling/dropping can be left to UE implementation.</w:t>
      </w:r>
    </w:p>
    <w:p w:rsidR="006D788C" w:rsidRPr="00E24AEA" w:rsidRDefault="006D788C" w:rsidP="006D788C">
      <w:pPr>
        <w:pStyle w:val="BodyText"/>
        <w:numPr>
          <w:ilvl w:val="0"/>
          <w:numId w:val="19"/>
        </w:numPr>
        <w:rPr>
          <w:b/>
          <w:i/>
          <w:u w:val="single"/>
        </w:rPr>
      </w:pPr>
      <w:r>
        <w:t>For support of semi-static partitioning of LTE and NR UL transmissions similar to Case1-OperationA agreed for EN-DC (for UEs not supporting dynamic power sharing), the changes agreed so far for LTE Pcell UE behavior can be replicated for LTE PScell</w:t>
      </w:r>
    </w:p>
    <w:p w:rsidR="006D788C" w:rsidRDefault="006D788C" w:rsidP="001270EA"/>
    <w:p w:rsidR="007A018A" w:rsidRDefault="007A018A" w:rsidP="007A018A">
      <w:pPr>
        <w:pStyle w:val="Heading1"/>
      </w:pPr>
      <w:r>
        <w:t>Conclusion</w:t>
      </w:r>
      <w:r w:rsidR="00026152">
        <w:t>s</w:t>
      </w:r>
    </w:p>
    <w:p w:rsidR="00124E0D" w:rsidRDefault="008847A2" w:rsidP="00124E0D">
      <w:pPr>
        <w:pStyle w:val="BodyText"/>
      </w:pPr>
      <w:r>
        <w:t xml:space="preserve">In this document, </w:t>
      </w:r>
      <w:r w:rsidR="007D4CBE">
        <w:t xml:space="preserve">we discuss </w:t>
      </w:r>
      <w:r w:rsidR="003B6C67">
        <w:rPr>
          <w:lang w:val="en-AU"/>
        </w:rPr>
        <w:t>some remaining issues for finalising the specification of NR power control</w:t>
      </w:r>
      <w:r w:rsidR="003B6C67">
        <w:t xml:space="preserve"> </w:t>
      </w:r>
      <w:r w:rsidR="007D4CBE">
        <w:t xml:space="preserve">and </w:t>
      </w:r>
      <w:r w:rsidR="003B6C67">
        <w:t>propose the following</w:t>
      </w:r>
    </w:p>
    <w:p w:rsidR="003B6C67" w:rsidRDefault="003B6C67" w:rsidP="007B5BF3">
      <w:pPr>
        <w:jc w:val="both"/>
      </w:pPr>
    </w:p>
    <w:p w:rsidR="0067026D" w:rsidRDefault="0067026D" w:rsidP="0067026D">
      <w:pPr>
        <w:jc w:val="both"/>
        <w:rPr>
          <w:b/>
          <w:u w:val="single"/>
        </w:rPr>
      </w:pPr>
      <w:r w:rsidRPr="00D154CE">
        <w:rPr>
          <w:b/>
          <w:u w:val="single"/>
        </w:rPr>
        <w:t>Proposal 1</w:t>
      </w:r>
    </w:p>
    <w:p w:rsidR="0067026D" w:rsidRDefault="0067026D" w:rsidP="0067026D">
      <w:pPr>
        <w:pStyle w:val="ListParagraph"/>
        <w:numPr>
          <w:ilvl w:val="0"/>
          <w:numId w:val="23"/>
        </w:numPr>
        <w:jc w:val="both"/>
      </w:pPr>
      <w:r>
        <w:t>Send LS to RAN4 to confirm the below conclusion.</w:t>
      </w:r>
    </w:p>
    <w:p w:rsidR="0067026D" w:rsidRDefault="0067026D" w:rsidP="0067026D">
      <w:pPr>
        <w:pStyle w:val="ListParagraph"/>
        <w:numPr>
          <w:ilvl w:val="0"/>
          <w:numId w:val="23"/>
        </w:numPr>
        <w:jc w:val="both"/>
      </w:pPr>
      <w:r>
        <w:t>From RAN1 perspective, for NR-NR DC when MCG is fully in FR1 and SCG is fully in FR2, a power sharing mechanism between MCG and SCG need not be specified.</w:t>
      </w:r>
    </w:p>
    <w:p w:rsidR="005A5BAF" w:rsidRDefault="005A5BAF" w:rsidP="001C0EE0">
      <w:pPr>
        <w:jc w:val="both"/>
      </w:pPr>
    </w:p>
    <w:p w:rsidR="001C0EE0" w:rsidRDefault="001C0EE0" w:rsidP="001C0EE0">
      <w:pPr>
        <w:jc w:val="both"/>
        <w:rPr>
          <w:b/>
          <w:u w:val="single"/>
        </w:rPr>
      </w:pPr>
      <w:r w:rsidRPr="00D154CE">
        <w:rPr>
          <w:b/>
          <w:u w:val="single"/>
        </w:rPr>
        <w:t xml:space="preserve">Proposal </w:t>
      </w:r>
      <w:r w:rsidR="00C23DB7">
        <w:rPr>
          <w:b/>
          <w:u w:val="single"/>
        </w:rPr>
        <w:t>2a</w:t>
      </w:r>
    </w:p>
    <w:p w:rsidR="001C0EE0" w:rsidRDefault="001C0EE0" w:rsidP="005D39C4">
      <w:pPr>
        <w:pStyle w:val="ListParagraph"/>
        <w:numPr>
          <w:ilvl w:val="0"/>
          <w:numId w:val="5"/>
        </w:numPr>
        <w:spacing w:after="180"/>
      </w:pPr>
      <w:r>
        <w:t xml:space="preserve">For DCI formats 0_0 and 0_1 </w:t>
      </w:r>
      <w:r>
        <w:rPr>
          <w:lang w:val="en-AU"/>
        </w:rPr>
        <w:t xml:space="preserve">associated with an UL grant </w:t>
      </w:r>
      <w:r>
        <w:t xml:space="preserve">corresponding to a given </w:t>
      </w:r>
      <w:r w:rsidRPr="00D93762">
        <w:rPr>
          <w:position w:val="-12"/>
        </w:rPr>
        <w:object w:dxaOrig="999" w:dyaOrig="360">
          <v:shape id="_x0000_i1106" type="#_x0000_t75" style="width:50.25pt;height:18pt" o:ole="">
            <v:imagedata r:id="rId44" o:title=""/>
          </v:shape>
          <o:OLEObject Type="Embed" ProgID="Equation.3" ShapeID="_x0000_i1106" DrawAspect="Content" ObjectID="_1595450153" r:id="rId112"/>
        </w:object>
      </w:r>
      <w:r>
        <w:t xml:space="preserve">: </w:t>
      </w:r>
    </w:p>
    <w:p w:rsidR="001C0EE0" w:rsidRDefault="001C0EE0" w:rsidP="005D39C4">
      <w:pPr>
        <w:pStyle w:val="B2"/>
        <w:numPr>
          <w:ilvl w:val="1"/>
          <w:numId w:val="5"/>
        </w:numPr>
        <w:overflowPunct/>
        <w:autoSpaceDE/>
        <w:autoSpaceDN/>
        <w:adjustRightInd/>
        <w:textAlignment w:val="auto"/>
        <w:rPr>
          <w:lang w:val="en-US"/>
        </w:rPr>
      </w:pPr>
      <w:r w:rsidRPr="00B55315">
        <w:t xml:space="preserve">If </w:t>
      </w:r>
      <w:r w:rsidRPr="00B55315">
        <w:rPr>
          <w:lang w:val="en-US"/>
        </w:rPr>
        <w:t xml:space="preserve">the </w:t>
      </w:r>
      <w:r w:rsidRPr="00B55315">
        <w:t xml:space="preserve">UE has reached </w:t>
      </w:r>
      <w:r w:rsidRPr="00583AF4">
        <w:rPr>
          <w:position w:val="-14"/>
          <w:lang w:val="x-none"/>
        </w:rPr>
        <w:object w:dxaOrig="1080" w:dyaOrig="380">
          <v:shape id="_x0000_i1107" type="#_x0000_t75" style="width:54pt;height:18.75pt" o:ole="">
            <v:imagedata r:id="rId46" o:title=""/>
          </v:shape>
          <o:OLEObject Type="Embed" ProgID="Equation.3" ShapeID="_x0000_i1107" DrawAspect="Content" ObjectID="_1595450154" r:id="rId113"/>
        </w:object>
      </w:r>
      <w:r>
        <w:t xml:space="preserve"> for </w:t>
      </w:r>
      <w:r>
        <w:rPr>
          <w:lang w:val="en-US"/>
        </w:rPr>
        <w:t xml:space="preserve">carrier </w:t>
      </w:r>
      <w:r>
        <w:rPr>
          <w:iCs/>
          <w:position w:val="-10"/>
          <w:lang w:val="x-none"/>
        </w:rPr>
        <w:object w:dxaOrig="225" w:dyaOrig="300">
          <v:shape id="_x0000_i1108" type="#_x0000_t75" style="width:11.25pt;height:15pt" o:ole="">
            <v:imagedata r:id="rId12" o:title=""/>
          </v:shape>
          <o:OLEObject Type="Embed" ProgID="Equation.3" ShapeID="_x0000_i1108" DrawAspect="Content" ObjectID="_1595450155" r:id="rId114"/>
        </w:object>
      </w:r>
      <w:r>
        <w:rPr>
          <w:iCs/>
          <w:lang w:val="en-US"/>
        </w:rPr>
        <w:t xml:space="preserve"> of</w:t>
      </w:r>
      <w:r>
        <w:rPr>
          <w:lang w:val="en-US"/>
        </w:rPr>
        <w:t xml:space="preserve"> </w:t>
      </w:r>
      <w:r>
        <w:t>serving cell</w:t>
      </w:r>
      <w:r w:rsidRPr="00D2409C">
        <w:t xml:space="preserve"> </w:t>
      </w:r>
      <w:r w:rsidRPr="00D2409C">
        <w:rPr>
          <w:position w:val="-6"/>
          <w:lang w:val="x-none"/>
        </w:rPr>
        <w:object w:dxaOrig="165" w:dyaOrig="195">
          <v:shape id="_x0000_i1109" type="#_x0000_t75" style="width:8.25pt;height:9.75pt" o:ole="">
            <v:imagedata r:id="rId14" o:title=""/>
          </v:shape>
          <o:OLEObject Type="Embed" ProgID="Equation.3" ShapeID="_x0000_i1109" DrawAspect="Content" ObjectID="_1595450156" r:id="rId115"/>
        </w:object>
      </w:r>
      <w:r w:rsidRPr="00B55315">
        <w:rPr>
          <w:lang w:val="en-AU"/>
        </w:rPr>
        <w:t xml:space="preserve">, </w:t>
      </w:r>
      <w:r w:rsidRPr="00B55315">
        <w:rPr>
          <w:lang w:val="en-US"/>
        </w:rPr>
        <w:t xml:space="preserve">for the given </w:t>
      </w:r>
      <w:r w:rsidRPr="00D2409C">
        <w:rPr>
          <w:position w:val="-12"/>
        </w:rPr>
        <w:object w:dxaOrig="999" w:dyaOrig="360">
          <v:shape id="_x0000_i1110" type="#_x0000_t75" style="width:50.25pt;height:18pt" o:ole="">
            <v:imagedata r:id="rId50" o:title=""/>
          </v:shape>
          <o:OLEObject Type="Embed" ProgID="Equation.3" ShapeID="_x0000_i1110" DrawAspect="Content" ObjectID="_1595450157" r:id="rId116"/>
        </w:object>
      </w:r>
      <w:r>
        <w:t xml:space="preserve">, positive TPC commands for </w:t>
      </w:r>
      <w:r>
        <w:rPr>
          <w:lang w:val="en-US"/>
        </w:rPr>
        <w:t xml:space="preserve">carrier </w:t>
      </w:r>
      <w:r>
        <w:rPr>
          <w:iCs/>
          <w:position w:val="-10"/>
          <w:lang w:val="x-none"/>
        </w:rPr>
        <w:object w:dxaOrig="225" w:dyaOrig="300">
          <v:shape id="_x0000_i1111" type="#_x0000_t75" style="width:11.25pt;height:15pt" o:ole="">
            <v:imagedata r:id="rId12" o:title=""/>
          </v:shape>
          <o:OLEObject Type="Embed" ProgID="Equation.3" ShapeID="_x0000_i1111" DrawAspect="Content" ObjectID="_1595450158" r:id="rId117"/>
        </w:object>
      </w:r>
      <w:r>
        <w:rPr>
          <w:iCs/>
          <w:lang w:val="en-US"/>
        </w:rPr>
        <w:t xml:space="preserve"> of</w:t>
      </w:r>
      <w:r>
        <w:rPr>
          <w:lang w:val="en-US"/>
        </w:rPr>
        <w:t xml:space="preserve"> </w:t>
      </w:r>
      <w:r>
        <w:t xml:space="preserve">serving cell </w:t>
      </w:r>
      <w:r>
        <w:rPr>
          <w:position w:val="-6"/>
          <w:lang w:val="x-none"/>
        </w:rPr>
        <w:object w:dxaOrig="165" w:dyaOrig="195">
          <v:shape id="_x0000_i1112" type="#_x0000_t75" style="width:8.25pt;height:9.75pt" o:ole="">
            <v:imagedata r:id="rId14" o:title=""/>
          </v:shape>
          <o:OLEObject Type="Embed" ProgID="Equation.3" ShapeID="_x0000_i1112" DrawAspect="Content" ObjectID="_1595450159" r:id="rId118"/>
        </w:object>
      </w:r>
      <w:r>
        <w:t xml:space="preserve"> shall not be </w:t>
      </w:r>
      <w:r w:rsidRPr="00D2409C">
        <w:t xml:space="preserve">accumulated </w:t>
      </w:r>
      <w:r w:rsidRPr="00B55315">
        <w:rPr>
          <w:lang w:val="en-US"/>
        </w:rPr>
        <w:t xml:space="preserve">for that given </w:t>
      </w:r>
      <w:r w:rsidRPr="00583AF4">
        <w:rPr>
          <w:position w:val="-6"/>
        </w:rPr>
        <w:object w:dxaOrig="139" w:dyaOrig="279">
          <v:shape id="_x0000_i1113" type="#_x0000_t75" style="width:6.75pt;height:14.25pt" o:ole="">
            <v:imagedata r:id="rId54" o:title=""/>
          </v:shape>
          <o:OLEObject Type="Embed" ProgID="Equation.3" ShapeID="_x0000_i1113" DrawAspect="Content" ObjectID="_1595450160" r:id="rId119"/>
        </w:object>
      </w:r>
      <w:r>
        <w:rPr>
          <w:lang w:val="en-US"/>
        </w:rPr>
        <w:t>.</w:t>
      </w:r>
    </w:p>
    <w:p w:rsidR="001C0EE0" w:rsidRPr="00B55315" w:rsidRDefault="001C0EE0" w:rsidP="005D39C4">
      <w:pPr>
        <w:pStyle w:val="B2"/>
        <w:numPr>
          <w:ilvl w:val="1"/>
          <w:numId w:val="5"/>
        </w:numPr>
        <w:overflowPunct/>
        <w:autoSpaceDE/>
        <w:autoSpaceDN/>
        <w:adjustRightInd/>
        <w:textAlignment w:val="auto"/>
        <w:rPr>
          <w:lang w:val="en-US"/>
        </w:rPr>
      </w:pPr>
      <w:r w:rsidRPr="00B55315">
        <w:t>If UE has reached minimum power</w:t>
      </w:r>
      <w:r w:rsidRPr="00D2409C">
        <w:rPr>
          <w:lang w:val="en-US"/>
        </w:rPr>
        <w:t xml:space="preserve"> for</w:t>
      </w:r>
      <w:r>
        <w:rPr>
          <w:lang w:val="en-US"/>
        </w:rPr>
        <w:t xml:space="preserve"> carrier </w:t>
      </w:r>
      <w:r>
        <w:rPr>
          <w:iCs/>
          <w:position w:val="-10"/>
          <w:lang w:val="x-none"/>
        </w:rPr>
        <w:object w:dxaOrig="225" w:dyaOrig="300">
          <v:shape id="_x0000_i1114" type="#_x0000_t75" style="width:11.25pt;height:15pt" o:ole="">
            <v:imagedata r:id="rId12" o:title=""/>
          </v:shape>
          <o:OLEObject Type="Embed" ProgID="Equation.3" ShapeID="_x0000_i1114" DrawAspect="Content" ObjectID="_1595450161" r:id="rId120"/>
        </w:object>
      </w:r>
      <w:r>
        <w:rPr>
          <w:iCs/>
          <w:lang w:val="en-US"/>
        </w:rPr>
        <w:t xml:space="preserve"> of </w:t>
      </w:r>
      <w:r>
        <w:t xml:space="preserve">serving cell </w:t>
      </w:r>
      <w:r>
        <w:rPr>
          <w:position w:val="-6"/>
          <w:lang w:val="x-none"/>
        </w:rPr>
        <w:object w:dxaOrig="165" w:dyaOrig="195">
          <v:shape id="_x0000_i1115" type="#_x0000_t75" style="width:8.25pt;height:9.75pt" o:ole="">
            <v:imagedata r:id="rId14" o:title=""/>
          </v:shape>
          <o:OLEObject Type="Embed" ProgID="Equation.3" ShapeID="_x0000_i1115" DrawAspect="Content" ObjectID="_1595450162" r:id="rId121"/>
        </w:object>
      </w:r>
      <w:r>
        <w:t xml:space="preserve">, </w:t>
      </w:r>
      <w:r w:rsidRPr="000C150E">
        <w:rPr>
          <w:lang w:val="en-US"/>
        </w:rPr>
        <w:t>for the given</w:t>
      </w:r>
      <w:r>
        <w:rPr>
          <w:lang w:val="en-US"/>
        </w:rPr>
        <w:t xml:space="preserve"> </w:t>
      </w:r>
      <w:r w:rsidRPr="000C150E">
        <w:rPr>
          <w:position w:val="-12"/>
        </w:rPr>
        <w:object w:dxaOrig="999" w:dyaOrig="360">
          <v:shape id="_x0000_i1116" type="#_x0000_t75" style="width:50.25pt;height:18pt" o:ole="">
            <v:imagedata r:id="rId58" o:title=""/>
          </v:shape>
          <o:OLEObject Type="Embed" ProgID="Equation.3" ShapeID="_x0000_i1116" DrawAspect="Content" ObjectID="_1595450163" r:id="rId122"/>
        </w:object>
      </w:r>
      <w:r>
        <w:t xml:space="preserve">, negative TPC commands </w:t>
      </w:r>
      <w:r>
        <w:rPr>
          <w:lang w:val="en-US"/>
        </w:rPr>
        <w:t xml:space="preserve">for carrier </w:t>
      </w:r>
      <w:r>
        <w:rPr>
          <w:iCs/>
          <w:position w:val="-10"/>
          <w:lang w:val="x-none"/>
        </w:rPr>
        <w:object w:dxaOrig="225" w:dyaOrig="300">
          <v:shape id="_x0000_i1117" type="#_x0000_t75" style="width:11.25pt;height:15pt" o:ole="">
            <v:imagedata r:id="rId12" o:title=""/>
          </v:shape>
          <o:OLEObject Type="Embed" ProgID="Equation.3" ShapeID="_x0000_i1117" DrawAspect="Content" ObjectID="_1595450164" r:id="rId123"/>
        </w:object>
      </w:r>
      <w:r>
        <w:rPr>
          <w:iCs/>
          <w:lang w:val="en-US"/>
        </w:rPr>
        <w:t xml:space="preserve"> of </w:t>
      </w:r>
      <w:r>
        <w:t xml:space="preserve">serving cell </w:t>
      </w:r>
      <w:r>
        <w:rPr>
          <w:position w:val="-6"/>
          <w:lang w:val="x-none"/>
        </w:rPr>
        <w:object w:dxaOrig="165" w:dyaOrig="195">
          <v:shape id="_x0000_i1118" type="#_x0000_t75" style="width:8.25pt;height:9.75pt" o:ole="">
            <v:imagedata r:id="rId14" o:title=""/>
          </v:shape>
          <o:OLEObject Type="Embed" ProgID="Equation.3" ShapeID="_x0000_i1118" DrawAspect="Content" ObjectID="_1595450165" r:id="rId124"/>
        </w:object>
      </w:r>
      <w:r>
        <w:rPr>
          <w:lang w:val="en-US"/>
        </w:rPr>
        <w:t xml:space="preserve"> </w:t>
      </w:r>
      <w:r>
        <w:t xml:space="preserve">shall not be accumulated </w:t>
      </w:r>
      <w:r w:rsidRPr="000C150E">
        <w:rPr>
          <w:lang w:val="en-US"/>
        </w:rPr>
        <w:t xml:space="preserve">for that given </w:t>
      </w:r>
      <w:r w:rsidRPr="000C150E">
        <w:rPr>
          <w:position w:val="-6"/>
        </w:rPr>
        <w:object w:dxaOrig="139" w:dyaOrig="279">
          <v:shape id="_x0000_i1119" type="#_x0000_t75" style="width:6.75pt;height:14.25pt" o:ole="">
            <v:imagedata r:id="rId54" o:title=""/>
          </v:shape>
          <o:OLEObject Type="Embed" ProgID="Equation.3" ShapeID="_x0000_i1119" DrawAspect="Content" ObjectID="_1595450166" r:id="rId125"/>
        </w:object>
      </w:r>
    </w:p>
    <w:p w:rsidR="001C0EE0" w:rsidRPr="00002556" w:rsidRDefault="001C0EE0" w:rsidP="005D39C4">
      <w:pPr>
        <w:pStyle w:val="ListParagraph"/>
        <w:numPr>
          <w:ilvl w:val="0"/>
          <w:numId w:val="5"/>
        </w:numPr>
        <w:spacing w:after="180"/>
      </w:pPr>
      <w:r>
        <w:t xml:space="preserve">Closed loop power control for PUCCH given DCI </w:t>
      </w:r>
      <w:r w:rsidRPr="00716732">
        <w:t xml:space="preserve">formats 1_0 and 1_1 </w:t>
      </w:r>
      <w:r w:rsidRPr="00716732">
        <w:rPr>
          <w:color w:val="000000"/>
          <w:szCs w:val="20"/>
          <w:lang w:val="en-AU"/>
        </w:rPr>
        <w:t>adopts an analogous solution</w:t>
      </w:r>
      <w:r>
        <w:rPr>
          <w:color w:val="000000"/>
          <w:szCs w:val="20"/>
          <w:lang w:val="en-AU"/>
        </w:rPr>
        <w:t xml:space="preserve"> to DCI formats 0_0 and 0_1 for limiting accumulation</w:t>
      </w:r>
    </w:p>
    <w:p w:rsidR="001C0EE0" w:rsidRDefault="001C0EE0" w:rsidP="001C0EE0">
      <w:pPr>
        <w:jc w:val="both"/>
        <w:rPr>
          <w:b/>
          <w:u w:val="single"/>
        </w:rPr>
      </w:pPr>
      <w:r w:rsidRPr="00D154CE">
        <w:rPr>
          <w:b/>
          <w:u w:val="single"/>
        </w:rPr>
        <w:t xml:space="preserve">Proposal </w:t>
      </w:r>
      <w:r w:rsidR="00C23DB7">
        <w:rPr>
          <w:b/>
          <w:u w:val="single"/>
        </w:rPr>
        <w:t>2</w:t>
      </w:r>
      <w:r>
        <w:rPr>
          <w:b/>
          <w:u w:val="single"/>
        </w:rPr>
        <w:t>b</w:t>
      </w:r>
    </w:p>
    <w:p w:rsidR="001C0EE0" w:rsidRDefault="001C0EE0" w:rsidP="005D39C4">
      <w:pPr>
        <w:pStyle w:val="ListParagraph"/>
        <w:numPr>
          <w:ilvl w:val="0"/>
          <w:numId w:val="5"/>
        </w:numPr>
        <w:spacing w:after="180"/>
      </w:pPr>
      <w:r>
        <w:t xml:space="preserve">Limitation of the closed loop accumulation for PUSCH in the case of DCI format 2_2 should </w:t>
      </w:r>
      <w:r w:rsidRPr="00456794">
        <w:t xml:space="preserve">be based on a condition on all </w:t>
      </w:r>
      <w:r w:rsidRPr="00456794">
        <w:rPr>
          <w:position w:val="-14"/>
        </w:rPr>
        <w:object w:dxaOrig="1800" w:dyaOrig="380">
          <v:shape id="_x0000_i1120" type="#_x0000_t75" style="width:90pt;height:18.75pt" o:ole="">
            <v:imagedata r:id="rId63" o:title=""/>
          </v:shape>
          <o:OLEObject Type="Embed" ProgID="Equation.3" ShapeID="_x0000_i1120" DrawAspect="Content" ObjectID="_1595450167" r:id="rId126"/>
        </w:object>
      </w:r>
      <w:r w:rsidRPr="00456794">
        <w:t xml:space="preserve"> affected by the group common DCI. </w:t>
      </w:r>
    </w:p>
    <w:p w:rsidR="001C0EE0" w:rsidRDefault="001C0EE0" w:rsidP="005D39C4">
      <w:pPr>
        <w:pStyle w:val="ListParagraph"/>
        <w:numPr>
          <w:ilvl w:val="1"/>
          <w:numId w:val="5"/>
        </w:numPr>
        <w:spacing w:after="180"/>
      </w:pPr>
      <w:r w:rsidRPr="00D2409C">
        <w:rPr>
          <w:szCs w:val="20"/>
        </w:rPr>
        <w:t xml:space="preserve">If for </w:t>
      </w:r>
      <w:r w:rsidRPr="00B55315">
        <w:rPr>
          <w:szCs w:val="20"/>
        </w:rPr>
        <w:t>all</w:t>
      </w:r>
      <w:r w:rsidRPr="00D2409C">
        <w:rPr>
          <w:szCs w:val="20"/>
        </w:rPr>
        <w:t xml:space="preserve"> </w:t>
      </w:r>
      <w:r w:rsidRPr="00D2409C">
        <w:rPr>
          <w:position w:val="-16"/>
        </w:rPr>
        <w:object w:dxaOrig="1939" w:dyaOrig="400">
          <v:shape id="_x0000_i1121" type="#_x0000_t75" style="width:96.75pt;height:20.25pt" o:ole="">
            <v:imagedata r:id="rId65" o:title=""/>
          </v:shape>
          <o:OLEObject Type="Embed" ProgID="Equation.3" ShapeID="_x0000_i1121" DrawAspect="Content" ObjectID="_1595450168" r:id="rId127"/>
        </w:object>
      </w:r>
      <w:r w:rsidRPr="00D2409C">
        <w:rPr>
          <w:szCs w:val="20"/>
        </w:rPr>
        <w:t xml:space="preserve">, </w:t>
      </w:r>
      <w:r w:rsidRPr="00B55315">
        <w:rPr>
          <w:szCs w:val="20"/>
        </w:rPr>
        <w:t>affected by the TPC</w:t>
      </w:r>
      <w:r w:rsidR="005A5BAF">
        <w:rPr>
          <w:szCs w:val="20"/>
        </w:rPr>
        <w:t xml:space="preserve"> command</w:t>
      </w:r>
      <w:r w:rsidRPr="00D2409C">
        <w:rPr>
          <w:szCs w:val="20"/>
        </w:rPr>
        <w:t>, the condition</w:t>
      </w:r>
      <w:r w:rsidRPr="00D2409C">
        <w:rPr>
          <w:position w:val="-16"/>
        </w:rPr>
        <w:object w:dxaOrig="3300" w:dyaOrig="400">
          <v:shape id="_x0000_i1122" type="#_x0000_t75" style="width:165pt;height:20.25pt" o:ole="">
            <v:imagedata r:id="rId67" o:title=""/>
          </v:shape>
          <o:OLEObject Type="Embed" ProgID="Equation.3" ShapeID="_x0000_i1122" DrawAspect="Content" ObjectID="_1595450169" r:id="rId128"/>
        </w:object>
      </w:r>
      <w:r w:rsidRPr="00D2409C">
        <w:rPr>
          <w:szCs w:val="20"/>
        </w:rPr>
        <w:t xml:space="preserve"> holds</w:t>
      </w:r>
      <w:r>
        <w:rPr>
          <w:szCs w:val="20"/>
        </w:rPr>
        <w:t xml:space="preserve"> then </w:t>
      </w:r>
      <w:r>
        <w:t xml:space="preserve">positive TPC commands should not be accumulated. </w:t>
      </w:r>
    </w:p>
    <w:p w:rsidR="001C0EE0" w:rsidRDefault="001C0EE0" w:rsidP="005D39C4">
      <w:pPr>
        <w:pStyle w:val="ListParagraph"/>
        <w:numPr>
          <w:ilvl w:val="1"/>
          <w:numId w:val="5"/>
        </w:numPr>
        <w:spacing w:after="180"/>
      </w:pPr>
      <w:r w:rsidRPr="000C150E">
        <w:rPr>
          <w:szCs w:val="20"/>
        </w:rPr>
        <w:t xml:space="preserve">If for all </w:t>
      </w:r>
      <w:r w:rsidRPr="000C150E">
        <w:rPr>
          <w:position w:val="-16"/>
        </w:rPr>
        <w:object w:dxaOrig="1939" w:dyaOrig="400">
          <v:shape id="_x0000_i1123" type="#_x0000_t75" style="width:96.75pt;height:20.25pt" o:ole="">
            <v:imagedata r:id="rId65" o:title=""/>
          </v:shape>
          <o:OLEObject Type="Embed" ProgID="Equation.3" ShapeID="_x0000_i1123" DrawAspect="Content" ObjectID="_1595450170" r:id="rId129"/>
        </w:object>
      </w:r>
      <w:r w:rsidRPr="000C150E">
        <w:rPr>
          <w:szCs w:val="20"/>
        </w:rPr>
        <w:t>, affected by the TPC</w:t>
      </w:r>
      <w:r w:rsidR="005A5BAF">
        <w:rPr>
          <w:szCs w:val="20"/>
        </w:rPr>
        <w:t xml:space="preserve"> command</w:t>
      </w:r>
      <w:r w:rsidRPr="000C150E">
        <w:rPr>
          <w:szCs w:val="20"/>
        </w:rPr>
        <w:t>, the condition</w:t>
      </w:r>
      <w:r>
        <w:rPr>
          <w:szCs w:val="20"/>
        </w:rPr>
        <w:t xml:space="preserve"> </w:t>
      </w:r>
      <w:r w:rsidRPr="00456794">
        <w:rPr>
          <w:position w:val="-14"/>
        </w:rPr>
        <w:object w:dxaOrig="1980" w:dyaOrig="380">
          <v:shape id="_x0000_i1124" type="#_x0000_t75" style="width:99pt;height:19.5pt" o:ole="">
            <v:imagedata r:id="rId70" o:title=""/>
          </v:shape>
          <o:OLEObject Type="Embed" ProgID="Equation.3" ShapeID="_x0000_i1124" DrawAspect="Content" ObjectID="_1595450171" r:id="rId130"/>
        </w:object>
      </w:r>
      <w:r>
        <w:rPr>
          <w:szCs w:val="20"/>
        </w:rPr>
        <w:t xml:space="preserve">minimum_power holds then </w:t>
      </w:r>
      <w:r>
        <w:t xml:space="preserve">negative TPC commands should not be accumulated. </w:t>
      </w:r>
    </w:p>
    <w:p w:rsidR="001C0EE0" w:rsidRPr="00662419" w:rsidRDefault="001C0EE0" w:rsidP="005D39C4">
      <w:pPr>
        <w:pStyle w:val="ListParagraph"/>
        <w:numPr>
          <w:ilvl w:val="0"/>
          <w:numId w:val="5"/>
        </w:numPr>
        <w:spacing w:after="180"/>
      </w:pPr>
      <w:r>
        <w:t xml:space="preserve">Closed loop power control for PUCCH given DCI format 2_2 </w:t>
      </w:r>
      <w:r w:rsidRPr="00716732">
        <w:rPr>
          <w:color w:val="000000"/>
          <w:szCs w:val="20"/>
          <w:lang w:val="en-AU"/>
        </w:rPr>
        <w:t>adopts an analogous solution</w:t>
      </w:r>
      <w:r>
        <w:rPr>
          <w:color w:val="000000"/>
          <w:szCs w:val="20"/>
          <w:lang w:val="en-AU"/>
        </w:rPr>
        <w:t xml:space="preserve"> to PUSCH</w:t>
      </w:r>
      <w:r w:rsidRPr="00693617">
        <w:rPr>
          <w:color w:val="000000"/>
          <w:szCs w:val="20"/>
          <w:lang w:val="en-AU"/>
        </w:rPr>
        <w:t xml:space="preserve"> </w:t>
      </w:r>
      <w:r>
        <w:rPr>
          <w:color w:val="000000"/>
          <w:szCs w:val="20"/>
          <w:lang w:val="en-AU"/>
        </w:rPr>
        <w:t>given DCI format 2_2 for limiting accumulation</w:t>
      </w:r>
    </w:p>
    <w:p w:rsidR="001C0EE0" w:rsidRDefault="001C0EE0" w:rsidP="001C0EE0">
      <w:pPr>
        <w:jc w:val="both"/>
        <w:rPr>
          <w:b/>
          <w:u w:val="single"/>
        </w:rPr>
      </w:pPr>
    </w:p>
    <w:p w:rsidR="00A52E52" w:rsidRPr="00E14DE0" w:rsidRDefault="00A52E52" w:rsidP="00A52E52">
      <w:pPr>
        <w:rPr>
          <w:b/>
          <w:u w:val="single"/>
        </w:rPr>
      </w:pPr>
      <w:r>
        <w:rPr>
          <w:b/>
          <w:u w:val="single"/>
        </w:rPr>
        <w:t xml:space="preserve">Proposal 3 </w:t>
      </w:r>
    </w:p>
    <w:p w:rsidR="00681CFE" w:rsidRDefault="00681CFE" w:rsidP="00681CFE">
      <w:pPr>
        <w:pStyle w:val="ListParagraph"/>
        <w:numPr>
          <w:ilvl w:val="0"/>
          <w:numId w:val="11"/>
        </w:numPr>
        <w:spacing w:after="180" w:line="259" w:lineRule="auto"/>
      </w:pPr>
      <w:r w:rsidRPr="002A13E7">
        <w:lastRenderedPageBreak/>
        <w:t>Clarify Rel-15 NR PUSCH power scaling specifications such that per-PA full power capacity for all PAs in the UE is not required for any MIMO UE capability.</w:t>
      </w:r>
    </w:p>
    <w:p w:rsidR="00A52E52" w:rsidRDefault="00A52E52" w:rsidP="00A52E52">
      <w:pPr>
        <w:pStyle w:val="ListParagraph"/>
        <w:spacing w:after="180" w:line="259" w:lineRule="auto"/>
      </w:pPr>
    </w:p>
    <w:p w:rsidR="00A52E52" w:rsidRPr="00797D82" w:rsidRDefault="00A52E52" w:rsidP="00A52E52">
      <w:pPr>
        <w:pStyle w:val="ListParagraph"/>
        <w:numPr>
          <w:ilvl w:val="0"/>
          <w:numId w:val="11"/>
        </w:numPr>
        <w:spacing w:after="180" w:line="259" w:lineRule="auto"/>
      </w:pPr>
      <w:r>
        <w:t>Agree to the below TP</w:t>
      </w:r>
    </w:p>
    <w:p w:rsidR="00A52E52" w:rsidRPr="00797D82" w:rsidRDefault="00A52E52" w:rsidP="00A52E52">
      <w:pPr>
        <w:pStyle w:val="ListParagraph"/>
        <w:ind w:left="1304"/>
        <w:rPr>
          <w:lang w:val="en-AU"/>
        </w:rPr>
      </w:pPr>
      <w:r w:rsidRPr="00797D82">
        <w:rPr>
          <w:highlight w:val="yellow"/>
          <w:lang w:val="en-AU"/>
        </w:rPr>
        <w:t>&gt;&gt;&gt;&gt;&gt;&gt;&gt;&gt;&gt;&gt;&gt;&gt; Start text proposal &gt;&gt;&gt;&gt;&gt;&gt;&gt;&gt;&gt;&gt;&gt;&gt;</w:t>
      </w:r>
    </w:p>
    <w:p w:rsidR="00A52E52" w:rsidRPr="00797D82" w:rsidRDefault="00A52E52" w:rsidP="00A52E52">
      <w:pPr>
        <w:pStyle w:val="ListParagraph"/>
        <w:ind w:left="1304"/>
        <w:rPr>
          <w:lang w:val="en-AU"/>
        </w:rPr>
      </w:pPr>
      <w:r w:rsidRPr="00797D82">
        <w:rPr>
          <w:color w:val="FF0000"/>
          <w:u w:val="single"/>
          <w:lang w:val="en-AU"/>
        </w:rPr>
        <w:t xml:space="preserve">For PUSCH configured with one antenna port, a UE transmits with power </w:t>
      </w:r>
      <w:r w:rsidRPr="00BA4329">
        <w:rPr>
          <w:position w:val="-12"/>
        </w:rPr>
        <w:object w:dxaOrig="1590" w:dyaOrig="330">
          <v:shape id="_x0000_i1125" type="#_x0000_t75" style="width:79.5pt;height:16.5pt" o:ole="">
            <v:imagedata r:id="rId74" o:title=""/>
          </v:shape>
          <o:OLEObject Type="Embed" ProgID="Equation.3" ShapeID="_x0000_i1125" DrawAspect="Content" ObjectID="_1595450172" r:id="rId131"/>
        </w:object>
      </w:r>
      <w:r w:rsidRPr="00797D82">
        <w:rPr>
          <w:iCs/>
          <w:color w:val="FF0000"/>
          <w:u w:val="single"/>
          <w:lang w:val="en-AU"/>
        </w:rPr>
        <w:t xml:space="preserve"> </w:t>
      </w:r>
      <w:r w:rsidRPr="00797D82">
        <w:rPr>
          <w:color w:val="FF0000"/>
          <w:u w:val="single"/>
          <w:lang w:val="en-AU"/>
        </w:rPr>
        <w:t xml:space="preserve">on UL BWP </w:t>
      </w:r>
      <w:r w:rsidRPr="00BA4329">
        <w:rPr>
          <w:position w:val="-6"/>
        </w:rPr>
        <w:object w:dxaOrig="180" w:dyaOrig="240">
          <v:shape id="_x0000_i1126" type="#_x0000_t75" style="width:9pt;height:11.25pt" o:ole="">
            <v:imagedata r:id="rId76" o:title=""/>
          </v:shape>
          <o:OLEObject Type="Embed" ProgID="Equation.3" ShapeID="_x0000_i1126" DrawAspect="Content" ObjectID="_1595450173" r:id="rId132"/>
        </w:object>
      </w:r>
      <w:r w:rsidRPr="00797D82">
        <w:rPr>
          <w:iCs/>
          <w:color w:val="FF0000"/>
          <w:u w:val="single"/>
          <w:lang w:val="en-AU"/>
        </w:rPr>
        <w:t xml:space="preserve">, as described in Subclause </w:t>
      </w:r>
      <w:r w:rsidRPr="00797D82">
        <w:rPr>
          <w:iCs/>
          <w:color w:val="FF0000"/>
          <w:u w:val="single"/>
        </w:rPr>
        <w:fldChar w:fldCharType="begin"/>
      </w:r>
      <w:r w:rsidRPr="00797D82">
        <w:rPr>
          <w:iCs/>
          <w:color w:val="FF0000"/>
          <w:u w:val="single"/>
          <w:lang w:val="en-AU"/>
        </w:rPr>
        <w:instrText xml:space="preserve"> REF _Ref496621482 \h </w:instrText>
      </w:r>
      <w:r w:rsidRPr="00797D82">
        <w:rPr>
          <w:iCs/>
          <w:color w:val="FF0000"/>
          <w:u w:val="single"/>
        </w:rPr>
        <w:instrText xml:space="preserve"> \* MERGEFORMAT </w:instrText>
      </w:r>
      <w:r w:rsidRPr="00797D82">
        <w:rPr>
          <w:iCs/>
          <w:color w:val="FF0000"/>
          <w:u w:val="single"/>
        </w:rPr>
      </w:r>
      <w:r w:rsidRPr="00797D82">
        <w:rPr>
          <w:iCs/>
          <w:color w:val="FF0000"/>
          <w:u w:val="single"/>
        </w:rPr>
        <w:fldChar w:fldCharType="separate"/>
      </w:r>
      <w:r w:rsidRPr="00797D82">
        <w:rPr>
          <w:color w:val="FF0000"/>
          <w:u w:val="single"/>
          <w:lang w:val="en-AU"/>
        </w:rPr>
        <w:t>12</w:t>
      </w:r>
      <w:r w:rsidRPr="00797D82">
        <w:rPr>
          <w:iCs/>
          <w:color w:val="FF0000"/>
          <w:u w:val="single"/>
        </w:rPr>
        <w:fldChar w:fldCharType="end"/>
      </w:r>
      <w:r w:rsidRPr="00797D82">
        <w:rPr>
          <w:iCs/>
          <w:color w:val="FF0000"/>
          <w:u w:val="single"/>
          <w:lang w:val="en-AU"/>
        </w:rPr>
        <w:t xml:space="preserve">, of </w:t>
      </w:r>
      <w:r w:rsidRPr="00797D82">
        <w:rPr>
          <w:color w:val="FF0000"/>
          <w:u w:val="single"/>
          <w:lang w:val="en-AU"/>
        </w:rPr>
        <w:t xml:space="preserve">carrier </w:t>
      </w:r>
      <w:r w:rsidRPr="00BA4329">
        <w:rPr>
          <w:position w:val="-10"/>
        </w:rPr>
        <w:object w:dxaOrig="225" w:dyaOrig="300">
          <v:shape id="_x0000_i1127" type="#_x0000_t75" style="width:10.5pt;height:15pt" o:ole="">
            <v:imagedata r:id="rId12" o:title=""/>
          </v:shape>
          <o:OLEObject Type="Embed" ProgID="Equation.3" ShapeID="_x0000_i1127" DrawAspect="Content" ObjectID="_1595450174" r:id="rId133"/>
        </w:object>
      </w:r>
      <w:r w:rsidRPr="00797D82">
        <w:rPr>
          <w:iCs/>
          <w:color w:val="FF0000"/>
          <w:u w:val="single"/>
          <w:lang w:val="en-AU"/>
        </w:rPr>
        <w:t xml:space="preserve"> of </w:t>
      </w:r>
      <w:r w:rsidRPr="00797D82">
        <w:rPr>
          <w:color w:val="FF0000"/>
          <w:u w:val="single"/>
          <w:lang w:val="en-AU"/>
        </w:rPr>
        <w:t xml:space="preserve">serving cell </w:t>
      </w:r>
      <w:r w:rsidRPr="00BA4329">
        <w:rPr>
          <w:position w:val="-6"/>
        </w:rPr>
        <w:object w:dxaOrig="165" w:dyaOrig="210">
          <v:shape id="_x0000_i1128" type="#_x0000_t75" style="width:8.25pt;height:10.5pt" o:ole="">
            <v:imagedata r:id="rId79" o:title=""/>
          </v:shape>
          <o:OLEObject Type="Embed" ProgID="Equation.3" ShapeID="_x0000_i1128" DrawAspect="Content" ObjectID="_1595450175" r:id="rId134"/>
        </w:object>
      </w:r>
      <w:r w:rsidRPr="00797D82">
        <w:rPr>
          <w:iCs/>
          <w:color w:val="FF0000"/>
          <w:u w:val="single"/>
          <w:lang w:val="en-AU"/>
        </w:rPr>
        <w:t xml:space="preserve">, with parameters as defined in Subclause </w:t>
      </w:r>
      <w:r w:rsidRPr="00797D82">
        <w:rPr>
          <w:iCs/>
          <w:color w:val="FF0000"/>
          <w:u w:val="single"/>
        </w:rPr>
        <w:fldChar w:fldCharType="begin"/>
      </w:r>
      <w:r w:rsidRPr="00797D82">
        <w:rPr>
          <w:iCs/>
          <w:color w:val="FF0000"/>
          <w:u w:val="single"/>
          <w:lang w:val="en-AU"/>
        </w:rPr>
        <w:instrText xml:space="preserve"> REF _Ref497117847 \h  \* MERGEFORMAT </w:instrText>
      </w:r>
      <w:r w:rsidRPr="00797D82">
        <w:rPr>
          <w:iCs/>
          <w:color w:val="FF0000"/>
          <w:u w:val="single"/>
        </w:rPr>
      </w:r>
      <w:r w:rsidRPr="00797D82">
        <w:rPr>
          <w:iCs/>
          <w:color w:val="FF0000"/>
          <w:u w:val="single"/>
        </w:rPr>
        <w:fldChar w:fldCharType="separate"/>
      </w:r>
      <w:r w:rsidRPr="00797D82">
        <w:rPr>
          <w:color w:val="FF0000"/>
          <w:u w:val="single"/>
          <w:lang w:val="en-AU"/>
        </w:rPr>
        <w:t>7.1.1</w:t>
      </w:r>
      <w:r w:rsidRPr="00797D82">
        <w:rPr>
          <w:iCs/>
          <w:color w:val="FF0000"/>
          <w:u w:val="single"/>
        </w:rPr>
        <w:fldChar w:fldCharType="end"/>
      </w:r>
      <w:r w:rsidRPr="00797D82">
        <w:rPr>
          <w:iCs/>
          <w:color w:val="FF0000"/>
          <w:u w:val="single"/>
          <w:lang w:val="en-AU"/>
        </w:rPr>
        <w:t xml:space="preserve">. </w:t>
      </w:r>
      <w:r w:rsidRPr="00797D82">
        <w:rPr>
          <w:lang w:val="en-AU"/>
        </w:rPr>
        <w:t>For PUSCH</w:t>
      </w:r>
      <w:r w:rsidRPr="00797D82">
        <w:rPr>
          <w:color w:val="FF0000"/>
          <w:u w:val="single"/>
          <w:lang w:val="en-AU"/>
        </w:rPr>
        <w:t xml:space="preserve"> configured with more than one antenna port</w:t>
      </w:r>
      <w:r w:rsidRPr="00797D82">
        <w:rPr>
          <w:lang w:val="en-AU"/>
        </w:rPr>
        <w:t xml:space="preserve">, a UE first scales a linear value </w:t>
      </w:r>
      <w:r>
        <w:rPr>
          <w:position w:val="-12"/>
        </w:rPr>
        <w:object w:dxaOrig="1590" w:dyaOrig="375">
          <v:shape id="_x0000_i1129" type="#_x0000_t75" style="width:79.5pt;height:18.75pt" o:ole="">
            <v:imagedata r:id="rId72" o:title=""/>
          </v:shape>
          <o:OLEObject Type="Embed" ProgID="Equation.3" ShapeID="_x0000_i1129" DrawAspect="Content" ObjectID="_1595450176" r:id="rId135"/>
        </w:object>
      </w:r>
      <w:r w:rsidRPr="00797D82">
        <w:rPr>
          <w:iCs/>
          <w:lang w:val="en-AU"/>
        </w:rPr>
        <w:t xml:space="preserve"> of the </w:t>
      </w:r>
      <w:r w:rsidRPr="00797D82">
        <w:rPr>
          <w:lang w:val="en-AU"/>
        </w:rPr>
        <w:t xml:space="preserve">transmit power </w:t>
      </w:r>
      <w:r>
        <w:rPr>
          <w:position w:val="-12"/>
        </w:rPr>
        <w:object w:dxaOrig="1590" w:dyaOrig="330">
          <v:shape id="_x0000_i1130" type="#_x0000_t75" style="width:79.5pt;height:16.5pt" o:ole="">
            <v:imagedata r:id="rId74" o:title=""/>
          </v:shape>
          <o:OLEObject Type="Embed" ProgID="Equation.3" ShapeID="_x0000_i1130" DrawAspect="Content" ObjectID="_1595450177" r:id="rId136"/>
        </w:object>
      </w:r>
      <w:r w:rsidRPr="00797D82">
        <w:rPr>
          <w:iCs/>
          <w:strike/>
          <w:color w:val="FF0000"/>
          <w:lang w:val="en-AU"/>
        </w:rPr>
        <w:t xml:space="preserve"> </w:t>
      </w:r>
      <w:r w:rsidRPr="00797D82">
        <w:rPr>
          <w:strike/>
          <w:color w:val="FF0000"/>
          <w:lang w:val="en-AU"/>
        </w:rPr>
        <w:t xml:space="preserve">on UL BWP </w:t>
      </w:r>
      <w:r w:rsidRPr="00DD4355">
        <w:rPr>
          <w:strike/>
          <w:position w:val="-6"/>
        </w:rPr>
        <w:object w:dxaOrig="180" w:dyaOrig="240">
          <v:shape id="_x0000_i1131" type="#_x0000_t75" style="width:9pt;height:11.25pt" o:ole="">
            <v:imagedata r:id="rId76" o:title=""/>
          </v:shape>
          <o:OLEObject Type="Embed" ProgID="Equation.3" ShapeID="_x0000_i1131" DrawAspect="Content" ObjectID="_1595450178" r:id="rId137"/>
        </w:object>
      </w:r>
      <w:r w:rsidRPr="00797D82">
        <w:rPr>
          <w:iCs/>
          <w:strike/>
          <w:color w:val="FF0000"/>
          <w:lang w:val="en-AU"/>
        </w:rPr>
        <w:t xml:space="preserve">, as described in Subclause </w:t>
      </w:r>
      <w:r w:rsidRPr="00797D82">
        <w:rPr>
          <w:iCs/>
          <w:strike/>
          <w:color w:val="FF0000"/>
        </w:rPr>
        <w:fldChar w:fldCharType="begin"/>
      </w:r>
      <w:r w:rsidRPr="00797D82">
        <w:rPr>
          <w:iCs/>
          <w:strike/>
          <w:color w:val="FF0000"/>
          <w:lang w:val="en-AU"/>
        </w:rPr>
        <w:instrText xml:space="preserve"> REF _Ref496621482 \h </w:instrText>
      </w:r>
      <w:r w:rsidRPr="00797D82">
        <w:rPr>
          <w:iCs/>
          <w:strike/>
          <w:color w:val="FF0000"/>
        </w:rPr>
        <w:instrText xml:space="preserve"> \* MERGEFORMAT </w:instrText>
      </w:r>
      <w:r w:rsidRPr="00797D82">
        <w:rPr>
          <w:iCs/>
          <w:strike/>
          <w:color w:val="FF0000"/>
        </w:rPr>
      </w:r>
      <w:r w:rsidRPr="00797D82">
        <w:rPr>
          <w:iCs/>
          <w:strike/>
          <w:color w:val="FF0000"/>
        </w:rPr>
        <w:fldChar w:fldCharType="separate"/>
      </w:r>
      <w:r w:rsidRPr="00797D82">
        <w:rPr>
          <w:strike/>
          <w:color w:val="FF0000"/>
          <w:lang w:val="en-AU"/>
        </w:rPr>
        <w:t>12</w:t>
      </w:r>
      <w:r w:rsidRPr="00797D82">
        <w:rPr>
          <w:iCs/>
          <w:strike/>
          <w:color w:val="FF0000"/>
        </w:rPr>
        <w:fldChar w:fldCharType="end"/>
      </w:r>
      <w:r w:rsidRPr="00797D82">
        <w:rPr>
          <w:iCs/>
          <w:strike/>
          <w:color w:val="FF0000"/>
          <w:lang w:val="en-AU"/>
        </w:rPr>
        <w:t xml:space="preserve">, of </w:t>
      </w:r>
      <w:r w:rsidRPr="00797D82">
        <w:rPr>
          <w:strike/>
          <w:color w:val="FF0000"/>
          <w:lang w:val="en-AU"/>
        </w:rPr>
        <w:t xml:space="preserve">carrier </w:t>
      </w:r>
      <w:r w:rsidRPr="00DD4355">
        <w:rPr>
          <w:strike/>
          <w:position w:val="-10"/>
        </w:rPr>
        <w:object w:dxaOrig="225" w:dyaOrig="300">
          <v:shape id="_x0000_i1132" type="#_x0000_t75" style="width:10.5pt;height:15pt" o:ole="">
            <v:imagedata r:id="rId12" o:title=""/>
          </v:shape>
          <o:OLEObject Type="Embed" ProgID="Equation.3" ShapeID="_x0000_i1132" DrawAspect="Content" ObjectID="_1595450179" r:id="rId138"/>
        </w:object>
      </w:r>
      <w:r w:rsidRPr="00797D82">
        <w:rPr>
          <w:iCs/>
          <w:strike/>
          <w:color w:val="FF0000"/>
          <w:lang w:val="en-AU"/>
        </w:rPr>
        <w:t xml:space="preserve"> of </w:t>
      </w:r>
      <w:r w:rsidRPr="00797D82">
        <w:rPr>
          <w:strike/>
          <w:color w:val="FF0000"/>
          <w:lang w:val="en-AU"/>
        </w:rPr>
        <w:t xml:space="preserve">serving cell </w:t>
      </w:r>
      <w:r w:rsidRPr="00DD4355">
        <w:rPr>
          <w:strike/>
          <w:position w:val="-6"/>
        </w:rPr>
        <w:object w:dxaOrig="165" w:dyaOrig="210">
          <v:shape id="_x0000_i1133" type="#_x0000_t75" style="width:8.25pt;height:10.5pt" o:ole="">
            <v:imagedata r:id="rId79" o:title=""/>
          </v:shape>
          <o:OLEObject Type="Embed" ProgID="Equation.3" ShapeID="_x0000_i1133" DrawAspect="Content" ObjectID="_1595450180" r:id="rId139"/>
        </w:object>
      </w:r>
      <w:r w:rsidRPr="00797D82">
        <w:rPr>
          <w:iCs/>
          <w:strike/>
          <w:color w:val="FF0000"/>
          <w:lang w:val="en-AU"/>
        </w:rPr>
        <w:t xml:space="preserve">, with parameters as defined in Subclause </w:t>
      </w:r>
      <w:r w:rsidRPr="00797D82">
        <w:rPr>
          <w:iCs/>
          <w:strike/>
          <w:color w:val="FF0000"/>
        </w:rPr>
        <w:fldChar w:fldCharType="begin"/>
      </w:r>
      <w:r w:rsidRPr="00797D82">
        <w:rPr>
          <w:iCs/>
          <w:strike/>
          <w:color w:val="FF0000"/>
          <w:lang w:val="en-AU"/>
        </w:rPr>
        <w:instrText xml:space="preserve"> REF _Ref497117847 \h  \* MERGEFORMAT </w:instrText>
      </w:r>
      <w:r w:rsidRPr="00797D82">
        <w:rPr>
          <w:iCs/>
          <w:strike/>
          <w:color w:val="FF0000"/>
        </w:rPr>
      </w:r>
      <w:r w:rsidRPr="00797D82">
        <w:rPr>
          <w:iCs/>
          <w:strike/>
          <w:color w:val="FF0000"/>
        </w:rPr>
        <w:fldChar w:fldCharType="separate"/>
      </w:r>
      <w:r w:rsidRPr="00797D82">
        <w:rPr>
          <w:strike/>
          <w:color w:val="FF0000"/>
          <w:lang w:val="en-AU"/>
        </w:rPr>
        <w:t>7.1.1</w:t>
      </w:r>
      <w:r w:rsidRPr="00797D82">
        <w:rPr>
          <w:iCs/>
          <w:strike/>
          <w:color w:val="FF0000"/>
        </w:rPr>
        <w:fldChar w:fldCharType="end"/>
      </w:r>
      <w:r w:rsidRPr="00797D82">
        <w:rPr>
          <w:iCs/>
          <w:lang w:val="en-AU"/>
        </w:rPr>
        <w:t xml:space="preserve">, </w:t>
      </w:r>
      <w:r w:rsidRPr="00797D82">
        <w:rPr>
          <w:lang w:val="en-AU"/>
        </w:rPr>
        <w:t xml:space="preserve">by the ratio of the number of antenna ports with a non-zero PUSCH transmission to the </w:t>
      </w:r>
      <w:r w:rsidRPr="00797D82">
        <w:rPr>
          <w:color w:val="FF0000"/>
          <w:u w:val="single"/>
          <w:lang w:val="en-AU"/>
        </w:rPr>
        <w:t xml:space="preserve">maximum number of PUSCH layers supported by the UE </w:t>
      </w:r>
      <w:r w:rsidRPr="00797D82">
        <w:rPr>
          <w:strike/>
          <w:color w:val="FF0000"/>
          <w:lang w:val="en-AU"/>
        </w:rPr>
        <w:t>number of configured antenna ports for the transmission scheme</w:t>
      </w:r>
      <w:r w:rsidRPr="00797D82">
        <w:rPr>
          <w:lang w:val="en-AU"/>
        </w:rPr>
        <w:t xml:space="preserve">. The resulting scaled power is then split equally across the antenna ports on which the non-zero PUSCH is transmitted. </w:t>
      </w:r>
    </w:p>
    <w:p w:rsidR="00A52E52" w:rsidRPr="00797D82" w:rsidRDefault="00A52E52" w:rsidP="00A52E52">
      <w:pPr>
        <w:pStyle w:val="ListParagraph"/>
        <w:ind w:left="1304"/>
        <w:rPr>
          <w:lang w:val="en-AU" w:eastAsia="zh-CN"/>
        </w:rPr>
      </w:pPr>
      <w:r w:rsidRPr="00797D82">
        <w:rPr>
          <w:highlight w:val="yellow"/>
          <w:lang w:val="en-AU"/>
        </w:rPr>
        <w:t>&gt;&gt;&gt;&gt;&gt;&gt;&gt;&gt;&gt;&gt;&gt;&gt; End text proposal &gt;&gt;&gt;&gt;&gt;&gt;&gt;&gt;&gt;&gt;&gt;&gt;&gt;</w:t>
      </w:r>
    </w:p>
    <w:p w:rsidR="00840BC6" w:rsidRDefault="00840BC6" w:rsidP="00A94C24">
      <w:pPr>
        <w:pStyle w:val="ListParagraph"/>
        <w:spacing w:after="180" w:line="259" w:lineRule="auto"/>
      </w:pPr>
    </w:p>
    <w:p w:rsidR="00A52E52" w:rsidRDefault="00A52E52" w:rsidP="00A52E52">
      <w:pPr>
        <w:rPr>
          <w:b/>
          <w:u w:val="single"/>
        </w:rPr>
      </w:pPr>
      <w:r>
        <w:rPr>
          <w:b/>
          <w:u w:val="single"/>
        </w:rPr>
        <w:t>Proposal 4</w:t>
      </w:r>
    </w:p>
    <w:p w:rsidR="00681CFE" w:rsidRDefault="00681CFE" w:rsidP="00A52E52">
      <w:pPr>
        <w:rPr>
          <w:b/>
          <w:u w:val="single"/>
        </w:rPr>
      </w:pPr>
    </w:p>
    <w:p w:rsidR="00681CFE" w:rsidRPr="00375E92" w:rsidRDefault="00681CFE" w:rsidP="00681CFE">
      <w:pPr>
        <w:pStyle w:val="ListParagraph"/>
        <w:keepNext/>
        <w:numPr>
          <w:ilvl w:val="0"/>
          <w:numId w:val="12"/>
        </w:numPr>
        <w:spacing w:after="180" w:line="259" w:lineRule="auto"/>
        <w:rPr>
          <w:lang w:val="en-AU"/>
        </w:rPr>
      </w:pPr>
      <w:r w:rsidRPr="002A13E7">
        <w:rPr>
          <w:lang w:val="en-AU"/>
        </w:rPr>
        <w:t>Clarify Rel-15 NR PUSCH power scaling specifications such that per-PA full power capacity for all PAs in the UE is not required for any MIMO UE capability.</w:t>
      </w:r>
    </w:p>
    <w:p w:rsidR="00681CFE" w:rsidRPr="00C51741" w:rsidRDefault="00681CFE" w:rsidP="00681CFE">
      <w:pPr>
        <w:pStyle w:val="ListParagraph"/>
        <w:numPr>
          <w:ilvl w:val="1"/>
          <w:numId w:val="14"/>
        </w:numPr>
        <w:spacing w:after="180" w:line="259" w:lineRule="auto"/>
        <w:ind w:left="1440"/>
        <w:rPr>
          <w:lang w:val="en-AU"/>
        </w:rPr>
      </w:pPr>
      <w:r w:rsidRPr="00C51741">
        <w:rPr>
          <w:lang w:val="en-AU"/>
        </w:rPr>
        <w:t xml:space="preserve">Note: NR rel-16 MIMO WI includes full power capability </w:t>
      </w:r>
    </w:p>
    <w:p w:rsidR="00A52E52" w:rsidRPr="003F4362" w:rsidRDefault="00A52E52" w:rsidP="00A52E52">
      <w:pPr>
        <w:pStyle w:val="ListParagraph"/>
        <w:numPr>
          <w:ilvl w:val="0"/>
          <w:numId w:val="14"/>
        </w:numPr>
        <w:spacing w:after="180" w:line="259" w:lineRule="auto"/>
        <w:ind w:left="720"/>
        <w:rPr>
          <w:lang w:val="en-AU"/>
        </w:rPr>
      </w:pPr>
      <w:r w:rsidRPr="003F4362">
        <w:rPr>
          <w:lang w:val="en-AU"/>
        </w:rPr>
        <w:t xml:space="preserve">A total power of </w:t>
      </w:r>
      <w:r w:rsidRPr="002B5F3D">
        <w:rPr>
          <w:iCs/>
          <w:position w:val="-12"/>
        </w:rPr>
        <w:object w:dxaOrig="1219" w:dyaOrig="360">
          <v:shape id="_x0000_i1145" type="#_x0000_t75" style="width:57.75pt;height:21.75pt" o:ole="">
            <v:imagedata r:id="rId95" o:title=""/>
          </v:shape>
          <o:OLEObject Type="Embed" ProgID="Equation.3" ShapeID="_x0000_i1145" DrawAspect="Content" ObjectID="_1595450181" r:id="rId140"/>
        </w:object>
      </w:r>
      <w:r w:rsidRPr="003F4362">
        <w:rPr>
          <w:lang w:val="en-AU"/>
        </w:rPr>
        <w:t xml:space="preserve">  should at most be transmitted per OFDM symbol in transmission period </w:t>
      </w:r>
      <w:r w:rsidRPr="003F4362">
        <w:rPr>
          <w:i/>
          <w:lang w:val="en-AU"/>
        </w:rPr>
        <w:t>i</w:t>
      </w:r>
      <w:r w:rsidRPr="003F4362">
        <w:rPr>
          <w:lang w:val="en-AU"/>
        </w:rPr>
        <w:t xml:space="preserve"> from the transmitted SRS resource set </w:t>
      </w:r>
      <w:r w:rsidRPr="003F4362">
        <w:rPr>
          <w:i/>
          <w:lang w:val="en-AU"/>
        </w:rPr>
        <w:t>q</w:t>
      </w:r>
      <w:r w:rsidRPr="003F4362">
        <w:rPr>
          <w:i/>
          <w:vertAlign w:val="subscript"/>
          <w:lang w:val="en-AU"/>
        </w:rPr>
        <w:t>s</w:t>
      </w:r>
      <w:r w:rsidRPr="003F4362">
        <w:rPr>
          <w:lang w:val="en-AU"/>
        </w:rPr>
        <w:t xml:space="preserve">. </w:t>
      </w:r>
    </w:p>
    <w:p w:rsidR="00A52E52" w:rsidRDefault="00A52E52" w:rsidP="00A52E52">
      <w:pPr>
        <w:pStyle w:val="ListParagraph"/>
        <w:numPr>
          <w:ilvl w:val="0"/>
          <w:numId w:val="14"/>
        </w:numPr>
        <w:spacing w:after="180" w:line="259" w:lineRule="auto"/>
        <w:ind w:left="720"/>
        <w:rPr>
          <w:lang w:val="en-AU"/>
        </w:rPr>
      </w:pPr>
      <w:r w:rsidRPr="003F4362">
        <w:rPr>
          <w:lang w:val="en-AU"/>
        </w:rPr>
        <w:t xml:space="preserve">All of the SRS ports transmitted from SRS resource set </w:t>
      </w:r>
      <w:r w:rsidRPr="003F4362">
        <w:rPr>
          <w:i/>
          <w:lang w:val="en-AU"/>
        </w:rPr>
        <w:t>q</w:t>
      </w:r>
      <w:r w:rsidRPr="003F4362">
        <w:rPr>
          <w:i/>
          <w:vertAlign w:val="subscript"/>
          <w:lang w:val="en-AU"/>
        </w:rPr>
        <w:t>s</w:t>
      </w:r>
      <w:r w:rsidRPr="003F4362">
        <w:rPr>
          <w:lang w:val="en-AU"/>
        </w:rPr>
        <w:t xml:space="preserve">, in transmission period </w:t>
      </w:r>
      <w:r w:rsidRPr="003F4362">
        <w:rPr>
          <w:vertAlign w:val="superscript"/>
          <w:lang w:val="en-AU"/>
        </w:rPr>
        <w:t>i</w:t>
      </w:r>
      <w:r w:rsidRPr="003F4362">
        <w:rPr>
          <w:lang w:val="en-AU"/>
        </w:rPr>
        <w:t>, are transmitted with the same power per port.</w:t>
      </w:r>
    </w:p>
    <w:p w:rsidR="00A52E52" w:rsidRPr="003F4362" w:rsidRDefault="00A52E52" w:rsidP="00A52E52">
      <w:pPr>
        <w:pStyle w:val="ListParagraph"/>
        <w:numPr>
          <w:ilvl w:val="0"/>
          <w:numId w:val="14"/>
        </w:numPr>
        <w:spacing w:after="180" w:line="259" w:lineRule="auto"/>
        <w:ind w:left="720"/>
        <w:rPr>
          <w:lang w:val="en-AU"/>
        </w:rPr>
      </w:pPr>
      <w:r w:rsidRPr="003F4362">
        <w:rPr>
          <w:rFonts w:ascii="Times" w:eastAsia="SimSun" w:hAnsi="Times"/>
          <w:lang w:val="en-AU" w:eastAsia="ja-JP"/>
        </w:rPr>
        <w:t xml:space="preserve">When multiple SRS resource sets are present in transmission period </w:t>
      </w:r>
      <w:r w:rsidRPr="003F4362">
        <w:rPr>
          <w:rFonts w:ascii="Times" w:eastAsia="SimSun" w:hAnsi="Times"/>
          <w:i/>
          <w:lang w:val="en-AU" w:eastAsia="ja-JP"/>
        </w:rPr>
        <w:t>i</w:t>
      </w:r>
      <w:r w:rsidRPr="003F4362">
        <w:rPr>
          <w:rFonts w:ascii="Times" w:eastAsia="SimSun" w:hAnsi="Times"/>
          <w:lang w:val="en-AU" w:eastAsia="ja-JP"/>
        </w:rPr>
        <w:t xml:space="preserve"> scale the transmit power of SRS resource set </w:t>
      </w:r>
      <w:r w:rsidRPr="003F4362">
        <w:rPr>
          <w:rFonts w:ascii="Times" w:eastAsia="SimSun" w:hAnsi="Times"/>
          <w:i/>
          <w:lang w:val="en-AU" w:eastAsia="ja-JP"/>
        </w:rPr>
        <w:t>q</w:t>
      </w:r>
      <w:r w:rsidRPr="003F4362">
        <w:rPr>
          <w:rFonts w:ascii="Times" w:eastAsia="SimSun" w:hAnsi="Times"/>
          <w:i/>
          <w:vertAlign w:val="subscript"/>
          <w:lang w:val="en-AU" w:eastAsia="ja-JP"/>
        </w:rPr>
        <w:t>s</w:t>
      </w:r>
      <w:r w:rsidRPr="003F4362">
        <w:rPr>
          <w:rFonts w:ascii="Times" w:eastAsia="SimSun" w:hAnsi="Times"/>
          <w:lang w:val="en-AU" w:eastAsia="ja-JP"/>
        </w:rPr>
        <w:t xml:space="preserve"> such that it is transmitted with power </w:t>
      </w:r>
      <w:r w:rsidRPr="003F4362">
        <w:rPr>
          <w:rFonts w:ascii="Symbol" w:eastAsia="SimSun" w:hAnsi="Symbol"/>
          <w:i/>
          <w:lang w:val="en-AU" w:eastAsia="ja-JP"/>
        </w:rPr>
        <w:t></w:t>
      </w:r>
      <w:r w:rsidRPr="003F4362">
        <w:rPr>
          <w:rFonts w:ascii="Symbol" w:eastAsia="SimSun" w:hAnsi="Symbol"/>
          <w:i/>
          <w:lang w:val="en-AU" w:eastAsia="ja-JP"/>
        </w:rPr>
        <w:t></w:t>
      </w:r>
      <w:r w:rsidRPr="003F4362">
        <w:rPr>
          <w:rFonts w:ascii="Times" w:eastAsia="SimSun" w:hAnsi="Times"/>
          <w:i/>
          <w:lang w:val="en-AU" w:eastAsia="ja-JP"/>
        </w:rPr>
        <w:t>i</w:t>
      </w:r>
      <w:r w:rsidRPr="003F4362">
        <w:rPr>
          <w:rFonts w:ascii="Symbol" w:eastAsia="SimSun" w:hAnsi="Symbol"/>
          <w:i/>
          <w:lang w:val="en-AU" w:eastAsia="ja-JP"/>
        </w:rPr>
        <w:t></w:t>
      </w:r>
      <w:r w:rsidRPr="005E202D">
        <w:rPr>
          <w:rFonts w:ascii="Times" w:eastAsia="SimSun" w:hAnsi="Times"/>
          <w:iCs/>
          <w:position w:val="-14"/>
          <w:lang w:eastAsia="ja-JP"/>
        </w:rPr>
        <w:object w:dxaOrig="1340" w:dyaOrig="380">
          <v:shape id="_x0000_i1135" type="#_x0000_t75" style="width:65.25pt;height:21.75pt" o:ole="">
            <v:imagedata r:id="rId108" o:title=""/>
          </v:shape>
          <o:OLEObject Type="Embed" ProgID="Equation.3" ShapeID="_x0000_i1135" DrawAspect="Content" ObjectID="_1595450182" r:id="rId141"/>
        </w:object>
      </w:r>
      <w:r>
        <w:rPr>
          <w:iCs/>
        </w:rPr>
        <w:t xml:space="preserve">, </w:t>
      </w:r>
      <w:r w:rsidRPr="003F4362">
        <w:rPr>
          <w:rFonts w:ascii="Times" w:eastAsia="SimSun" w:hAnsi="Times"/>
          <w:iCs/>
          <w:lang w:val="en-AU" w:eastAsia="ja-JP"/>
        </w:rPr>
        <w:t xml:space="preserve">where </w:t>
      </w:r>
    </w:p>
    <w:p w:rsidR="00A52E52" w:rsidRPr="003F4362" w:rsidRDefault="00A52E52" w:rsidP="00A52E52">
      <w:pPr>
        <w:pStyle w:val="ListParagraph"/>
        <w:numPr>
          <w:ilvl w:val="1"/>
          <w:numId w:val="14"/>
        </w:numPr>
        <w:spacing w:after="180" w:line="259" w:lineRule="auto"/>
        <w:ind w:left="1440"/>
        <w:rPr>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sidRPr="003F4362">
        <w:rPr>
          <w:lang w:val="en-AU"/>
        </w:rPr>
        <w:t xml:space="preserve"> where s denotes the OFDM symbol index in transmission period </w:t>
      </w:r>
      <w:r w:rsidRPr="003F4362">
        <w:rPr>
          <w:i/>
          <w:lang w:val="en-AU"/>
        </w:rPr>
        <w:t>i</w:t>
      </w:r>
      <w:r w:rsidRPr="003F4362">
        <w:rPr>
          <w:lang w:val="en-AU"/>
        </w:rPr>
        <w:t xml:space="preserve"> and</w:t>
      </w:r>
    </w:p>
    <w:p w:rsidR="00A52E52" w:rsidRPr="003F4362" w:rsidRDefault="00A52E52" w:rsidP="00A52E52">
      <w:pPr>
        <w:pStyle w:val="ListParagraph"/>
        <w:numPr>
          <w:ilvl w:val="2"/>
          <w:numId w:val="14"/>
        </w:numPr>
        <w:spacing w:after="180" w:line="259" w:lineRule="auto"/>
        <w:ind w:left="2160"/>
        <w:rPr>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340" w:dyaOrig="380">
                <v:shape id="_x0000_i1137" type="#_x0000_t75" style="width:65.25pt;height:21.75pt" o:ole="">
                  <v:imagedata r:id="rId110" o:title=""/>
                </v:shape>
                <o:OLEObject Type="Embed" ProgID="Equation.3" ShapeID="_x0000_i1137" DrawAspect="Content" ObjectID="_1595450183" r:id="rId142"/>
              </w:object>
            </m:r>
          </m:e>
        </m:nary>
      </m:oMath>
      <w:r w:rsidRPr="003F4362">
        <w:rPr>
          <w:lang w:val="en-AU"/>
        </w:rPr>
        <w:t xml:space="preserve"> with </w:t>
      </w:r>
    </w:p>
    <w:p w:rsidR="00A52E52" w:rsidRPr="003F4362" w:rsidRDefault="00A52E52" w:rsidP="00A52E52">
      <w:pPr>
        <w:pStyle w:val="ListParagraph"/>
        <w:numPr>
          <w:ilvl w:val="2"/>
          <w:numId w:val="14"/>
        </w:numPr>
        <w:spacing w:after="180" w:line="259" w:lineRule="auto"/>
        <w:ind w:left="2160"/>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sidRPr="003F4362">
        <w:rPr>
          <w:lang w:val="en-AU"/>
        </w:rPr>
        <w:t xml:space="preserve"> if a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3F4362">
        <w:rPr>
          <w:lang w:val="en-AU"/>
        </w:rPr>
        <w:t xml:space="preserve"> is transmitted in symbol s in transmission period i, and</w:t>
      </w:r>
    </w:p>
    <w:p w:rsidR="00A52E52" w:rsidRDefault="00A52E52" w:rsidP="00A52E52">
      <w:pPr>
        <w:pStyle w:val="ListParagraph"/>
        <w:numPr>
          <w:ilvl w:val="2"/>
          <w:numId w:val="14"/>
        </w:numPr>
        <w:spacing w:after="180" w:line="259" w:lineRule="auto"/>
        <w:ind w:left="2160"/>
        <w:rPr>
          <w:lang w:val="en-AU"/>
        </w:rPr>
      </w:pPr>
      <m:oMath>
        <m:r>
          <w:rPr>
            <w:rFonts w:ascii="Cambria Math" w:hAnsi="Cambria Math"/>
            <w:lang w:val="en-AU"/>
          </w:rPr>
          <m:t>d</m:t>
        </m:r>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sidRPr="003F4362">
        <w:rPr>
          <w:lang w:val="en-AU"/>
        </w:rPr>
        <w:t xml:space="preserve"> if no transmission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3F4362">
        <w:rPr>
          <w:lang w:val="en-AU"/>
        </w:rPr>
        <w:t xml:space="preserve"> is transmitted in symbol s in transmission period i. </w:t>
      </w:r>
    </w:p>
    <w:p w:rsidR="006D788C" w:rsidRDefault="006D788C" w:rsidP="006D788C">
      <w:pPr>
        <w:pStyle w:val="BodyText"/>
        <w:rPr>
          <w:b/>
          <w:u w:val="single"/>
        </w:rPr>
      </w:pPr>
      <w:r w:rsidRPr="00CE08A1">
        <w:rPr>
          <w:b/>
          <w:u w:val="single"/>
        </w:rPr>
        <w:t xml:space="preserve">Proposal </w:t>
      </w:r>
      <w:r>
        <w:rPr>
          <w:b/>
          <w:u w:val="single"/>
        </w:rPr>
        <w:t>5</w:t>
      </w:r>
    </w:p>
    <w:p w:rsidR="006D788C" w:rsidRPr="00967BE6" w:rsidRDefault="006D788C" w:rsidP="006D788C">
      <w:pPr>
        <w:pStyle w:val="BodyText"/>
        <w:numPr>
          <w:ilvl w:val="0"/>
          <w:numId w:val="19"/>
        </w:numPr>
        <w:rPr>
          <w:b/>
          <w:u w:val="single"/>
        </w:rPr>
      </w:pPr>
      <w:r>
        <w:t>P_LTE and P_NR signaling defined for EN-DC should be reused for Option 4/4A</w:t>
      </w:r>
    </w:p>
    <w:p w:rsidR="006D788C" w:rsidRPr="00967BE6" w:rsidRDefault="006D788C" w:rsidP="006D788C">
      <w:pPr>
        <w:pStyle w:val="BodyText"/>
        <w:numPr>
          <w:ilvl w:val="0"/>
          <w:numId w:val="19"/>
        </w:numPr>
        <w:rPr>
          <w:b/>
          <w:u w:val="single"/>
        </w:rPr>
      </w:pPr>
      <w:r>
        <w:t>Dynamic power sharing capability should be supported for Option 4/4A</w:t>
      </w:r>
    </w:p>
    <w:p w:rsidR="006D788C" w:rsidRPr="00967BE6" w:rsidRDefault="006D788C" w:rsidP="006D788C">
      <w:pPr>
        <w:pStyle w:val="BodyText"/>
        <w:numPr>
          <w:ilvl w:val="1"/>
          <w:numId w:val="19"/>
        </w:numPr>
        <w:rPr>
          <w:b/>
          <w:u w:val="single"/>
        </w:rPr>
      </w:pPr>
      <w:r>
        <w:t>UE should scale down/drop LTE (SCG) transmissions when power limited, and the details of scaling/dropping can be left to UE implementation.</w:t>
      </w:r>
    </w:p>
    <w:p w:rsidR="006D788C" w:rsidRPr="00E24AEA" w:rsidRDefault="006D788C" w:rsidP="006D788C">
      <w:pPr>
        <w:pStyle w:val="BodyText"/>
        <w:numPr>
          <w:ilvl w:val="0"/>
          <w:numId w:val="19"/>
        </w:numPr>
        <w:rPr>
          <w:b/>
          <w:i/>
          <w:u w:val="single"/>
        </w:rPr>
      </w:pPr>
      <w:r>
        <w:t>For support of semi-static partitioning of LTE and NR UL transmissions similar to Case1-OperationA agreed for EN-DC (for UEs not supporting dynamic power sharing), the changes agreed so far for LTE Pcell UE behavior can be replicated for LTE PScell</w:t>
      </w:r>
    </w:p>
    <w:p w:rsidR="00663DEE" w:rsidRDefault="00663DEE" w:rsidP="00663DEE">
      <w:pPr>
        <w:pStyle w:val="Heading1"/>
      </w:pPr>
      <w:r>
        <w:t>References</w:t>
      </w:r>
    </w:p>
    <w:p w:rsidR="001140A2" w:rsidRPr="00DA3D01" w:rsidRDefault="001140A2" w:rsidP="00C2497D">
      <w:pPr>
        <w:pStyle w:val="BodyText"/>
      </w:pPr>
      <w:r w:rsidRPr="00DA3D01">
        <w:t>[</w:t>
      </w:r>
      <w:r w:rsidR="00F81355" w:rsidRPr="00DA3D01">
        <w:t>1</w:t>
      </w:r>
      <w:r w:rsidRPr="00DA3D01">
        <w:t>] R1-18</w:t>
      </w:r>
      <w:r w:rsidR="00DA3D01">
        <w:t>07269</w:t>
      </w:r>
      <w:r w:rsidRPr="00DA3D01">
        <w:t xml:space="preserve"> – “Remaining details on NR closed loop power control”, Ericsson, RAN1#9</w:t>
      </w:r>
      <w:r w:rsidR="00DA3D01">
        <w:t>3</w:t>
      </w:r>
      <w:r w:rsidRPr="00DA3D01">
        <w:t xml:space="preserve">, </w:t>
      </w:r>
      <w:r w:rsidR="00DA3D01">
        <w:t>Busan</w:t>
      </w:r>
      <w:r w:rsidRPr="00DA3D01">
        <w:t xml:space="preserve">, </w:t>
      </w:r>
      <w:r w:rsidR="00DA3D01">
        <w:t>Korea</w:t>
      </w:r>
      <w:r w:rsidRPr="00DA3D01">
        <w:t xml:space="preserve">, </w:t>
      </w:r>
      <w:r w:rsidR="00DA3D01">
        <w:t>May</w:t>
      </w:r>
      <w:r w:rsidRPr="00DA3D01">
        <w:t xml:space="preserve"> 2018.</w:t>
      </w:r>
    </w:p>
    <w:p w:rsidR="00C2497D" w:rsidRPr="00DA3D01" w:rsidRDefault="001140A2" w:rsidP="000C4A37">
      <w:pPr>
        <w:pStyle w:val="BodyText"/>
      </w:pPr>
      <w:r w:rsidRPr="00DA3D01">
        <w:t>[</w:t>
      </w:r>
      <w:r w:rsidR="00F81355" w:rsidRPr="00DA3D01">
        <w:t>2</w:t>
      </w:r>
      <w:r w:rsidRPr="00DA3D01">
        <w:t>] R1-18</w:t>
      </w:r>
      <w:r w:rsidR="00DA3D01">
        <w:t>0</w:t>
      </w:r>
      <w:r w:rsidR="006D788C">
        <w:t>9411</w:t>
      </w:r>
      <w:r w:rsidRPr="00DA3D01">
        <w:t xml:space="preserve"> – “</w:t>
      </w:r>
      <w:r w:rsidR="00DA3D01" w:rsidRPr="00DA3D01">
        <w:t>PUSCH power scaling in UL power control</w:t>
      </w:r>
      <w:r w:rsidRPr="00DA3D01">
        <w:t>”, Ericsson,</w:t>
      </w:r>
      <w:r w:rsidR="00DA3D01" w:rsidRPr="00DA3D01">
        <w:t xml:space="preserve"> RAN1#9</w:t>
      </w:r>
      <w:r w:rsidR="006D788C">
        <w:t>4</w:t>
      </w:r>
      <w:r w:rsidR="00DA3D01" w:rsidRPr="00DA3D01">
        <w:t xml:space="preserve">, </w:t>
      </w:r>
      <w:r w:rsidR="006D788C">
        <w:t>Gothenburg</w:t>
      </w:r>
      <w:r w:rsidR="00DA3D01" w:rsidRPr="00DA3D01">
        <w:t xml:space="preserve">, </w:t>
      </w:r>
      <w:r w:rsidR="006D788C">
        <w:t>Sweden</w:t>
      </w:r>
      <w:r w:rsidR="00DA3D01" w:rsidRPr="00DA3D01">
        <w:t xml:space="preserve">, </w:t>
      </w:r>
      <w:r w:rsidR="006D788C">
        <w:t>August</w:t>
      </w:r>
      <w:r w:rsidR="00DA3D01" w:rsidRPr="00DA3D01">
        <w:t xml:space="preserve"> 2018</w:t>
      </w:r>
      <w:r w:rsidRPr="00DA3D01">
        <w:t>.</w:t>
      </w:r>
    </w:p>
    <w:p w:rsidR="00F81355" w:rsidRDefault="00F81355" w:rsidP="00F81355">
      <w:pPr>
        <w:pStyle w:val="BodyText"/>
      </w:pPr>
      <w:r w:rsidRPr="00DA3D01">
        <w:lastRenderedPageBreak/>
        <w:t>[3] R1-18</w:t>
      </w:r>
      <w:r w:rsidR="00DA3D01">
        <w:t>0</w:t>
      </w:r>
      <w:r w:rsidR="006D788C">
        <w:t>9412</w:t>
      </w:r>
      <w:r w:rsidRPr="00DA3D01">
        <w:t xml:space="preserve"> – “</w:t>
      </w:r>
      <w:r w:rsidR="00DA3D01" w:rsidRPr="00DA3D01">
        <w:t>SRS power scaling in UL power control</w:t>
      </w:r>
      <w:r w:rsidRPr="00DA3D01">
        <w:t xml:space="preserve">”, Ericsson, </w:t>
      </w:r>
      <w:r w:rsidR="00DA3D01" w:rsidRPr="00DA3D01">
        <w:t>, RAN1#9</w:t>
      </w:r>
      <w:r w:rsidR="006D788C">
        <w:t>4,</w:t>
      </w:r>
      <w:r w:rsidR="006D788C" w:rsidRPr="006D788C">
        <w:t xml:space="preserve"> </w:t>
      </w:r>
      <w:r w:rsidR="006D788C">
        <w:t>Gothenburg</w:t>
      </w:r>
      <w:r w:rsidR="006D788C" w:rsidRPr="00DA3D01">
        <w:t xml:space="preserve">, </w:t>
      </w:r>
      <w:r w:rsidR="006D788C">
        <w:t>Sweden</w:t>
      </w:r>
      <w:r w:rsidR="006D788C" w:rsidRPr="00DA3D01">
        <w:t xml:space="preserve">, </w:t>
      </w:r>
      <w:r w:rsidR="006D788C">
        <w:t>August</w:t>
      </w:r>
      <w:r w:rsidR="006D788C" w:rsidRPr="00DA3D01">
        <w:t xml:space="preserve"> 2018.</w:t>
      </w:r>
    </w:p>
    <w:p w:rsidR="00627EC4" w:rsidRPr="00AD1DBA" w:rsidRDefault="00F65326" w:rsidP="000C4A37">
      <w:pPr>
        <w:pStyle w:val="BodyText"/>
      </w:pPr>
      <w:r>
        <w:t>[4] RP-</w:t>
      </w:r>
      <w:r w:rsidR="005A200F">
        <w:t>181473 – “</w:t>
      </w:r>
      <w:r w:rsidR="005A200F" w:rsidRPr="00347030">
        <w:t>Rel-15 Work Item Exception for New Radio Access Technology - Core</w:t>
      </w:r>
      <w:r w:rsidR="005A200F">
        <w:t>”, RAN#80, La Jolla, USA, June 2018.</w:t>
      </w:r>
    </w:p>
    <w:sectPr w:rsidR="00627EC4" w:rsidRPr="00AD1DBA">
      <w:headerReference w:type="default" r:id="rId1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54E1" w:rsidRDefault="006554E1">
      <w:r>
        <w:separator/>
      </w:r>
    </w:p>
  </w:endnote>
  <w:endnote w:type="continuationSeparator" w:id="0">
    <w:p w:rsidR="006554E1" w:rsidRDefault="00655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54E1" w:rsidRDefault="006554E1">
      <w:r>
        <w:separator/>
      </w:r>
    </w:p>
  </w:footnote>
  <w:footnote w:type="continuationSeparator" w:id="0">
    <w:p w:rsidR="006554E1" w:rsidRDefault="00655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D17" w:rsidRDefault="001B7D17"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2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2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8"/>
  </w:num>
  <w:num w:numId="3">
    <w:abstractNumId w:val="11"/>
  </w:num>
  <w:num w:numId="4">
    <w:abstractNumId w:val="14"/>
  </w:num>
  <w:num w:numId="5">
    <w:abstractNumId w:val="9"/>
  </w:num>
  <w:num w:numId="6">
    <w:abstractNumId w:val="4"/>
  </w:num>
  <w:num w:numId="7">
    <w:abstractNumId w:val="12"/>
  </w:num>
  <w:num w:numId="8">
    <w:abstractNumId w:val="6"/>
  </w:num>
  <w:num w:numId="9">
    <w:abstractNumId w:val="0"/>
  </w:num>
  <w:num w:numId="10">
    <w:abstractNumId w:val="3"/>
  </w:num>
  <w:num w:numId="11">
    <w:abstractNumId w:val="13"/>
  </w:num>
  <w:num w:numId="12">
    <w:abstractNumId w:val="17"/>
  </w:num>
  <w:num w:numId="13">
    <w:abstractNumId w:val="16"/>
  </w:num>
  <w:num w:numId="14">
    <w:abstractNumId w:val="19"/>
  </w:num>
  <w:num w:numId="15">
    <w:abstractNumId w:val="15"/>
  </w:num>
  <w:num w:numId="16">
    <w:abstractNumId w:val="1"/>
  </w:num>
  <w:num w:numId="17">
    <w:abstractNumId w:val="2"/>
  </w:num>
  <w:num w:numId="18">
    <w:abstractNumId w:val="10"/>
  </w:num>
  <w:num w:numId="19">
    <w:abstractNumId w:val="5"/>
  </w:num>
  <w:num w:numId="20">
    <w:abstractNumId w:val="7"/>
  </w:num>
  <w:num w:numId="21">
    <w:abstractNumId w:val="20"/>
  </w:num>
  <w:num w:numId="22">
    <w:abstractNumId w:val="20"/>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217F8"/>
    <w:rsid w:val="00021F71"/>
    <w:rsid w:val="000249BD"/>
    <w:rsid w:val="00026152"/>
    <w:rsid w:val="00026794"/>
    <w:rsid w:val="000339BF"/>
    <w:rsid w:val="00034A85"/>
    <w:rsid w:val="000374E8"/>
    <w:rsid w:val="000376D7"/>
    <w:rsid w:val="00037C51"/>
    <w:rsid w:val="00041947"/>
    <w:rsid w:val="0004251E"/>
    <w:rsid w:val="00042B95"/>
    <w:rsid w:val="00043940"/>
    <w:rsid w:val="00047833"/>
    <w:rsid w:val="00054BF6"/>
    <w:rsid w:val="00055C3F"/>
    <w:rsid w:val="00056F8C"/>
    <w:rsid w:val="000634C0"/>
    <w:rsid w:val="0006366A"/>
    <w:rsid w:val="00063E6B"/>
    <w:rsid w:val="00077EFD"/>
    <w:rsid w:val="00084446"/>
    <w:rsid w:val="00086EAD"/>
    <w:rsid w:val="0009038A"/>
    <w:rsid w:val="000944E4"/>
    <w:rsid w:val="00096460"/>
    <w:rsid w:val="000A258F"/>
    <w:rsid w:val="000A4E5A"/>
    <w:rsid w:val="000A74B8"/>
    <w:rsid w:val="000B017B"/>
    <w:rsid w:val="000B1CAD"/>
    <w:rsid w:val="000B45EF"/>
    <w:rsid w:val="000B6206"/>
    <w:rsid w:val="000B7036"/>
    <w:rsid w:val="000C02AC"/>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70EA"/>
    <w:rsid w:val="00131DE4"/>
    <w:rsid w:val="00137769"/>
    <w:rsid w:val="00141448"/>
    <w:rsid w:val="00142260"/>
    <w:rsid w:val="001464AC"/>
    <w:rsid w:val="001471D9"/>
    <w:rsid w:val="00160407"/>
    <w:rsid w:val="00162F9B"/>
    <w:rsid w:val="001642BA"/>
    <w:rsid w:val="0016645B"/>
    <w:rsid w:val="00171B31"/>
    <w:rsid w:val="0017310F"/>
    <w:rsid w:val="00175D32"/>
    <w:rsid w:val="00180134"/>
    <w:rsid w:val="0018365D"/>
    <w:rsid w:val="00191E60"/>
    <w:rsid w:val="00196C6F"/>
    <w:rsid w:val="001A6C40"/>
    <w:rsid w:val="001B4110"/>
    <w:rsid w:val="001B66ED"/>
    <w:rsid w:val="001B7D17"/>
    <w:rsid w:val="001C04C3"/>
    <w:rsid w:val="001C0EE0"/>
    <w:rsid w:val="001C4118"/>
    <w:rsid w:val="001C5ABF"/>
    <w:rsid w:val="001C5CE9"/>
    <w:rsid w:val="001D33B3"/>
    <w:rsid w:val="001D4398"/>
    <w:rsid w:val="001D5808"/>
    <w:rsid w:val="001E21F6"/>
    <w:rsid w:val="001E5785"/>
    <w:rsid w:val="001F1207"/>
    <w:rsid w:val="001F5526"/>
    <w:rsid w:val="002029F5"/>
    <w:rsid w:val="00203121"/>
    <w:rsid w:val="00204921"/>
    <w:rsid w:val="00205AF2"/>
    <w:rsid w:val="00210105"/>
    <w:rsid w:val="0021013F"/>
    <w:rsid w:val="00212F01"/>
    <w:rsid w:val="002131B0"/>
    <w:rsid w:val="00214784"/>
    <w:rsid w:val="00214ECF"/>
    <w:rsid w:val="00215911"/>
    <w:rsid w:val="00220D91"/>
    <w:rsid w:val="0022555C"/>
    <w:rsid w:val="0022659E"/>
    <w:rsid w:val="00227C72"/>
    <w:rsid w:val="00230AE5"/>
    <w:rsid w:val="0023314F"/>
    <w:rsid w:val="00243F21"/>
    <w:rsid w:val="00255221"/>
    <w:rsid w:val="00255E5D"/>
    <w:rsid w:val="0025780D"/>
    <w:rsid w:val="00257C69"/>
    <w:rsid w:val="00257D9E"/>
    <w:rsid w:val="00260E2E"/>
    <w:rsid w:val="002634F0"/>
    <w:rsid w:val="00264D4E"/>
    <w:rsid w:val="002673ED"/>
    <w:rsid w:val="00276840"/>
    <w:rsid w:val="00290099"/>
    <w:rsid w:val="00290F9F"/>
    <w:rsid w:val="002A13E7"/>
    <w:rsid w:val="002A1D8F"/>
    <w:rsid w:val="002A31FC"/>
    <w:rsid w:val="002B139C"/>
    <w:rsid w:val="002B3B98"/>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2CEF"/>
    <w:rsid w:val="0031422F"/>
    <w:rsid w:val="00315E1D"/>
    <w:rsid w:val="00317CFE"/>
    <w:rsid w:val="00323753"/>
    <w:rsid w:val="00324829"/>
    <w:rsid w:val="003263D3"/>
    <w:rsid w:val="00331C9A"/>
    <w:rsid w:val="00335CE1"/>
    <w:rsid w:val="003410DC"/>
    <w:rsid w:val="00343A18"/>
    <w:rsid w:val="00346938"/>
    <w:rsid w:val="00347030"/>
    <w:rsid w:val="00350180"/>
    <w:rsid w:val="00351AE2"/>
    <w:rsid w:val="00354D94"/>
    <w:rsid w:val="00361CA8"/>
    <w:rsid w:val="00363390"/>
    <w:rsid w:val="00363EBF"/>
    <w:rsid w:val="003729CE"/>
    <w:rsid w:val="003756BE"/>
    <w:rsid w:val="00376F9D"/>
    <w:rsid w:val="0038144A"/>
    <w:rsid w:val="003875A3"/>
    <w:rsid w:val="00397027"/>
    <w:rsid w:val="003A1432"/>
    <w:rsid w:val="003A1F9F"/>
    <w:rsid w:val="003A2C54"/>
    <w:rsid w:val="003A3E47"/>
    <w:rsid w:val="003A4AD8"/>
    <w:rsid w:val="003B4771"/>
    <w:rsid w:val="003B515B"/>
    <w:rsid w:val="003B5644"/>
    <w:rsid w:val="003B6C67"/>
    <w:rsid w:val="003C040C"/>
    <w:rsid w:val="003C0BC9"/>
    <w:rsid w:val="003C4CC8"/>
    <w:rsid w:val="003C71AB"/>
    <w:rsid w:val="003D14C4"/>
    <w:rsid w:val="003E003F"/>
    <w:rsid w:val="003E1836"/>
    <w:rsid w:val="003E2560"/>
    <w:rsid w:val="003F2472"/>
    <w:rsid w:val="0040411A"/>
    <w:rsid w:val="004067C0"/>
    <w:rsid w:val="004161BF"/>
    <w:rsid w:val="004165C9"/>
    <w:rsid w:val="004217B5"/>
    <w:rsid w:val="00422F7B"/>
    <w:rsid w:val="004240DE"/>
    <w:rsid w:val="00437ACB"/>
    <w:rsid w:val="00442C5A"/>
    <w:rsid w:val="00443E1F"/>
    <w:rsid w:val="00445DB1"/>
    <w:rsid w:val="00446E8F"/>
    <w:rsid w:val="00460BA2"/>
    <w:rsid w:val="00462A51"/>
    <w:rsid w:val="00462ED8"/>
    <w:rsid w:val="00466724"/>
    <w:rsid w:val="00467EDC"/>
    <w:rsid w:val="004827A2"/>
    <w:rsid w:val="004837C7"/>
    <w:rsid w:val="00492A78"/>
    <w:rsid w:val="004A20E3"/>
    <w:rsid w:val="004B1A5E"/>
    <w:rsid w:val="004B2CA0"/>
    <w:rsid w:val="004B36A1"/>
    <w:rsid w:val="004B411A"/>
    <w:rsid w:val="004B57FD"/>
    <w:rsid w:val="004B7A4E"/>
    <w:rsid w:val="004C321E"/>
    <w:rsid w:val="004C4387"/>
    <w:rsid w:val="004D4E56"/>
    <w:rsid w:val="004D5111"/>
    <w:rsid w:val="004D7360"/>
    <w:rsid w:val="004E4C82"/>
    <w:rsid w:val="004E66EF"/>
    <w:rsid w:val="004E70DB"/>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82E"/>
    <w:rsid w:val="00563B19"/>
    <w:rsid w:val="0056520D"/>
    <w:rsid w:val="00566F92"/>
    <w:rsid w:val="00570330"/>
    <w:rsid w:val="00570BCE"/>
    <w:rsid w:val="00573F5C"/>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4D1F"/>
    <w:rsid w:val="005A5BAF"/>
    <w:rsid w:val="005B0522"/>
    <w:rsid w:val="005B123C"/>
    <w:rsid w:val="005B2B11"/>
    <w:rsid w:val="005B3DD7"/>
    <w:rsid w:val="005B4012"/>
    <w:rsid w:val="005C439D"/>
    <w:rsid w:val="005C5556"/>
    <w:rsid w:val="005D0A4E"/>
    <w:rsid w:val="005D3281"/>
    <w:rsid w:val="005D39C4"/>
    <w:rsid w:val="005D67F9"/>
    <w:rsid w:val="005E0AF0"/>
    <w:rsid w:val="005E2BCF"/>
    <w:rsid w:val="005E43C0"/>
    <w:rsid w:val="005F24BC"/>
    <w:rsid w:val="005F3136"/>
    <w:rsid w:val="005F4F8A"/>
    <w:rsid w:val="005F57CF"/>
    <w:rsid w:val="005F74F6"/>
    <w:rsid w:val="0060203F"/>
    <w:rsid w:val="00605CD2"/>
    <w:rsid w:val="0061070F"/>
    <w:rsid w:val="00610767"/>
    <w:rsid w:val="0061162E"/>
    <w:rsid w:val="0061336B"/>
    <w:rsid w:val="00613D63"/>
    <w:rsid w:val="00625696"/>
    <w:rsid w:val="006263BF"/>
    <w:rsid w:val="0062673F"/>
    <w:rsid w:val="00627EC4"/>
    <w:rsid w:val="006348C5"/>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6C2D"/>
    <w:rsid w:val="00681CFE"/>
    <w:rsid w:val="00682148"/>
    <w:rsid w:val="00696AE8"/>
    <w:rsid w:val="006A286A"/>
    <w:rsid w:val="006A4578"/>
    <w:rsid w:val="006B12B7"/>
    <w:rsid w:val="006B271B"/>
    <w:rsid w:val="006B49B1"/>
    <w:rsid w:val="006C3316"/>
    <w:rsid w:val="006C4DF9"/>
    <w:rsid w:val="006C6DDA"/>
    <w:rsid w:val="006D397D"/>
    <w:rsid w:val="006D788C"/>
    <w:rsid w:val="006E0D45"/>
    <w:rsid w:val="006F2E3D"/>
    <w:rsid w:val="006F75C2"/>
    <w:rsid w:val="006F7BB6"/>
    <w:rsid w:val="0071094E"/>
    <w:rsid w:val="00714D20"/>
    <w:rsid w:val="00715DD1"/>
    <w:rsid w:val="0072282D"/>
    <w:rsid w:val="00723690"/>
    <w:rsid w:val="00726A12"/>
    <w:rsid w:val="00726C96"/>
    <w:rsid w:val="007304E1"/>
    <w:rsid w:val="00730CBC"/>
    <w:rsid w:val="00741E68"/>
    <w:rsid w:val="00745767"/>
    <w:rsid w:val="00746EC8"/>
    <w:rsid w:val="007474D7"/>
    <w:rsid w:val="00747D24"/>
    <w:rsid w:val="007502D6"/>
    <w:rsid w:val="007506C7"/>
    <w:rsid w:val="0075384C"/>
    <w:rsid w:val="00755AE4"/>
    <w:rsid w:val="007563CC"/>
    <w:rsid w:val="007569CA"/>
    <w:rsid w:val="00757619"/>
    <w:rsid w:val="00757EA9"/>
    <w:rsid w:val="00762DF4"/>
    <w:rsid w:val="0076348D"/>
    <w:rsid w:val="00765320"/>
    <w:rsid w:val="00765485"/>
    <w:rsid w:val="007658A1"/>
    <w:rsid w:val="0077121F"/>
    <w:rsid w:val="00772E36"/>
    <w:rsid w:val="00777330"/>
    <w:rsid w:val="0078435A"/>
    <w:rsid w:val="0079089C"/>
    <w:rsid w:val="00794DA9"/>
    <w:rsid w:val="0079742F"/>
    <w:rsid w:val="00797D82"/>
    <w:rsid w:val="007A018A"/>
    <w:rsid w:val="007A01C0"/>
    <w:rsid w:val="007A25F0"/>
    <w:rsid w:val="007A2C14"/>
    <w:rsid w:val="007A6C01"/>
    <w:rsid w:val="007A7C1A"/>
    <w:rsid w:val="007B0A12"/>
    <w:rsid w:val="007B56F8"/>
    <w:rsid w:val="007B5BF3"/>
    <w:rsid w:val="007C159C"/>
    <w:rsid w:val="007C217E"/>
    <w:rsid w:val="007C3936"/>
    <w:rsid w:val="007C72C0"/>
    <w:rsid w:val="007C7C69"/>
    <w:rsid w:val="007C7E65"/>
    <w:rsid w:val="007D4CBE"/>
    <w:rsid w:val="007D5C0A"/>
    <w:rsid w:val="007D6833"/>
    <w:rsid w:val="007E2C96"/>
    <w:rsid w:val="007F1741"/>
    <w:rsid w:val="007F3F65"/>
    <w:rsid w:val="00800AFA"/>
    <w:rsid w:val="00811541"/>
    <w:rsid w:val="00815566"/>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39DF"/>
    <w:rsid w:val="00880D27"/>
    <w:rsid w:val="008822F4"/>
    <w:rsid w:val="008847A2"/>
    <w:rsid w:val="00885853"/>
    <w:rsid w:val="00885DEB"/>
    <w:rsid w:val="0089228F"/>
    <w:rsid w:val="00895275"/>
    <w:rsid w:val="008A0B64"/>
    <w:rsid w:val="008A3AF2"/>
    <w:rsid w:val="008A42AF"/>
    <w:rsid w:val="008A766A"/>
    <w:rsid w:val="008B1B81"/>
    <w:rsid w:val="008B23D4"/>
    <w:rsid w:val="008B29A3"/>
    <w:rsid w:val="008B38BA"/>
    <w:rsid w:val="008B6594"/>
    <w:rsid w:val="008B72B5"/>
    <w:rsid w:val="008C3B31"/>
    <w:rsid w:val="008C5291"/>
    <w:rsid w:val="008C7431"/>
    <w:rsid w:val="008D1E1F"/>
    <w:rsid w:val="008D245B"/>
    <w:rsid w:val="008D5137"/>
    <w:rsid w:val="008D5A95"/>
    <w:rsid w:val="008E1713"/>
    <w:rsid w:val="008E2308"/>
    <w:rsid w:val="008E2334"/>
    <w:rsid w:val="008E31D2"/>
    <w:rsid w:val="008E5F2A"/>
    <w:rsid w:val="008E6502"/>
    <w:rsid w:val="008E7AA2"/>
    <w:rsid w:val="008F141B"/>
    <w:rsid w:val="008F258A"/>
    <w:rsid w:val="008F4C53"/>
    <w:rsid w:val="008F69BB"/>
    <w:rsid w:val="008F77A7"/>
    <w:rsid w:val="008F78F4"/>
    <w:rsid w:val="00900126"/>
    <w:rsid w:val="00901394"/>
    <w:rsid w:val="0090481E"/>
    <w:rsid w:val="0091224C"/>
    <w:rsid w:val="0091488F"/>
    <w:rsid w:val="00915932"/>
    <w:rsid w:val="00916947"/>
    <w:rsid w:val="009171F1"/>
    <w:rsid w:val="00917C1A"/>
    <w:rsid w:val="00925DF3"/>
    <w:rsid w:val="00927B9D"/>
    <w:rsid w:val="00940959"/>
    <w:rsid w:val="00944B89"/>
    <w:rsid w:val="00950DEA"/>
    <w:rsid w:val="009549B6"/>
    <w:rsid w:val="00957C49"/>
    <w:rsid w:val="0096027F"/>
    <w:rsid w:val="00967ED1"/>
    <w:rsid w:val="009702CD"/>
    <w:rsid w:val="00970632"/>
    <w:rsid w:val="009707F9"/>
    <w:rsid w:val="00973F63"/>
    <w:rsid w:val="00973F8C"/>
    <w:rsid w:val="0097401A"/>
    <w:rsid w:val="009742BF"/>
    <w:rsid w:val="00977B9E"/>
    <w:rsid w:val="00981F4F"/>
    <w:rsid w:val="00984022"/>
    <w:rsid w:val="009845C6"/>
    <w:rsid w:val="00987CDC"/>
    <w:rsid w:val="00993B8B"/>
    <w:rsid w:val="00995048"/>
    <w:rsid w:val="00997D4D"/>
    <w:rsid w:val="009A6BB8"/>
    <w:rsid w:val="009A7E9E"/>
    <w:rsid w:val="009B2E48"/>
    <w:rsid w:val="009C05D5"/>
    <w:rsid w:val="009C60EA"/>
    <w:rsid w:val="009D3405"/>
    <w:rsid w:val="009E324F"/>
    <w:rsid w:val="009E4F34"/>
    <w:rsid w:val="009E70EF"/>
    <w:rsid w:val="009F0F87"/>
    <w:rsid w:val="009F4079"/>
    <w:rsid w:val="00A04388"/>
    <w:rsid w:val="00A10CC9"/>
    <w:rsid w:val="00A10F85"/>
    <w:rsid w:val="00A25022"/>
    <w:rsid w:val="00A2540F"/>
    <w:rsid w:val="00A3059E"/>
    <w:rsid w:val="00A3080D"/>
    <w:rsid w:val="00A321D8"/>
    <w:rsid w:val="00A33BC0"/>
    <w:rsid w:val="00A37001"/>
    <w:rsid w:val="00A37C74"/>
    <w:rsid w:val="00A41E84"/>
    <w:rsid w:val="00A44A4F"/>
    <w:rsid w:val="00A44F86"/>
    <w:rsid w:val="00A47015"/>
    <w:rsid w:val="00A52E52"/>
    <w:rsid w:val="00A57560"/>
    <w:rsid w:val="00A677A0"/>
    <w:rsid w:val="00A7428A"/>
    <w:rsid w:val="00A757B8"/>
    <w:rsid w:val="00A808F6"/>
    <w:rsid w:val="00A81AA1"/>
    <w:rsid w:val="00A81EFF"/>
    <w:rsid w:val="00A82899"/>
    <w:rsid w:val="00A838B7"/>
    <w:rsid w:val="00A85E54"/>
    <w:rsid w:val="00A93AEC"/>
    <w:rsid w:val="00A942ED"/>
    <w:rsid w:val="00A9431A"/>
    <w:rsid w:val="00A94C24"/>
    <w:rsid w:val="00A96BEA"/>
    <w:rsid w:val="00AA0A42"/>
    <w:rsid w:val="00AA13EF"/>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7741"/>
    <w:rsid w:val="00B10BAD"/>
    <w:rsid w:val="00B11BA8"/>
    <w:rsid w:val="00B15ABA"/>
    <w:rsid w:val="00B15BA9"/>
    <w:rsid w:val="00B20E35"/>
    <w:rsid w:val="00B20FBD"/>
    <w:rsid w:val="00B255FC"/>
    <w:rsid w:val="00B334D3"/>
    <w:rsid w:val="00B34FDB"/>
    <w:rsid w:val="00B36811"/>
    <w:rsid w:val="00B368D9"/>
    <w:rsid w:val="00B421E3"/>
    <w:rsid w:val="00B42F5C"/>
    <w:rsid w:val="00B43C47"/>
    <w:rsid w:val="00B45AA1"/>
    <w:rsid w:val="00B52C5F"/>
    <w:rsid w:val="00B540ED"/>
    <w:rsid w:val="00B5516A"/>
    <w:rsid w:val="00B6042B"/>
    <w:rsid w:val="00B62C09"/>
    <w:rsid w:val="00B62C30"/>
    <w:rsid w:val="00B63298"/>
    <w:rsid w:val="00B63DFA"/>
    <w:rsid w:val="00B75D39"/>
    <w:rsid w:val="00B760DF"/>
    <w:rsid w:val="00B77867"/>
    <w:rsid w:val="00B82D41"/>
    <w:rsid w:val="00B8400F"/>
    <w:rsid w:val="00B85DCB"/>
    <w:rsid w:val="00B85FE2"/>
    <w:rsid w:val="00B90A6B"/>
    <w:rsid w:val="00B922A7"/>
    <w:rsid w:val="00B93B4B"/>
    <w:rsid w:val="00B977A0"/>
    <w:rsid w:val="00BA07C4"/>
    <w:rsid w:val="00BA2CDD"/>
    <w:rsid w:val="00BA3D9B"/>
    <w:rsid w:val="00BA76BC"/>
    <w:rsid w:val="00BA7FED"/>
    <w:rsid w:val="00BB73A0"/>
    <w:rsid w:val="00BC2B9C"/>
    <w:rsid w:val="00BC3ECF"/>
    <w:rsid w:val="00BD3682"/>
    <w:rsid w:val="00BD446E"/>
    <w:rsid w:val="00BD765F"/>
    <w:rsid w:val="00BE5F05"/>
    <w:rsid w:val="00BF063E"/>
    <w:rsid w:val="00BF127F"/>
    <w:rsid w:val="00BF58B6"/>
    <w:rsid w:val="00BF7536"/>
    <w:rsid w:val="00BF7E13"/>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5346"/>
    <w:rsid w:val="00C61496"/>
    <w:rsid w:val="00C64FEE"/>
    <w:rsid w:val="00C65E25"/>
    <w:rsid w:val="00C76E90"/>
    <w:rsid w:val="00C824F5"/>
    <w:rsid w:val="00C87B22"/>
    <w:rsid w:val="00C93774"/>
    <w:rsid w:val="00C9483A"/>
    <w:rsid w:val="00C97E2F"/>
    <w:rsid w:val="00CA11AB"/>
    <w:rsid w:val="00CA6397"/>
    <w:rsid w:val="00CB4D3D"/>
    <w:rsid w:val="00CD4A0C"/>
    <w:rsid w:val="00CD5508"/>
    <w:rsid w:val="00CD6E52"/>
    <w:rsid w:val="00CE02E7"/>
    <w:rsid w:val="00CE0A36"/>
    <w:rsid w:val="00CE1E70"/>
    <w:rsid w:val="00CE28B2"/>
    <w:rsid w:val="00CE3E00"/>
    <w:rsid w:val="00CE4484"/>
    <w:rsid w:val="00CE4D9C"/>
    <w:rsid w:val="00CE4E11"/>
    <w:rsid w:val="00CE570E"/>
    <w:rsid w:val="00CE6EDD"/>
    <w:rsid w:val="00CE7B9E"/>
    <w:rsid w:val="00CE7F2E"/>
    <w:rsid w:val="00CF2225"/>
    <w:rsid w:val="00CF67BE"/>
    <w:rsid w:val="00CF7534"/>
    <w:rsid w:val="00D02349"/>
    <w:rsid w:val="00D03119"/>
    <w:rsid w:val="00D03A97"/>
    <w:rsid w:val="00D04257"/>
    <w:rsid w:val="00D04820"/>
    <w:rsid w:val="00D06633"/>
    <w:rsid w:val="00D06A93"/>
    <w:rsid w:val="00D11960"/>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1E4B"/>
    <w:rsid w:val="00D63209"/>
    <w:rsid w:val="00D63ECA"/>
    <w:rsid w:val="00D650BD"/>
    <w:rsid w:val="00D701A0"/>
    <w:rsid w:val="00D73682"/>
    <w:rsid w:val="00D83B62"/>
    <w:rsid w:val="00D83C96"/>
    <w:rsid w:val="00D871FE"/>
    <w:rsid w:val="00D93823"/>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5946"/>
    <w:rsid w:val="00DE63BC"/>
    <w:rsid w:val="00DF0102"/>
    <w:rsid w:val="00DF49ED"/>
    <w:rsid w:val="00DF6135"/>
    <w:rsid w:val="00DF71DB"/>
    <w:rsid w:val="00DF762C"/>
    <w:rsid w:val="00E00E7D"/>
    <w:rsid w:val="00E0407B"/>
    <w:rsid w:val="00E047E4"/>
    <w:rsid w:val="00E13BDA"/>
    <w:rsid w:val="00E1404D"/>
    <w:rsid w:val="00E14337"/>
    <w:rsid w:val="00E155F4"/>
    <w:rsid w:val="00E204FA"/>
    <w:rsid w:val="00E220C0"/>
    <w:rsid w:val="00E25932"/>
    <w:rsid w:val="00E30E59"/>
    <w:rsid w:val="00E31041"/>
    <w:rsid w:val="00E329D8"/>
    <w:rsid w:val="00E4531D"/>
    <w:rsid w:val="00E45CC6"/>
    <w:rsid w:val="00E45EB0"/>
    <w:rsid w:val="00E57CED"/>
    <w:rsid w:val="00E6268C"/>
    <w:rsid w:val="00E63D88"/>
    <w:rsid w:val="00E65BC8"/>
    <w:rsid w:val="00E724C0"/>
    <w:rsid w:val="00E74FD7"/>
    <w:rsid w:val="00E83054"/>
    <w:rsid w:val="00E9198F"/>
    <w:rsid w:val="00E92A9B"/>
    <w:rsid w:val="00E944C0"/>
    <w:rsid w:val="00E9545F"/>
    <w:rsid w:val="00E97B95"/>
    <w:rsid w:val="00EA13A0"/>
    <w:rsid w:val="00EA148A"/>
    <w:rsid w:val="00EA172F"/>
    <w:rsid w:val="00EA1984"/>
    <w:rsid w:val="00EA479A"/>
    <w:rsid w:val="00EA5015"/>
    <w:rsid w:val="00EA5EA3"/>
    <w:rsid w:val="00EB13DC"/>
    <w:rsid w:val="00EB6037"/>
    <w:rsid w:val="00EB78BF"/>
    <w:rsid w:val="00EC1E57"/>
    <w:rsid w:val="00EC4285"/>
    <w:rsid w:val="00EC61BE"/>
    <w:rsid w:val="00EC76D4"/>
    <w:rsid w:val="00ED391C"/>
    <w:rsid w:val="00ED3D7F"/>
    <w:rsid w:val="00ED3F4B"/>
    <w:rsid w:val="00ED78C7"/>
    <w:rsid w:val="00EE44BA"/>
    <w:rsid w:val="00EE478D"/>
    <w:rsid w:val="00EF4B30"/>
    <w:rsid w:val="00EF590C"/>
    <w:rsid w:val="00F00806"/>
    <w:rsid w:val="00F01767"/>
    <w:rsid w:val="00F0420F"/>
    <w:rsid w:val="00F04743"/>
    <w:rsid w:val="00F0587F"/>
    <w:rsid w:val="00F13890"/>
    <w:rsid w:val="00F15802"/>
    <w:rsid w:val="00F1631F"/>
    <w:rsid w:val="00F21365"/>
    <w:rsid w:val="00F22291"/>
    <w:rsid w:val="00F233B8"/>
    <w:rsid w:val="00F2406D"/>
    <w:rsid w:val="00F24DDE"/>
    <w:rsid w:val="00F302D9"/>
    <w:rsid w:val="00F30460"/>
    <w:rsid w:val="00F33401"/>
    <w:rsid w:val="00F36213"/>
    <w:rsid w:val="00F37D49"/>
    <w:rsid w:val="00F4190F"/>
    <w:rsid w:val="00F42167"/>
    <w:rsid w:val="00F47068"/>
    <w:rsid w:val="00F51EB4"/>
    <w:rsid w:val="00F65326"/>
    <w:rsid w:val="00F67C37"/>
    <w:rsid w:val="00F73A48"/>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C1048"/>
    <w:rsid w:val="00FD4D0F"/>
    <w:rsid w:val="00FD6553"/>
    <w:rsid w:val="00FD6BED"/>
    <w:rsid w:val="00FD7C82"/>
    <w:rsid w:val="00FE304E"/>
    <w:rsid w:val="00FE5799"/>
    <w:rsid w:val="00FE5E61"/>
    <w:rsid w:val="00FE6E6F"/>
    <w:rsid w:val="00FF4A6B"/>
    <w:rsid w:val="00FF4D4A"/>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6D0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5.bin"/><Relationship Id="rId117" Type="http://schemas.openxmlformats.org/officeDocument/2006/relationships/oleObject" Target="embeddings/oleObject86.bin"/><Relationship Id="rId21" Type="http://schemas.openxmlformats.org/officeDocument/2006/relationships/oleObject" Target="embeddings/oleObject10.bin"/><Relationship Id="rId42" Type="http://schemas.openxmlformats.org/officeDocument/2006/relationships/image" Target="media/image8.wmf"/><Relationship Id="rId47" Type="http://schemas.openxmlformats.org/officeDocument/2006/relationships/oleObject" Target="embeddings/oleObject31.bin"/><Relationship Id="rId63" Type="http://schemas.openxmlformats.org/officeDocument/2006/relationships/image" Target="media/image14.wmf"/><Relationship Id="rId68" Type="http://schemas.openxmlformats.org/officeDocument/2006/relationships/oleObject" Target="embeddings/oleObject46.bin"/><Relationship Id="rId84" Type="http://schemas.openxmlformats.org/officeDocument/2006/relationships/oleObject" Target="embeddings/oleObject57.bin"/><Relationship Id="rId89" Type="http://schemas.openxmlformats.org/officeDocument/2006/relationships/oleObject" Target="embeddings/oleObject62.bin"/><Relationship Id="rId112" Type="http://schemas.openxmlformats.org/officeDocument/2006/relationships/oleObject" Target="embeddings/oleObject81.bin"/><Relationship Id="rId133" Type="http://schemas.openxmlformats.org/officeDocument/2006/relationships/oleObject" Target="embeddings/oleObject102.bin"/><Relationship Id="rId138" Type="http://schemas.openxmlformats.org/officeDocument/2006/relationships/oleObject" Target="embeddings/oleObject107.bin"/><Relationship Id="rId16" Type="http://schemas.openxmlformats.org/officeDocument/2006/relationships/oleObject" Target="embeddings/oleObject5.bin"/><Relationship Id="rId107" Type="http://schemas.openxmlformats.org/officeDocument/2006/relationships/oleObject" Target="embeddings/oleObject78.bin"/><Relationship Id="rId11" Type="http://schemas.openxmlformats.org/officeDocument/2006/relationships/oleObject" Target="embeddings/oleObject2.bin"/><Relationship Id="rId32" Type="http://schemas.openxmlformats.org/officeDocument/2006/relationships/oleObject" Target="embeddings/oleObject21.bin"/><Relationship Id="rId37" Type="http://schemas.openxmlformats.org/officeDocument/2006/relationships/oleObject" Target="embeddings/oleObject26.bin"/><Relationship Id="rId53" Type="http://schemas.openxmlformats.org/officeDocument/2006/relationships/oleObject" Target="embeddings/oleObject36.bin"/><Relationship Id="rId58" Type="http://schemas.openxmlformats.org/officeDocument/2006/relationships/image" Target="media/image13.wmf"/><Relationship Id="rId74" Type="http://schemas.openxmlformats.org/officeDocument/2006/relationships/image" Target="media/image19.wmf"/><Relationship Id="rId79" Type="http://schemas.openxmlformats.org/officeDocument/2006/relationships/image" Target="media/image21.wmf"/><Relationship Id="rId102" Type="http://schemas.openxmlformats.org/officeDocument/2006/relationships/oleObject" Target="embeddings/oleObject73.bin"/><Relationship Id="rId123" Type="http://schemas.openxmlformats.org/officeDocument/2006/relationships/oleObject" Target="embeddings/oleObject92.bin"/><Relationship Id="rId128" Type="http://schemas.openxmlformats.org/officeDocument/2006/relationships/oleObject" Target="embeddings/oleObject97.bin"/><Relationship Id="rId144"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oleObject" Target="embeddings/oleObject63.bin"/><Relationship Id="rId95" Type="http://schemas.openxmlformats.org/officeDocument/2006/relationships/image" Target="media/image22.wmf"/><Relationship Id="rId22" Type="http://schemas.openxmlformats.org/officeDocument/2006/relationships/oleObject" Target="embeddings/oleObject11.bin"/><Relationship Id="rId27" Type="http://schemas.openxmlformats.org/officeDocument/2006/relationships/oleObject" Target="embeddings/oleObject16.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7.bin"/><Relationship Id="rId113" Type="http://schemas.openxmlformats.org/officeDocument/2006/relationships/oleObject" Target="embeddings/oleObject82.bin"/><Relationship Id="rId118" Type="http://schemas.openxmlformats.org/officeDocument/2006/relationships/oleObject" Target="embeddings/oleObject87.bin"/><Relationship Id="rId134" Type="http://schemas.openxmlformats.org/officeDocument/2006/relationships/oleObject" Target="embeddings/oleObject103.bin"/><Relationship Id="rId139" Type="http://schemas.openxmlformats.org/officeDocument/2006/relationships/oleObject" Target="embeddings/oleObject108.bin"/><Relationship Id="rId80" Type="http://schemas.openxmlformats.org/officeDocument/2006/relationships/oleObject" Target="embeddings/oleObject53.bin"/><Relationship Id="rId85" Type="http://schemas.openxmlformats.org/officeDocument/2006/relationships/oleObject" Target="embeddings/oleObject58.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image" Target="media/image6.wmf"/><Relationship Id="rId46" Type="http://schemas.openxmlformats.org/officeDocument/2006/relationships/image" Target="media/image10.wmf"/><Relationship Id="rId59" Type="http://schemas.openxmlformats.org/officeDocument/2006/relationships/oleObject" Target="embeddings/oleObject40.bin"/><Relationship Id="rId67" Type="http://schemas.openxmlformats.org/officeDocument/2006/relationships/image" Target="media/image16.wmf"/><Relationship Id="rId103" Type="http://schemas.openxmlformats.org/officeDocument/2006/relationships/oleObject" Target="embeddings/oleObject74.bin"/><Relationship Id="rId108" Type="http://schemas.openxmlformats.org/officeDocument/2006/relationships/image" Target="media/image24.wmf"/><Relationship Id="rId116" Type="http://schemas.openxmlformats.org/officeDocument/2006/relationships/oleObject" Target="embeddings/oleObject85.bin"/><Relationship Id="rId124" Type="http://schemas.openxmlformats.org/officeDocument/2006/relationships/oleObject" Target="embeddings/oleObject93.bin"/><Relationship Id="rId129" Type="http://schemas.openxmlformats.org/officeDocument/2006/relationships/oleObject" Target="embeddings/oleObject98.bin"/><Relationship Id="rId137" Type="http://schemas.openxmlformats.org/officeDocument/2006/relationships/oleObject" Target="embeddings/oleObject106.bin"/><Relationship Id="rId20" Type="http://schemas.openxmlformats.org/officeDocument/2006/relationships/oleObject" Target="embeddings/oleObject9.bin"/><Relationship Id="rId41" Type="http://schemas.openxmlformats.org/officeDocument/2006/relationships/oleObject" Target="embeddings/oleObject28.bin"/><Relationship Id="rId54" Type="http://schemas.openxmlformats.org/officeDocument/2006/relationships/image" Target="media/image12.wmf"/><Relationship Id="rId62" Type="http://schemas.openxmlformats.org/officeDocument/2006/relationships/oleObject" Target="embeddings/oleObject43.bin"/><Relationship Id="rId70" Type="http://schemas.openxmlformats.org/officeDocument/2006/relationships/image" Target="media/image17.wmf"/><Relationship Id="rId75" Type="http://schemas.openxmlformats.org/officeDocument/2006/relationships/oleObject" Target="embeddings/oleObject50.bin"/><Relationship Id="rId83" Type="http://schemas.openxmlformats.org/officeDocument/2006/relationships/oleObject" Target="embeddings/oleObject56.bin"/><Relationship Id="rId88" Type="http://schemas.openxmlformats.org/officeDocument/2006/relationships/oleObject" Target="embeddings/oleObject61.bin"/><Relationship Id="rId91" Type="http://schemas.openxmlformats.org/officeDocument/2006/relationships/oleObject" Target="embeddings/oleObject64.bin"/><Relationship Id="rId96" Type="http://schemas.openxmlformats.org/officeDocument/2006/relationships/oleObject" Target="embeddings/oleObject68.bin"/><Relationship Id="rId111" Type="http://schemas.openxmlformats.org/officeDocument/2006/relationships/oleObject" Target="embeddings/oleObject80.bin"/><Relationship Id="rId132" Type="http://schemas.openxmlformats.org/officeDocument/2006/relationships/oleObject" Target="embeddings/oleObject101.bin"/><Relationship Id="rId140" Type="http://schemas.openxmlformats.org/officeDocument/2006/relationships/oleObject" Target="embeddings/oleObject109.bin"/><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49" Type="http://schemas.openxmlformats.org/officeDocument/2006/relationships/oleObject" Target="embeddings/oleObject33.bin"/><Relationship Id="rId57" Type="http://schemas.openxmlformats.org/officeDocument/2006/relationships/oleObject" Target="embeddings/oleObject39.bin"/><Relationship Id="rId106" Type="http://schemas.openxmlformats.org/officeDocument/2006/relationships/oleObject" Target="embeddings/oleObject77.bin"/><Relationship Id="rId114" Type="http://schemas.openxmlformats.org/officeDocument/2006/relationships/oleObject" Target="embeddings/oleObject83.bin"/><Relationship Id="rId119" Type="http://schemas.openxmlformats.org/officeDocument/2006/relationships/oleObject" Target="embeddings/oleObject88.bin"/><Relationship Id="rId127" Type="http://schemas.openxmlformats.org/officeDocument/2006/relationships/oleObject" Target="embeddings/oleObject96.bin"/><Relationship Id="rId10" Type="http://schemas.openxmlformats.org/officeDocument/2006/relationships/image" Target="media/image3.wmf"/><Relationship Id="rId31" Type="http://schemas.openxmlformats.org/officeDocument/2006/relationships/oleObject" Target="embeddings/oleObject20.bin"/><Relationship Id="rId44" Type="http://schemas.openxmlformats.org/officeDocument/2006/relationships/image" Target="media/image9.wmf"/><Relationship Id="rId52" Type="http://schemas.openxmlformats.org/officeDocument/2006/relationships/oleObject" Target="embeddings/oleObject35.bin"/><Relationship Id="rId60" Type="http://schemas.openxmlformats.org/officeDocument/2006/relationships/oleObject" Target="embeddings/oleObject41.bin"/><Relationship Id="rId65" Type="http://schemas.openxmlformats.org/officeDocument/2006/relationships/image" Target="media/image15.wmf"/><Relationship Id="rId73" Type="http://schemas.openxmlformats.org/officeDocument/2006/relationships/oleObject" Target="embeddings/oleObject49.bin"/><Relationship Id="rId78" Type="http://schemas.openxmlformats.org/officeDocument/2006/relationships/oleObject" Target="embeddings/oleObject52.bin"/><Relationship Id="rId81" Type="http://schemas.openxmlformats.org/officeDocument/2006/relationships/oleObject" Target="embeddings/oleObject54.bin"/><Relationship Id="rId86" Type="http://schemas.openxmlformats.org/officeDocument/2006/relationships/oleObject" Target="embeddings/oleObject59.bin"/><Relationship Id="rId94" Type="http://schemas.openxmlformats.org/officeDocument/2006/relationships/oleObject" Target="embeddings/oleObject67.bin"/><Relationship Id="rId99" Type="http://schemas.openxmlformats.org/officeDocument/2006/relationships/oleObject" Target="embeddings/oleObject70.bin"/><Relationship Id="rId101" Type="http://schemas.openxmlformats.org/officeDocument/2006/relationships/oleObject" Target="embeddings/oleObject72.bin"/><Relationship Id="rId122" Type="http://schemas.openxmlformats.org/officeDocument/2006/relationships/oleObject" Target="embeddings/oleObject91.bin"/><Relationship Id="rId130" Type="http://schemas.openxmlformats.org/officeDocument/2006/relationships/oleObject" Target="embeddings/oleObject99.bin"/><Relationship Id="rId135" Type="http://schemas.openxmlformats.org/officeDocument/2006/relationships/oleObject" Target="embeddings/oleObject104.bin"/><Relationship Id="rId143"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oleObject" Target="embeddings/oleObject27.bin"/><Relationship Id="rId109" Type="http://schemas.openxmlformats.org/officeDocument/2006/relationships/oleObject" Target="embeddings/oleObject79.bin"/><Relationship Id="rId34" Type="http://schemas.openxmlformats.org/officeDocument/2006/relationships/oleObject" Target="embeddings/oleObject23.bin"/><Relationship Id="rId50" Type="http://schemas.openxmlformats.org/officeDocument/2006/relationships/image" Target="media/image11.wmf"/><Relationship Id="rId55" Type="http://schemas.openxmlformats.org/officeDocument/2006/relationships/oleObject" Target="embeddings/oleObject37.bin"/><Relationship Id="rId76" Type="http://schemas.openxmlformats.org/officeDocument/2006/relationships/image" Target="media/image20.wmf"/><Relationship Id="rId97" Type="http://schemas.openxmlformats.org/officeDocument/2006/relationships/image" Target="media/image23.wmf"/><Relationship Id="rId104" Type="http://schemas.openxmlformats.org/officeDocument/2006/relationships/oleObject" Target="embeddings/oleObject75.bin"/><Relationship Id="rId120" Type="http://schemas.openxmlformats.org/officeDocument/2006/relationships/oleObject" Target="embeddings/oleObject89.bin"/><Relationship Id="rId125" Type="http://schemas.openxmlformats.org/officeDocument/2006/relationships/oleObject" Target="embeddings/oleObject94.bin"/><Relationship Id="rId141" Type="http://schemas.openxmlformats.org/officeDocument/2006/relationships/oleObject" Target="embeddings/oleObject110.bin"/><Relationship Id="rId7" Type="http://schemas.openxmlformats.org/officeDocument/2006/relationships/image" Target="media/image1.png"/><Relationship Id="rId71" Type="http://schemas.openxmlformats.org/officeDocument/2006/relationships/oleObject" Target="embeddings/oleObject48.bin"/><Relationship Id="rId92" Type="http://schemas.openxmlformats.org/officeDocument/2006/relationships/oleObject" Target="embeddings/oleObject65.bin"/><Relationship Id="rId2" Type="http://schemas.openxmlformats.org/officeDocument/2006/relationships/styles" Target="styles.xml"/><Relationship Id="rId29" Type="http://schemas.openxmlformats.org/officeDocument/2006/relationships/oleObject" Target="embeddings/oleObject18.bin"/><Relationship Id="rId24" Type="http://schemas.openxmlformats.org/officeDocument/2006/relationships/oleObject" Target="embeddings/oleObject13.bin"/><Relationship Id="rId40" Type="http://schemas.openxmlformats.org/officeDocument/2006/relationships/image" Target="media/image7.wmf"/><Relationship Id="rId45" Type="http://schemas.openxmlformats.org/officeDocument/2006/relationships/oleObject" Target="embeddings/oleObject30.bin"/><Relationship Id="rId66" Type="http://schemas.openxmlformats.org/officeDocument/2006/relationships/oleObject" Target="embeddings/oleObject45.bin"/><Relationship Id="rId87" Type="http://schemas.openxmlformats.org/officeDocument/2006/relationships/oleObject" Target="embeddings/oleObject60.bin"/><Relationship Id="rId110" Type="http://schemas.openxmlformats.org/officeDocument/2006/relationships/image" Target="media/image25.wmf"/><Relationship Id="rId115" Type="http://schemas.openxmlformats.org/officeDocument/2006/relationships/oleObject" Target="embeddings/oleObject84.bin"/><Relationship Id="rId131" Type="http://schemas.openxmlformats.org/officeDocument/2006/relationships/oleObject" Target="embeddings/oleObject100.bin"/><Relationship Id="rId136" Type="http://schemas.openxmlformats.org/officeDocument/2006/relationships/oleObject" Target="embeddings/oleObject105.bin"/><Relationship Id="rId61" Type="http://schemas.openxmlformats.org/officeDocument/2006/relationships/oleObject" Target="embeddings/oleObject42.bin"/><Relationship Id="rId82" Type="http://schemas.openxmlformats.org/officeDocument/2006/relationships/oleObject" Target="embeddings/oleObject55.bin"/><Relationship Id="rId19" Type="http://schemas.openxmlformats.org/officeDocument/2006/relationships/oleObject" Target="embeddings/oleObject8.bin"/><Relationship Id="rId14" Type="http://schemas.openxmlformats.org/officeDocument/2006/relationships/image" Target="media/image5.wmf"/><Relationship Id="rId30" Type="http://schemas.openxmlformats.org/officeDocument/2006/relationships/oleObject" Target="embeddings/oleObject19.bin"/><Relationship Id="rId35" Type="http://schemas.openxmlformats.org/officeDocument/2006/relationships/oleObject" Target="embeddings/oleObject24.bin"/><Relationship Id="rId56" Type="http://schemas.openxmlformats.org/officeDocument/2006/relationships/oleObject" Target="embeddings/oleObject38.bin"/><Relationship Id="rId77" Type="http://schemas.openxmlformats.org/officeDocument/2006/relationships/oleObject" Target="embeddings/oleObject51.bin"/><Relationship Id="rId100" Type="http://schemas.openxmlformats.org/officeDocument/2006/relationships/oleObject" Target="embeddings/oleObject71.bin"/><Relationship Id="rId105" Type="http://schemas.openxmlformats.org/officeDocument/2006/relationships/oleObject" Target="embeddings/oleObject76.bin"/><Relationship Id="rId126" Type="http://schemas.openxmlformats.org/officeDocument/2006/relationships/oleObject" Target="embeddings/oleObject95.bin"/><Relationship Id="rId8" Type="http://schemas.openxmlformats.org/officeDocument/2006/relationships/image" Target="media/image2.wmf"/><Relationship Id="rId51" Type="http://schemas.openxmlformats.org/officeDocument/2006/relationships/oleObject" Target="embeddings/oleObject34.bin"/><Relationship Id="rId72" Type="http://schemas.openxmlformats.org/officeDocument/2006/relationships/image" Target="media/image18.wmf"/><Relationship Id="rId93" Type="http://schemas.openxmlformats.org/officeDocument/2006/relationships/oleObject" Target="embeddings/oleObject66.bin"/><Relationship Id="rId98" Type="http://schemas.openxmlformats.org/officeDocument/2006/relationships/oleObject" Target="embeddings/oleObject69.bin"/><Relationship Id="rId121" Type="http://schemas.openxmlformats.org/officeDocument/2006/relationships/oleObject" Target="embeddings/oleObject90.bin"/><Relationship Id="rId142" Type="http://schemas.openxmlformats.org/officeDocument/2006/relationships/oleObject" Target="embeddings/oleObject1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2450</Words>
  <Characters>13968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2018-08-11T04:43:00Z</dcterms:created>
  <dcterms:modified xsi:type="dcterms:W3CDTF">2018-08-11T04:43:00Z</dcterms:modified>
</cp:coreProperties>
</file>