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63A" w:rsidRPr="00CB3E1A" w:rsidRDefault="0079063A" w:rsidP="0079063A">
      <w:pPr>
        <w:pStyle w:val="Header"/>
        <w:widowControl w:val="0"/>
        <w:rPr>
          <w:rFonts w:ascii="Arial" w:hAnsi="Arial" w:cs="Arial"/>
          <w:b/>
          <w:bCs/>
          <w:lang w:eastAsia="zh-CN"/>
        </w:rPr>
      </w:pPr>
      <w:bookmarkStart w:id="0" w:name="_GoBack"/>
      <w:bookmarkEnd w:id="0"/>
      <w:r w:rsidRPr="00E34DDA">
        <w:rPr>
          <w:rFonts w:ascii="Arial" w:hAnsi="Arial" w:cs="Arial"/>
          <w:b/>
          <w:bCs/>
          <w:lang w:val="en-GB"/>
        </w:rPr>
        <w:t xml:space="preserve">3GPP TSG RAN WG1 </w:t>
      </w:r>
      <w:r>
        <w:rPr>
          <w:rFonts w:ascii="Arial" w:hAnsi="Arial" w:cs="Arial"/>
          <w:b/>
          <w:bCs/>
          <w:lang w:val="en-GB"/>
        </w:rPr>
        <w:t xml:space="preserve">Meeting </w:t>
      </w:r>
      <w:r w:rsidRPr="00DE124B">
        <w:rPr>
          <w:rFonts w:ascii="Arial" w:hAnsi="Arial" w:cs="Arial"/>
          <w:b/>
          <w:bCs/>
          <w:lang w:val="en-GB"/>
        </w:rPr>
        <w:t>9</w:t>
      </w:r>
      <w:r>
        <w:rPr>
          <w:rFonts w:ascii="Arial" w:hAnsi="Arial" w:cs="Arial"/>
          <w:b/>
          <w:bCs/>
          <w:lang w:val="en-GB"/>
        </w:rPr>
        <w:t xml:space="preserve">4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8</w:t>
      </w:r>
      <w:r w:rsidR="009B2A64">
        <w:rPr>
          <w:rFonts w:ascii="Arial" w:hAnsi="Arial" w:cs="Arial"/>
          <w:b/>
          <w:bCs/>
        </w:rPr>
        <w:t>09315</w:t>
      </w:r>
    </w:p>
    <w:p w:rsidR="0079063A" w:rsidRPr="00111FEE" w:rsidRDefault="0079063A" w:rsidP="0079063A">
      <w:pPr>
        <w:pStyle w:val="Header"/>
        <w:widowControl w:val="0"/>
        <w:rPr>
          <w:rFonts w:ascii="Arial" w:hAnsi="Arial" w:cs="Arial"/>
          <w:b/>
          <w:bCs/>
          <w:lang w:val="en-GB"/>
        </w:rPr>
      </w:pPr>
      <w:r w:rsidRPr="0012546E">
        <w:rPr>
          <w:rFonts w:ascii="Arial" w:eastAsia="MS Mincho" w:hAnsi="Arial" w:cs="Arial"/>
          <w:b/>
          <w:bCs/>
          <w:lang w:eastAsia="ja-JP"/>
        </w:rPr>
        <w:t>Gothenburg, Sweden, August 20th – 24th, 2018</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7.2.2.4.2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sidR="0079063A">
        <w:rPr>
          <w:lang w:val="en-GB"/>
        </w:rPr>
        <w:t xml:space="preserve"> (CBRA)</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rsidTr="00200213">
        <w:tc>
          <w:tcPr>
            <w:tcW w:w="9533" w:type="dxa"/>
          </w:tcPr>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lastRenderedPageBreak/>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p>
    <w:p w:rsidR="00850DA9" w:rsidRPr="00B00AC9" w:rsidRDefault="00850DA9" w:rsidP="00904938">
      <w:pPr>
        <w:rPr>
          <w:b/>
          <w:lang w:val="en-GB"/>
        </w:rPr>
      </w:pPr>
      <w:r w:rsidRPr="00B00AC9">
        <w:rPr>
          <w:b/>
          <w:lang w:val="en-GB"/>
        </w:rPr>
        <w:t>Pr</w:t>
      </w:r>
      <w:r w:rsidR="0079063A">
        <w:rPr>
          <w:b/>
          <w:lang w:val="en-GB"/>
        </w:rPr>
        <w:t>oposal 1: A UE may perform CCA/</w:t>
      </w:r>
      <w:r w:rsidRPr="00B00AC9">
        <w:rPr>
          <w:b/>
          <w:lang w:val="en-GB"/>
        </w:rPr>
        <w:t>LBT on any configured BWP</w:t>
      </w:r>
      <w:r w:rsidR="00E00A8E">
        <w:rPr>
          <w:b/>
          <w:lang w:val="en-GB"/>
        </w:rPr>
        <w:t xml:space="preserve"> for PRACH transmission, if necessary</w:t>
      </w:r>
      <w:r w:rsidRPr="00B00AC9">
        <w:rPr>
          <w:b/>
          <w:lang w:val="en-GB"/>
        </w:rPr>
        <w:t>.</w:t>
      </w:r>
    </w:p>
    <w:p w:rsidR="00F37196" w:rsidRDefault="00B00AC9" w:rsidP="00BB152E">
      <w:pPr>
        <w:pStyle w:val="Heading2"/>
        <w:rPr>
          <w:lang w:val="en-GB"/>
        </w:rPr>
      </w:pPr>
      <w:r>
        <w:rPr>
          <w:lang w:val="en-GB"/>
        </w:rPr>
        <w:t>Msg2/ RAR</w:t>
      </w:r>
    </w:p>
    <w:p w:rsidR="0079063A" w:rsidRDefault="00BB152E" w:rsidP="00F37196">
      <w:pPr>
        <w:rPr>
          <w:b/>
          <w:lang w:val="en-GB"/>
        </w:rPr>
      </w:pPr>
      <w:r w:rsidRPr="00BB152E">
        <w:rPr>
          <w:lang w:val="en-GB"/>
        </w:rPr>
        <w:t>On similar lines it is helpful if the Msg2/ RAR could be transmitted by the gNB on any DL BWP where the CCA succeeds</w:t>
      </w:r>
      <w:r w:rsidR="000437C2">
        <w:rPr>
          <w:lang w:val="en-GB"/>
        </w:rPr>
        <w:t>, even if it is different from the linked BWP where Msg 1 occurred</w:t>
      </w:r>
      <w:r w:rsidRPr="00BB152E">
        <w:rPr>
          <w:lang w:val="en-GB"/>
        </w:rPr>
        <w:t>.</w:t>
      </w:r>
      <w:r w:rsidR="000437C2">
        <w:rPr>
          <w:lang w:val="en-GB"/>
        </w:rPr>
        <w:t xml:space="preserve"> Even though this is not applicable for initial access, it will be helpful e.g. in handover scenarios or PDCCH order where the UE can be aware of multiple BWPs and where the network knows which and how many active BWPs the UE can monitor.</w:t>
      </w:r>
    </w:p>
    <w:p w:rsidR="00BB152E" w:rsidRDefault="00BB152E" w:rsidP="00F37196">
      <w:pPr>
        <w:rPr>
          <w:b/>
          <w:lang w:val="en-GB"/>
        </w:rPr>
      </w:pPr>
      <w:r>
        <w:rPr>
          <w:b/>
          <w:lang w:val="en-GB"/>
        </w:rPr>
        <w:t xml:space="preserve">Proposal </w:t>
      </w:r>
      <w:r w:rsidR="00E00A8E">
        <w:rPr>
          <w:b/>
          <w:lang w:val="en-GB"/>
        </w:rPr>
        <w:t>2</w:t>
      </w:r>
      <w:r>
        <w:rPr>
          <w:b/>
          <w:lang w:val="en-GB"/>
        </w:rPr>
        <w:t xml:space="preserve">: </w:t>
      </w:r>
      <w:r w:rsidR="0079063A">
        <w:rPr>
          <w:b/>
          <w:lang w:val="en-GB"/>
        </w:rPr>
        <w:t>A</w:t>
      </w:r>
      <w:r>
        <w:rPr>
          <w:b/>
          <w:lang w:val="en-GB"/>
        </w:rPr>
        <w:t xml:space="preserve"> UE </w:t>
      </w:r>
      <w:r w:rsidR="0079063A">
        <w:rPr>
          <w:b/>
          <w:lang w:val="en-GB"/>
        </w:rPr>
        <w:t>should be able to</w:t>
      </w:r>
      <w:r>
        <w:rPr>
          <w:b/>
          <w:lang w:val="en-GB"/>
        </w:rPr>
        <w:t xml:space="preserve"> monitor more than one DL BWP during a corresp</w:t>
      </w:r>
      <w:r w:rsidR="0079063A">
        <w:rPr>
          <w:b/>
          <w:lang w:val="en-GB"/>
        </w:rPr>
        <w:t>onding RAR window for Msg 2.</w:t>
      </w:r>
      <w:r w:rsidR="000437C2">
        <w:rPr>
          <w:b/>
          <w:lang w:val="en-GB"/>
        </w:rPr>
        <w:t xml:space="preserve"> A gNB may transmit Msg 2 on any of the DL BWPs monitored by the UE.</w:t>
      </w:r>
    </w:p>
    <w:p w:rsidR="006F2CD3" w:rsidRDefault="006F2CD3" w:rsidP="006F2CD3">
      <w:pPr>
        <w:pStyle w:val="Heading2"/>
        <w:rPr>
          <w:lang w:val="en-GB"/>
        </w:rPr>
      </w:pPr>
      <w:r>
        <w:rPr>
          <w:lang w:val="en-GB"/>
        </w:rPr>
        <w:t>Msg3 transmission</w:t>
      </w:r>
    </w:p>
    <w:p w:rsidR="006F2CD3" w:rsidRDefault="006F2CD3" w:rsidP="006F2CD3">
      <w:pPr>
        <w:rPr>
          <w:lang w:val="en-GB"/>
        </w:rPr>
      </w:pPr>
      <w:r>
        <w:rPr>
          <w:lang w:val="en-GB"/>
        </w:rPr>
        <w:t>To have diversity in transmitting Msg3, the RAR</w:t>
      </w:r>
      <w:r w:rsidR="000437C2">
        <w:rPr>
          <w:lang w:val="en-GB"/>
        </w:rPr>
        <w:t xml:space="preserve"> Grant in</w:t>
      </w:r>
      <w:r>
        <w:rPr>
          <w:lang w:val="en-GB"/>
        </w:rPr>
        <w:t xml:space="preserve"> Msg2 may include UL resources for Msg3 transmission on more than </w:t>
      </w:r>
      <w:r w:rsidR="000437C2">
        <w:rPr>
          <w:lang w:val="en-GB"/>
        </w:rPr>
        <w:t>one</w:t>
      </w:r>
      <w:r>
        <w:rPr>
          <w:lang w:val="en-GB"/>
        </w:rPr>
        <w:t xml:space="preserve"> BW</w:t>
      </w:r>
      <w:r w:rsidR="000437C2">
        <w:rPr>
          <w:lang w:val="en-GB"/>
        </w:rPr>
        <w:t>P. The UE can then perform LBT/</w:t>
      </w:r>
      <w:r>
        <w:rPr>
          <w:lang w:val="en-GB"/>
        </w:rPr>
        <w:t>CCA on each of these and transmit Msg3 on a BWP where the CCA is successful.</w:t>
      </w:r>
    </w:p>
    <w:p w:rsidR="00920182" w:rsidRPr="00DB0651" w:rsidRDefault="00920182" w:rsidP="00920182">
      <w:pPr>
        <w:rPr>
          <w:b/>
          <w:lang w:val="en-GB"/>
        </w:rPr>
      </w:pPr>
      <w:r w:rsidRPr="00920182">
        <w:rPr>
          <w:b/>
          <w:lang w:val="en-GB"/>
        </w:rPr>
        <w:t xml:space="preserve">Proposal </w:t>
      </w:r>
      <w:r w:rsidR="00E00A8E">
        <w:rPr>
          <w:b/>
          <w:lang w:val="en-GB"/>
        </w:rPr>
        <w:t>3</w:t>
      </w:r>
      <w:r w:rsidRPr="00920182">
        <w:rPr>
          <w:b/>
          <w:lang w:val="en-GB"/>
        </w:rPr>
        <w:t xml:space="preserve">: </w:t>
      </w:r>
      <w:r w:rsidR="000437C2">
        <w:rPr>
          <w:b/>
          <w:lang w:val="en-GB"/>
        </w:rPr>
        <w:t xml:space="preserve">The </w:t>
      </w:r>
      <w:r w:rsidRPr="00920182">
        <w:rPr>
          <w:b/>
          <w:lang w:val="en-GB"/>
        </w:rPr>
        <w:t xml:space="preserve">RAR </w:t>
      </w:r>
      <w:r w:rsidR="000437C2">
        <w:rPr>
          <w:b/>
          <w:lang w:val="en-GB"/>
        </w:rPr>
        <w:t xml:space="preserve">Grant </w:t>
      </w:r>
      <w:r w:rsidRPr="00920182">
        <w:rPr>
          <w:b/>
          <w:lang w:val="en-GB"/>
        </w:rPr>
        <w:t>may in</w:t>
      </w:r>
      <w:r w:rsidR="000437C2">
        <w:rPr>
          <w:b/>
          <w:lang w:val="en-GB"/>
        </w:rPr>
        <w:t>dicate</w:t>
      </w:r>
      <w:r w:rsidRPr="00920182">
        <w:rPr>
          <w:b/>
          <w:lang w:val="en-GB"/>
        </w:rPr>
        <w:t xml:space="preserve"> different UL BWP</w:t>
      </w:r>
      <w:r w:rsidR="000437C2">
        <w:rPr>
          <w:b/>
          <w:lang w:val="en-GB"/>
        </w:rPr>
        <w:t>s for Msg 3</w:t>
      </w:r>
      <w:r w:rsidRPr="00920182">
        <w:rPr>
          <w:b/>
          <w:lang w:val="en-GB"/>
        </w:rPr>
        <w:t>.</w:t>
      </w:r>
    </w:p>
    <w:p w:rsidR="001643EF" w:rsidRDefault="00E00A8E" w:rsidP="00305664">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Proposals</w:t>
      </w:r>
    </w:p>
    <w:p w:rsidR="00E00A8E" w:rsidRPr="00E00A8E" w:rsidRDefault="00E00A8E" w:rsidP="00E00A8E">
      <w:pPr>
        <w:rPr>
          <w:lang w:val="en-GB" w:eastAsia="zh-CN"/>
        </w:rPr>
      </w:pPr>
      <w:r>
        <w:rPr>
          <w:lang w:val="en-GB" w:eastAsia="zh-CN"/>
        </w:rPr>
        <w:t>In order to compensate for the reduced transmission opportunities cause by channel access, we suggest the following for random access procedure messages:</w:t>
      </w:r>
    </w:p>
    <w:p w:rsidR="00E00A8E" w:rsidRPr="00B00AC9" w:rsidRDefault="00E00A8E" w:rsidP="00E00A8E">
      <w:pPr>
        <w:rPr>
          <w:b/>
          <w:lang w:val="en-GB"/>
        </w:rPr>
      </w:pPr>
      <w:r w:rsidRPr="00B00AC9">
        <w:rPr>
          <w:b/>
          <w:lang w:val="en-GB"/>
        </w:rPr>
        <w:t>Pr</w:t>
      </w:r>
      <w:r>
        <w:rPr>
          <w:b/>
          <w:lang w:val="en-GB"/>
        </w:rPr>
        <w:t>oposal 1: A UE may perform CCA/</w:t>
      </w:r>
      <w:r w:rsidRPr="00B00AC9">
        <w:rPr>
          <w:b/>
          <w:lang w:val="en-GB"/>
        </w:rPr>
        <w:t>LBT on any configured BWP</w:t>
      </w:r>
      <w:r>
        <w:rPr>
          <w:b/>
          <w:lang w:val="en-GB"/>
        </w:rPr>
        <w:t xml:space="preserve"> for PRACH transmission, if necessary</w:t>
      </w:r>
      <w:r w:rsidRPr="00B00AC9">
        <w:rPr>
          <w:b/>
          <w:lang w:val="en-GB"/>
        </w:rPr>
        <w:t>.</w:t>
      </w:r>
    </w:p>
    <w:p w:rsidR="00E00A8E" w:rsidRDefault="00E00A8E" w:rsidP="00E00A8E">
      <w:pPr>
        <w:rPr>
          <w:b/>
          <w:lang w:val="en-GB"/>
        </w:rPr>
      </w:pPr>
      <w:r>
        <w:rPr>
          <w:b/>
          <w:lang w:val="en-GB"/>
        </w:rPr>
        <w:t>Proposal 2: A UE should be able to monitor more than one DL BWP during a corresponding RAR window for Msg 2. A gNB may transmit Msg 2 on any of the DL BWPs monitored by the UE.</w:t>
      </w:r>
    </w:p>
    <w:p w:rsidR="00E00A8E" w:rsidRPr="00E00A8E" w:rsidRDefault="00E00A8E" w:rsidP="00E00A8E">
      <w:pPr>
        <w:rPr>
          <w:b/>
          <w:lang w:val="en-GB"/>
        </w:rPr>
      </w:pPr>
      <w:r w:rsidRPr="00920182">
        <w:rPr>
          <w:b/>
          <w:lang w:val="en-GB"/>
        </w:rPr>
        <w:t xml:space="preserve">Proposal </w:t>
      </w:r>
      <w:r>
        <w:rPr>
          <w:b/>
          <w:lang w:val="en-GB"/>
        </w:rPr>
        <w:t>3</w:t>
      </w:r>
      <w:r w:rsidRPr="00920182">
        <w:rPr>
          <w:b/>
          <w:lang w:val="en-GB"/>
        </w:rPr>
        <w:t xml:space="preserve">: </w:t>
      </w:r>
      <w:r>
        <w:rPr>
          <w:b/>
          <w:lang w:val="en-GB"/>
        </w:rPr>
        <w:t xml:space="preserve">The </w:t>
      </w:r>
      <w:r w:rsidRPr="00920182">
        <w:rPr>
          <w:b/>
          <w:lang w:val="en-GB"/>
        </w:rPr>
        <w:t xml:space="preserve">RAR </w:t>
      </w:r>
      <w:r>
        <w:rPr>
          <w:b/>
          <w:lang w:val="en-GB"/>
        </w:rPr>
        <w:t xml:space="preserve">Grant </w:t>
      </w:r>
      <w:r w:rsidRPr="00920182">
        <w:rPr>
          <w:b/>
          <w:lang w:val="en-GB"/>
        </w:rPr>
        <w:t>may in</w:t>
      </w:r>
      <w:r>
        <w:rPr>
          <w:b/>
          <w:lang w:val="en-GB"/>
        </w:rPr>
        <w:t>dicate</w:t>
      </w:r>
      <w:r w:rsidRPr="00920182">
        <w:rPr>
          <w:b/>
          <w:lang w:val="en-GB"/>
        </w:rPr>
        <w:t xml:space="preserve"> different UL BWP</w:t>
      </w:r>
      <w:r>
        <w:rPr>
          <w:b/>
          <w:lang w:val="en-GB"/>
        </w:rPr>
        <w:t>s for Msg 3</w:t>
      </w:r>
      <w:r w:rsidRPr="00920182">
        <w:rPr>
          <w:b/>
          <w:lang w:val="en-GB"/>
        </w:rPr>
        <w:t>.</w:t>
      </w: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73B" w:rsidRDefault="00CA073B">
      <w:r>
        <w:separator/>
      </w:r>
    </w:p>
  </w:endnote>
  <w:endnote w:type="continuationSeparator" w:id="0">
    <w:p w:rsidR="00CA073B" w:rsidRDefault="00CA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73B" w:rsidRDefault="00CA073B">
      <w:r>
        <w:separator/>
      </w:r>
    </w:p>
  </w:footnote>
  <w:footnote w:type="continuationSeparator" w:id="0">
    <w:p w:rsidR="00CA073B" w:rsidRDefault="00CA0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20"/>
  </w:num>
  <w:num w:numId="4">
    <w:abstractNumId w:val="15"/>
  </w:num>
  <w:num w:numId="5">
    <w:abstractNumId w:val="12"/>
  </w:num>
  <w:num w:numId="6">
    <w:abstractNumId w:val="26"/>
  </w:num>
  <w:num w:numId="7">
    <w:abstractNumId w:val="13"/>
  </w:num>
  <w:num w:numId="8">
    <w:abstractNumId w:val="11"/>
  </w:num>
  <w:num w:numId="9">
    <w:abstractNumId w:val="23"/>
  </w:num>
  <w:num w:numId="10">
    <w:abstractNumId w:val="10"/>
  </w:num>
  <w:num w:numId="11">
    <w:abstractNumId w:val="2"/>
  </w:num>
  <w:num w:numId="12">
    <w:abstractNumId w:val="22"/>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1"/>
  </w:num>
  <w:num w:numId="26">
    <w:abstractNumId w:val="19"/>
  </w:num>
  <w:num w:numId="27">
    <w:abstractNumId w:val="5"/>
  </w:num>
  <w:num w:numId="28">
    <w:abstractNumId w:val="4"/>
  </w:num>
  <w:num w:numId="29">
    <w:abstractNumId w:val="3"/>
  </w:num>
  <w:num w:numId="3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E7E38-EA22-432C-A288-F4028F264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2018-08-10T23:07:00Z</dcterms:created>
  <dcterms:modified xsi:type="dcterms:W3CDTF">2018-08-10T23:07:00Z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