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C607C" w14:textId="7BBD181B" w:rsidR="003B23E4" w:rsidRPr="001E0E46" w:rsidRDefault="003B23E4" w:rsidP="003B23E4">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#93</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164C63">
        <w:rPr>
          <w:rFonts w:ascii="Times New Roman" w:eastAsia="SimSun" w:hAnsi="Times New Roman"/>
          <w:b/>
          <w:sz w:val="24"/>
          <w:lang w:val="en-US" w:eastAsia="zh-CN"/>
        </w:rPr>
        <w:t>1807030</w:t>
      </w:r>
    </w:p>
    <w:p w14:paraId="3F7E2587" w14:textId="77777777" w:rsidR="003B23E4" w:rsidRPr="00C07A4D" w:rsidRDefault="003B23E4" w:rsidP="003B23E4">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Busan</w:t>
      </w:r>
      <w:r w:rsidRPr="00C22F94">
        <w:rPr>
          <w:rFonts w:ascii="Times New Roman" w:hAnsi="Times New Roman"/>
          <w:b/>
          <w:bCs/>
          <w:sz w:val="24"/>
          <w:lang w:val="en-US"/>
        </w:rPr>
        <w:t xml:space="preserve">, </w:t>
      </w:r>
      <w:r>
        <w:rPr>
          <w:rFonts w:ascii="Times New Roman" w:hAnsi="Times New Roman"/>
          <w:b/>
          <w:bCs/>
          <w:sz w:val="24"/>
          <w:lang w:val="en-US"/>
        </w:rPr>
        <w:t>South Korea</w:t>
      </w:r>
      <w:r w:rsidRPr="00C22F94">
        <w:rPr>
          <w:rFonts w:ascii="Times New Roman" w:hAnsi="Times New Roman"/>
          <w:b/>
          <w:bCs/>
          <w:sz w:val="24"/>
          <w:lang w:val="en-US"/>
        </w:rPr>
        <w:t xml:space="preserve">, </w:t>
      </w:r>
      <w:r>
        <w:rPr>
          <w:rFonts w:ascii="Times New Roman" w:hAnsi="Times New Roman"/>
          <w:b/>
          <w:bCs/>
          <w:sz w:val="24"/>
          <w:lang w:val="en-US"/>
        </w:rPr>
        <w:t>May</w:t>
      </w:r>
      <w:r w:rsidRPr="00C22F94">
        <w:rPr>
          <w:rFonts w:ascii="Times New Roman" w:hAnsi="Times New Roman"/>
          <w:b/>
          <w:bCs/>
          <w:sz w:val="24"/>
          <w:lang w:val="en-US"/>
        </w:rPr>
        <w:t xml:space="preserve">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1</w:t>
      </w:r>
      <w:r>
        <w:rPr>
          <w:rFonts w:ascii="Times New Roman" w:eastAsia="SimSun" w:hAnsi="Times New Roman"/>
          <w:b/>
          <w:sz w:val="24"/>
          <w:vertAlign w:val="superscript"/>
          <w:lang w:val="en-US" w:eastAsia="zh-CN"/>
        </w:rPr>
        <w:t>st</w:t>
      </w:r>
      <w:r w:rsidRPr="00C22F94">
        <w:rPr>
          <w:rFonts w:ascii="Times New Roman" w:hAnsi="Times New Roman"/>
          <w:b/>
          <w:bCs/>
          <w:sz w:val="24"/>
          <w:lang w:val="en-US"/>
        </w:rPr>
        <w:t xml:space="preserve"> –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5</w:t>
      </w:r>
      <w:r w:rsidRPr="00F151AF">
        <w:rPr>
          <w:rFonts w:ascii="Times New Roman" w:eastAsia="SimSun" w:hAnsi="Times New Roman"/>
          <w:b/>
          <w:sz w:val="24"/>
          <w:vertAlign w:val="superscript"/>
          <w:lang w:val="en-US" w:eastAsia="zh-CN"/>
        </w:rPr>
        <w:t>th</w:t>
      </w:r>
      <w:r w:rsidRPr="00C22F94">
        <w:rPr>
          <w:rFonts w:ascii="Times New Roman" w:hAnsi="Times New Roman"/>
          <w:b/>
          <w:bCs/>
          <w:sz w:val="24"/>
          <w:lang w:val="en-US"/>
        </w:rPr>
        <w:t>, 2018</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5D88B684"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432FB0">
        <w:rPr>
          <w:rFonts w:ascii="Times New Roman" w:hAnsi="Times New Roman"/>
          <w:b/>
          <w:bCs/>
          <w:sz w:val="24"/>
          <w:lang w:val="en-US"/>
        </w:rPr>
        <w:t>4.5</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6470B02E"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366A1E" w:rsidRPr="00366A1E">
        <w:rPr>
          <w:b/>
          <w:bCs/>
          <w:sz w:val="24"/>
          <w:lang w:val="en-US"/>
        </w:rPr>
        <w:t>On Demodulation Reference Signal for Non-orthogonal Multiple Access</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5B709E45" w14:textId="72BA5FBA" w:rsidR="0089334D" w:rsidRDefault="0089334D" w:rsidP="0089334D">
      <w:pPr>
        <w:spacing w:after="0"/>
        <w:rPr>
          <w:bCs/>
        </w:rPr>
      </w:pPr>
      <w:r w:rsidRPr="003C23CB">
        <w:t>In the SID</w:t>
      </w:r>
      <w:r w:rsidR="00EE3067">
        <w:t xml:space="preserve"> </w:t>
      </w:r>
      <w:r w:rsidR="00EE3067">
        <w:fldChar w:fldCharType="begin"/>
      </w:r>
      <w:r w:rsidR="00EE3067">
        <w:instrText xml:space="preserve"> REF _Ref506548850 \r \h </w:instrText>
      </w:r>
      <w:r w:rsidR="00EE3067">
        <w:fldChar w:fldCharType="separate"/>
      </w:r>
      <w:r w:rsidR="00EE3067">
        <w:t>[2]</w:t>
      </w:r>
      <w:r w:rsidR="00EE3067">
        <w:fldChar w:fldCharType="end"/>
      </w:r>
      <w:r w:rsidRPr="003C23CB">
        <w:t xml:space="preserve">, </w:t>
      </w:r>
      <w:r>
        <w:t>t</w:t>
      </w:r>
      <w:r>
        <w:rPr>
          <w:bCs/>
        </w:rPr>
        <w:t xml:space="preserve">he </w:t>
      </w:r>
      <w:r w:rsidRPr="00357D25">
        <w:rPr>
          <w:bCs/>
        </w:rPr>
        <w:t xml:space="preserve">study </w:t>
      </w:r>
      <w:r>
        <w:rPr>
          <w:bCs/>
        </w:rPr>
        <w:t xml:space="preserve">on </w:t>
      </w:r>
      <w:r w:rsidR="00EE3067">
        <w:rPr>
          <w:rFonts w:eastAsia="Times New Roman"/>
          <w:bCs/>
        </w:rPr>
        <w:t>non-orthogonal multiple access</w:t>
      </w:r>
      <w:r w:rsidR="00EE3067">
        <w:rPr>
          <w:bCs/>
        </w:rPr>
        <w:t xml:space="preserve"> (</w:t>
      </w:r>
      <w:r>
        <w:rPr>
          <w:bCs/>
        </w:rPr>
        <w:t>NOMA</w:t>
      </w:r>
      <w:r w:rsidR="00EE3067">
        <w:rPr>
          <w:bCs/>
        </w:rPr>
        <w:t>)</w:t>
      </w:r>
      <w:r>
        <w:rPr>
          <w:bCs/>
        </w:rPr>
        <w:t xml:space="preserve"> </w:t>
      </w:r>
      <w:r w:rsidRPr="00357D25">
        <w:rPr>
          <w:bCs/>
        </w:rPr>
        <w:t xml:space="preserve">will further </w:t>
      </w:r>
      <w:r>
        <w:rPr>
          <w:bCs/>
        </w:rPr>
        <w:t>progress on the evaluation of NOMA</w:t>
      </w:r>
      <w:r w:rsidRPr="00357D25">
        <w:rPr>
          <w:bCs/>
        </w:rPr>
        <w:t xml:space="preserve"> schemes</w:t>
      </w:r>
      <w:r>
        <w:rPr>
          <w:rFonts w:hint="eastAsia"/>
          <w:bCs/>
        </w:rPr>
        <w:t xml:space="preserve"> </w:t>
      </w:r>
      <w:r w:rsidRPr="007C069D">
        <w:rPr>
          <w:bCs/>
        </w:rPr>
        <w:t xml:space="preserve">focusing on </w:t>
      </w:r>
      <w:r w:rsidR="004E3995">
        <w:rPr>
          <w:rFonts w:hint="eastAsia"/>
          <w:bCs/>
        </w:rPr>
        <w:t>uplink</w:t>
      </w:r>
      <w:r>
        <w:rPr>
          <w:rFonts w:hint="eastAsia"/>
          <w:bCs/>
        </w:rPr>
        <w:t xml:space="preserve"> and provide recommendation on the </w:t>
      </w:r>
      <w:r>
        <w:rPr>
          <w:bCs/>
        </w:rPr>
        <w:t>NOMA</w:t>
      </w:r>
      <w:r>
        <w:rPr>
          <w:rFonts w:hint="eastAsia"/>
          <w:bCs/>
        </w:rPr>
        <w:t xml:space="preserve"> scheme(s) to be </w:t>
      </w:r>
      <w:r>
        <w:rPr>
          <w:bCs/>
        </w:rPr>
        <w:t>specified</w:t>
      </w:r>
      <w:r>
        <w:rPr>
          <w:rFonts w:hint="eastAsia"/>
          <w:bCs/>
        </w:rPr>
        <w:t xml:space="preserve"> later.</w:t>
      </w:r>
      <w:r>
        <w:rPr>
          <w:bCs/>
        </w:rPr>
        <w:t xml:space="preserve"> Agreements</w:t>
      </w:r>
      <w:r>
        <w:rPr>
          <w:rFonts w:hint="eastAsia"/>
          <w:bCs/>
        </w:rPr>
        <w:t>,</w:t>
      </w:r>
      <w:r w:rsidRPr="00357D25">
        <w:rPr>
          <w:bCs/>
        </w:rPr>
        <w:t xml:space="preserve"> observations</w:t>
      </w:r>
      <w:r>
        <w:rPr>
          <w:rFonts w:hint="eastAsia"/>
          <w:bCs/>
        </w:rPr>
        <w:t xml:space="preserve"> and evaluation assumption</w:t>
      </w:r>
      <w:r w:rsidRPr="00357D25">
        <w:rPr>
          <w:bCs/>
        </w:rPr>
        <w:t xml:space="preserve"> in Rel-14 study </w:t>
      </w:r>
      <w:r>
        <w:rPr>
          <w:rFonts w:hint="eastAsia"/>
          <w:bCs/>
        </w:rPr>
        <w:t>shall</w:t>
      </w:r>
      <w:r w:rsidRPr="00357D25">
        <w:rPr>
          <w:bCs/>
        </w:rPr>
        <w:t xml:space="preserve"> be the starting point. The detailed objectives are</w:t>
      </w:r>
      <w:r>
        <w:rPr>
          <w:rFonts w:hint="eastAsia"/>
          <w:bCs/>
        </w:rPr>
        <w:t xml:space="preserve"> to study the non-orthogonal multiple transmission scheme </w:t>
      </w:r>
      <w:r>
        <w:rPr>
          <w:bCs/>
        </w:rPr>
        <w:t xml:space="preserve">for the </w:t>
      </w:r>
      <w:r>
        <w:rPr>
          <w:rFonts w:hint="eastAsia"/>
          <w:bCs/>
        </w:rPr>
        <w:t>following</w:t>
      </w:r>
      <w:r w:rsidRPr="00357D25">
        <w:rPr>
          <w:bCs/>
        </w:rPr>
        <w:t>:</w:t>
      </w:r>
    </w:p>
    <w:p w14:paraId="0A7497BC" w14:textId="77777777" w:rsidR="0089334D" w:rsidRDefault="0089334D" w:rsidP="0089334D">
      <w:pPr>
        <w:spacing w:after="0"/>
        <w:rPr>
          <w:bCs/>
        </w:rPr>
      </w:pPr>
    </w:p>
    <w:p w14:paraId="35EDB288" w14:textId="32958979"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Transmitter side signal processing schemes for non-orthogonal multiple access </w:t>
      </w:r>
    </w:p>
    <w:p w14:paraId="7AE6DDD3" w14:textId="13F03F3C"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Receivers for </w:t>
      </w:r>
      <w:r>
        <w:rPr>
          <w:rFonts w:ascii="Times New Roman" w:eastAsia="Times New Roman" w:hAnsi="Times New Roman"/>
          <w:bCs/>
        </w:rPr>
        <w:t>non-orthogonal multiple access</w:t>
      </w:r>
    </w:p>
    <w:p w14:paraId="05D8E05E" w14:textId="13097147"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Procedures related to the non-orthogonal multiple access  </w:t>
      </w:r>
    </w:p>
    <w:p w14:paraId="6C241B3C" w14:textId="037E6CB7" w:rsidR="0089334D"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Link and system level performance evaluation or analysis for non-orthogonal multiple access</w:t>
      </w:r>
    </w:p>
    <w:p w14:paraId="241D5B6F" w14:textId="77777777" w:rsidR="0089334D" w:rsidRPr="003C3A8A" w:rsidRDefault="0089334D" w:rsidP="0089334D">
      <w:pPr>
        <w:pStyle w:val="ListParagraph"/>
        <w:rPr>
          <w:rFonts w:ascii="Times New Roman" w:eastAsia="Times New Roman" w:hAnsi="Times New Roman"/>
          <w:bCs/>
        </w:rPr>
      </w:pPr>
    </w:p>
    <w:p w14:paraId="4861B9F2" w14:textId="591AB4BC" w:rsidR="006B1EFE" w:rsidRPr="006B1EFE" w:rsidRDefault="0089334D" w:rsidP="006B1EFE">
      <w:pPr>
        <w:rPr>
          <w:lang w:val="en-US"/>
        </w:rPr>
      </w:pPr>
      <w:r>
        <w:rPr>
          <w:bCs/>
        </w:rPr>
        <w:t>A c</w:t>
      </w:r>
      <w:r w:rsidR="00CA1C1E">
        <w:rPr>
          <w:rFonts w:hint="eastAsia"/>
          <w:bCs/>
        </w:rPr>
        <w:t>ommon solution for mMTC, URLLC and eMBB small packet</w:t>
      </w:r>
      <w:r>
        <w:rPr>
          <w:bCs/>
        </w:rPr>
        <w:t xml:space="preserve"> is targeted. </w:t>
      </w:r>
      <w:r w:rsidR="006B1EFE">
        <w:rPr>
          <w:szCs w:val="22"/>
        </w:rPr>
        <w:t>NOMA studies in 3GPP started with the NOMA SI in Rel 14 where different NOMA schemes were investigated. Up to RAN1#86b meeting, preliminary simulations were performed and the NOMA schemes were shown to provide significant benefits and gains in throughput, overloading and handling large packet arrival rates. Th</w:t>
      </w:r>
      <w:r w:rsidR="00F15893">
        <w:rPr>
          <w:szCs w:val="22"/>
        </w:rPr>
        <w:t xml:space="preserve">e results were </w:t>
      </w:r>
      <w:r w:rsidR="004E3995">
        <w:rPr>
          <w:szCs w:val="22"/>
        </w:rPr>
        <w:t xml:space="preserve">described and </w:t>
      </w:r>
      <w:r w:rsidR="00F15893">
        <w:rPr>
          <w:szCs w:val="22"/>
        </w:rPr>
        <w:t xml:space="preserve">summarized in </w:t>
      </w:r>
      <w:r w:rsidR="00F15893">
        <w:rPr>
          <w:szCs w:val="22"/>
        </w:rPr>
        <w:fldChar w:fldCharType="begin"/>
      </w:r>
      <w:r w:rsidR="00F15893">
        <w:rPr>
          <w:szCs w:val="22"/>
        </w:rPr>
        <w:instrText xml:space="preserve"> REF _Ref506553789 \r \h </w:instrText>
      </w:r>
      <w:r w:rsidR="00F15893">
        <w:rPr>
          <w:szCs w:val="22"/>
        </w:rPr>
      </w:r>
      <w:r w:rsidR="00F15893">
        <w:rPr>
          <w:szCs w:val="22"/>
        </w:rPr>
        <w:fldChar w:fldCharType="separate"/>
      </w:r>
      <w:r w:rsidR="00F15893">
        <w:rPr>
          <w:szCs w:val="22"/>
        </w:rPr>
        <w:t>[1]</w:t>
      </w:r>
      <w:r w:rsidR="00F15893">
        <w:rPr>
          <w:szCs w:val="22"/>
        </w:rPr>
        <w:fldChar w:fldCharType="end"/>
      </w:r>
      <w:r w:rsidR="006B1EFE">
        <w:rPr>
          <w:szCs w:val="22"/>
        </w:rPr>
        <w:t xml:space="preserve"> and captured in TR38.802 which includes the simulation assumptions. At RANP #75, a new Study Item on NOMA was approved and further </w:t>
      </w:r>
      <w:r w:rsidR="00F15893">
        <w:rPr>
          <w:szCs w:val="22"/>
        </w:rPr>
        <w:t xml:space="preserve">revised at RANP #76 </w:t>
      </w:r>
      <w:r w:rsidR="00F15893">
        <w:rPr>
          <w:szCs w:val="22"/>
        </w:rPr>
        <w:fldChar w:fldCharType="begin"/>
      </w:r>
      <w:r w:rsidR="00F15893">
        <w:rPr>
          <w:szCs w:val="22"/>
        </w:rPr>
        <w:instrText xml:space="preserve"> REF _Ref506548850 \r \h </w:instrText>
      </w:r>
      <w:r w:rsidR="00F15893">
        <w:rPr>
          <w:szCs w:val="22"/>
        </w:rPr>
      </w:r>
      <w:r w:rsidR="00F15893">
        <w:rPr>
          <w:szCs w:val="22"/>
        </w:rPr>
        <w:fldChar w:fldCharType="separate"/>
      </w:r>
      <w:r w:rsidR="00F15893">
        <w:rPr>
          <w:szCs w:val="22"/>
        </w:rPr>
        <w:t>[2]</w:t>
      </w:r>
      <w:r w:rsidR="00F15893">
        <w:rPr>
          <w:szCs w:val="22"/>
        </w:rPr>
        <w:fldChar w:fldCharType="end"/>
      </w:r>
      <w:r w:rsidR="006B1EFE">
        <w:rPr>
          <w:szCs w:val="22"/>
        </w:rPr>
        <w:t xml:space="preserve">. </w:t>
      </w:r>
    </w:p>
    <w:p w14:paraId="158AB4DB" w14:textId="7D1DDE25" w:rsidR="005A4AE1" w:rsidRPr="005A4AE1" w:rsidRDefault="005A4AE1" w:rsidP="005A4AE1">
      <w:r w:rsidRPr="005A4AE1">
        <w:t xml:space="preserve">In this contribution, we discussed </w:t>
      </w:r>
      <w:r>
        <w:t xml:space="preserve">the </w:t>
      </w:r>
      <w:r w:rsidR="00B84CF7">
        <w:t xml:space="preserve">aspects of </w:t>
      </w:r>
      <w:r>
        <w:t>procedures</w:t>
      </w:r>
      <w:r w:rsidRPr="005A4AE1">
        <w:t xml:space="preserve"> related to NOMA</w:t>
      </w:r>
      <w:r w:rsidR="0095177D">
        <w:t>, particularly we considered and discussed demodulation reference signal (DMRS) for NOMA</w:t>
      </w:r>
      <w:r w:rsidRPr="005A4AE1">
        <w:t xml:space="preserve">. </w:t>
      </w:r>
    </w:p>
    <w:p w14:paraId="65A2C85E" w14:textId="77777777" w:rsidR="00CA1C1E" w:rsidRPr="00BB3EA2" w:rsidRDefault="00CA1C1E" w:rsidP="00CA1C1E">
      <w:pPr>
        <w:rPr>
          <w:rFonts w:eastAsia="MS Mincho"/>
          <w:lang w:eastAsia="ja-JP"/>
        </w:rPr>
      </w:pPr>
    </w:p>
    <w:p w14:paraId="52D48CB7" w14:textId="4EA493E1" w:rsidR="001F16BA" w:rsidRDefault="008F35CD" w:rsidP="001F16BA">
      <w:pPr>
        <w:pStyle w:val="Heading1"/>
        <w:rPr>
          <w:sz w:val="32"/>
          <w:szCs w:val="32"/>
          <w:lang w:val="en-US"/>
        </w:rPr>
      </w:pPr>
      <w:r>
        <w:rPr>
          <w:sz w:val="32"/>
          <w:szCs w:val="32"/>
          <w:lang w:val="en-US"/>
        </w:rPr>
        <w:t>Considerations on DMRS</w:t>
      </w:r>
      <w:r w:rsidR="001F16BA">
        <w:rPr>
          <w:sz w:val="32"/>
          <w:szCs w:val="32"/>
          <w:lang w:val="en-US"/>
        </w:rPr>
        <w:t xml:space="preserve"> </w:t>
      </w:r>
      <w:r>
        <w:rPr>
          <w:sz w:val="32"/>
          <w:szCs w:val="32"/>
          <w:lang w:val="en-US"/>
        </w:rPr>
        <w:t xml:space="preserve">for </w:t>
      </w:r>
      <w:r w:rsidR="00C27DE0">
        <w:rPr>
          <w:sz w:val="32"/>
          <w:szCs w:val="32"/>
          <w:lang w:val="en-US"/>
        </w:rPr>
        <w:t>Non-Orthogonal Multiple Access</w:t>
      </w:r>
    </w:p>
    <w:p w14:paraId="697DBB7A" w14:textId="58188F3F" w:rsidR="00210C3B" w:rsidRPr="0089334D" w:rsidRDefault="003E2956" w:rsidP="00210C3B">
      <w:pPr>
        <w:rPr>
          <w:bCs/>
        </w:rPr>
      </w:pPr>
      <w:r>
        <w:t>According to</w:t>
      </w:r>
      <w:r w:rsidRPr="003C23CB">
        <w:t xml:space="preserve"> SID</w:t>
      </w:r>
      <w:r>
        <w:t xml:space="preserve"> </w:t>
      </w:r>
      <w:r>
        <w:fldChar w:fldCharType="begin"/>
      </w:r>
      <w:r>
        <w:instrText xml:space="preserve"> REF _Ref506548850 \r \h </w:instrText>
      </w:r>
      <w:r>
        <w:fldChar w:fldCharType="separate"/>
      </w:r>
      <w:r>
        <w:t>[2]</w:t>
      </w:r>
      <w:r>
        <w:fldChar w:fldCharType="end"/>
      </w:r>
      <w:r w:rsidRPr="003C23CB">
        <w:t xml:space="preserve">, </w:t>
      </w:r>
      <w:r>
        <w:t>t</w:t>
      </w:r>
      <w:r w:rsidR="00210C3B" w:rsidRPr="003C23CB">
        <w:t>he objective of procedures related to NOMA is to study the following:</w:t>
      </w:r>
    </w:p>
    <w:p w14:paraId="178E2817" w14:textId="77777777"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UL transmission detection</w:t>
      </w:r>
    </w:p>
    <w:p w14:paraId="43A4BBFE" w14:textId="1445F5FC"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 xml:space="preserve">HARQ, including transmission scheme, </w:t>
      </w:r>
      <w:r w:rsidR="00151E75">
        <w:rPr>
          <w:rFonts w:eastAsia="SimSun"/>
          <w:sz w:val="22"/>
          <w:szCs w:val="20"/>
          <w:lang w:eastAsia="zh-CN"/>
        </w:rPr>
        <w:t>feedback scheme</w:t>
      </w:r>
      <w:r w:rsidRPr="003C23CB">
        <w:rPr>
          <w:rFonts w:eastAsia="SimSun"/>
          <w:sz w:val="22"/>
          <w:szCs w:val="20"/>
          <w:lang w:eastAsia="zh-CN"/>
        </w:rPr>
        <w:t xml:space="preserve"> and combining scheme</w:t>
      </w:r>
    </w:p>
    <w:p w14:paraId="21CCDD9C" w14:textId="24AAD2C1"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Link ada</w:t>
      </w:r>
      <w:r w:rsidR="00151E75">
        <w:rPr>
          <w:rFonts w:eastAsia="SimSun"/>
          <w:sz w:val="22"/>
          <w:szCs w:val="20"/>
          <w:lang w:eastAsia="zh-CN"/>
        </w:rPr>
        <w:t xml:space="preserve">ptation for MA signature allocation and </w:t>
      </w:r>
      <w:r w:rsidRPr="003C23CB">
        <w:rPr>
          <w:rFonts w:eastAsia="SimSun"/>
          <w:sz w:val="22"/>
          <w:szCs w:val="20"/>
          <w:lang w:eastAsia="zh-CN"/>
        </w:rPr>
        <w:t>selection</w:t>
      </w:r>
    </w:p>
    <w:p w14:paraId="4B5E7772" w14:textId="77777777"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Synchronous and asynchronous operation</w:t>
      </w:r>
    </w:p>
    <w:p w14:paraId="619A8BD3" w14:textId="07465499" w:rsidR="00EE3067" w:rsidRPr="00EE3067" w:rsidRDefault="00210C3B" w:rsidP="00EE3067">
      <w:pPr>
        <w:numPr>
          <w:ilvl w:val="0"/>
          <w:numId w:val="25"/>
        </w:numPr>
        <w:overflowPunct/>
        <w:autoSpaceDE/>
        <w:autoSpaceDN/>
        <w:adjustRightInd/>
        <w:spacing w:before="100" w:beforeAutospacing="1" w:after="100" w:afterAutospacing="1"/>
        <w:jc w:val="left"/>
        <w:textAlignment w:val="auto"/>
        <w:rPr>
          <w:lang w:val="en-US"/>
        </w:rPr>
      </w:pPr>
      <w:r w:rsidRPr="003C23CB">
        <w:rPr>
          <w:lang w:val="en-US"/>
        </w:rPr>
        <w:t>Adaptation between orthogonal and non-orthogonal multiple access</w:t>
      </w:r>
    </w:p>
    <w:p w14:paraId="18560687" w14:textId="6711021A" w:rsidR="00EE3067" w:rsidRPr="00EE3067" w:rsidRDefault="009B08AE" w:rsidP="001355B7">
      <w:pPr>
        <w:pStyle w:val="NormalWeb"/>
        <w:jc w:val="both"/>
        <w:rPr>
          <w:rFonts w:eastAsia="SimSun"/>
          <w:sz w:val="22"/>
          <w:szCs w:val="22"/>
          <w:lang w:eastAsia="zh-CN"/>
        </w:rPr>
      </w:pPr>
      <w:r>
        <w:rPr>
          <w:sz w:val="22"/>
          <w:szCs w:val="22"/>
        </w:rPr>
        <w:t xml:space="preserve">DMRS </w:t>
      </w:r>
      <w:r w:rsidR="008408C4">
        <w:rPr>
          <w:sz w:val="22"/>
          <w:szCs w:val="22"/>
        </w:rPr>
        <w:t>is important</w:t>
      </w:r>
      <w:r w:rsidR="00EE3067" w:rsidRPr="00EE3067">
        <w:rPr>
          <w:sz w:val="22"/>
          <w:szCs w:val="22"/>
        </w:rPr>
        <w:t xml:space="preserve"> for NOMA</w:t>
      </w:r>
      <w:r w:rsidR="008408C4">
        <w:rPr>
          <w:sz w:val="22"/>
          <w:szCs w:val="22"/>
        </w:rPr>
        <w:t xml:space="preserve"> to obtain the accurate channel estimation</w:t>
      </w:r>
      <w:r w:rsidR="00EE3067" w:rsidRPr="00EE3067">
        <w:rPr>
          <w:sz w:val="22"/>
          <w:szCs w:val="22"/>
        </w:rPr>
        <w:t xml:space="preserve">. </w:t>
      </w:r>
      <w:r>
        <w:rPr>
          <w:sz w:val="22"/>
          <w:szCs w:val="22"/>
        </w:rPr>
        <w:t>DMRS c</w:t>
      </w:r>
      <w:r w:rsidR="00EE3067" w:rsidRPr="00EE3067">
        <w:rPr>
          <w:sz w:val="22"/>
          <w:szCs w:val="22"/>
        </w:rPr>
        <w:t xml:space="preserve">ollision could happen </w:t>
      </w:r>
      <w:r w:rsidR="004C784D">
        <w:rPr>
          <w:sz w:val="22"/>
          <w:szCs w:val="22"/>
        </w:rPr>
        <w:t xml:space="preserve">during NOMA procedures such as </w:t>
      </w:r>
      <w:r w:rsidR="001355B7">
        <w:rPr>
          <w:sz w:val="22"/>
          <w:szCs w:val="22"/>
        </w:rPr>
        <w:t>during</w:t>
      </w:r>
      <w:r w:rsidR="00EE3067" w:rsidRPr="00EE3067">
        <w:rPr>
          <w:sz w:val="22"/>
          <w:szCs w:val="22"/>
        </w:rPr>
        <w:t xml:space="preserve"> </w:t>
      </w:r>
      <w:r w:rsidR="00EE3067" w:rsidRPr="00EE3067">
        <w:rPr>
          <w:rFonts w:eastAsia="SimSun"/>
          <w:sz w:val="22"/>
          <w:szCs w:val="22"/>
          <w:lang w:eastAsia="zh-CN"/>
        </w:rPr>
        <w:t>UL transmission detection</w:t>
      </w:r>
      <w:r w:rsidR="001355B7">
        <w:rPr>
          <w:rFonts w:eastAsia="SimSun"/>
          <w:sz w:val="22"/>
          <w:szCs w:val="22"/>
          <w:lang w:eastAsia="zh-CN"/>
        </w:rPr>
        <w:t xml:space="preserve"> and</w:t>
      </w:r>
      <w:r w:rsidR="00EE3067" w:rsidRPr="00EE3067">
        <w:rPr>
          <w:rFonts w:eastAsia="SimSun"/>
          <w:sz w:val="22"/>
          <w:szCs w:val="22"/>
          <w:lang w:eastAsia="zh-CN"/>
        </w:rPr>
        <w:t xml:space="preserve"> HARQ</w:t>
      </w:r>
      <w:r w:rsidR="004C784D">
        <w:rPr>
          <w:rFonts w:eastAsia="SimSun"/>
          <w:sz w:val="22"/>
          <w:szCs w:val="22"/>
          <w:lang w:eastAsia="zh-CN"/>
        </w:rPr>
        <w:t>,</w:t>
      </w:r>
      <w:r w:rsidR="00EE3067" w:rsidRPr="00EE3067">
        <w:rPr>
          <w:rFonts w:eastAsia="SimSun"/>
          <w:sz w:val="22"/>
          <w:szCs w:val="22"/>
          <w:lang w:eastAsia="zh-CN"/>
        </w:rPr>
        <w:t xml:space="preserve"> and may have impact on </w:t>
      </w:r>
      <w:r w:rsidR="008408C4">
        <w:rPr>
          <w:rFonts w:eastAsia="SimSun"/>
          <w:sz w:val="22"/>
          <w:szCs w:val="22"/>
          <w:lang w:eastAsia="zh-CN"/>
        </w:rPr>
        <w:t xml:space="preserve">channel estimation, </w:t>
      </w:r>
      <w:r w:rsidR="0095177D">
        <w:rPr>
          <w:rFonts w:eastAsia="SimSun"/>
          <w:sz w:val="22"/>
          <w:szCs w:val="22"/>
          <w:lang w:eastAsia="zh-CN"/>
        </w:rPr>
        <w:t>DMRS</w:t>
      </w:r>
      <w:r w:rsidR="001355B7">
        <w:rPr>
          <w:rFonts w:eastAsia="SimSun"/>
          <w:sz w:val="22"/>
          <w:szCs w:val="22"/>
          <w:lang w:eastAsia="zh-CN"/>
        </w:rPr>
        <w:t xml:space="preserve"> allocation and </w:t>
      </w:r>
      <w:r w:rsidR="00EE3067" w:rsidRPr="00EE3067">
        <w:rPr>
          <w:rFonts w:eastAsia="SimSun"/>
          <w:sz w:val="22"/>
          <w:szCs w:val="22"/>
          <w:lang w:eastAsia="zh-CN"/>
        </w:rPr>
        <w:t xml:space="preserve">selection. </w:t>
      </w:r>
    </w:p>
    <w:p w14:paraId="70892932" w14:textId="5D96A098" w:rsidR="002E0F75" w:rsidRPr="0089334D" w:rsidRDefault="008F35CD" w:rsidP="0089334D">
      <w:pPr>
        <w:pStyle w:val="Heading2"/>
        <w:tabs>
          <w:tab w:val="clear" w:pos="576"/>
        </w:tabs>
        <w:rPr>
          <w:sz w:val="28"/>
          <w:szCs w:val="28"/>
          <w:lang w:val="en-US"/>
        </w:rPr>
      </w:pPr>
      <w:bookmarkStart w:id="1" w:name="_Toc505979785"/>
      <w:r>
        <w:rPr>
          <w:sz w:val="28"/>
          <w:szCs w:val="28"/>
          <w:lang w:val="en-US"/>
        </w:rPr>
        <w:t xml:space="preserve">DMRS </w:t>
      </w:r>
      <w:r w:rsidR="001F16BA" w:rsidRPr="003646BE">
        <w:rPr>
          <w:sz w:val="28"/>
          <w:szCs w:val="28"/>
          <w:lang w:val="en-US"/>
        </w:rPr>
        <w:t>Collision for NOMA</w:t>
      </w:r>
      <w:bookmarkEnd w:id="1"/>
      <w:r w:rsidR="001F16BA" w:rsidRPr="003646BE">
        <w:rPr>
          <w:sz w:val="28"/>
          <w:szCs w:val="28"/>
          <w:lang w:val="en-US"/>
        </w:rPr>
        <w:t xml:space="preserve"> </w:t>
      </w:r>
    </w:p>
    <w:p w14:paraId="6F7746DE" w14:textId="3CD6F006" w:rsidR="00210C3B" w:rsidRDefault="004A6049" w:rsidP="004A6049">
      <w:pPr>
        <w:rPr>
          <w:lang w:val="en-US"/>
        </w:rPr>
      </w:pPr>
      <w:r>
        <w:rPr>
          <w:lang w:val="en-US"/>
        </w:rPr>
        <w:t>When NOMA is designed for each of these use cases and scenarios</w:t>
      </w:r>
      <w:r w:rsidR="00151E75">
        <w:rPr>
          <w:lang w:val="en-US"/>
        </w:rPr>
        <w:t>, e.g., URLLC, mMTC and eMBB</w:t>
      </w:r>
      <w:r>
        <w:rPr>
          <w:lang w:val="en-US"/>
        </w:rPr>
        <w:t xml:space="preserve">, specific solutions regarding scheduling, initial transmission and retransmission are required. One particular problem is the </w:t>
      </w:r>
      <w:r w:rsidR="0095177D">
        <w:rPr>
          <w:lang w:val="en-US"/>
        </w:rPr>
        <w:t>DMRS</w:t>
      </w:r>
      <w:r>
        <w:rPr>
          <w:lang w:val="en-US"/>
        </w:rPr>
        <w:t xml:space="preserve"> collision issue for NOMA. This may occur when multiple UEs select the same MA signature and/or </w:t>
      </w:r>
      <w:r w:rsidR="009F3E98">
        <w:rPr>
          <w:lang w:val="en-US"/>
        </w:rPr>
        <w:lastRenderedPageBreak/>
        <w:t>demodulation reference signal (</w:t>
      </w:r>
      <w:r>
        <w:rPr>
          <w:lang w:val="en-US"/>
        </w:rPr>
        <w:t>DMRS</w:t>
      </w:r>
      <w:r w:rsidR="009F3E98">
        <w:rPr>
          <w:lang w:val="en-US"/>
        </w:rPr>
        <w:t>)</w:t>
      </w:r>
      <w:r w:rsidR="00210C3B">
        <w:rPr>
          <w:lang w:val="en-US"/>
        </w:rPr>
        <w:t xml:space="preserve"> in the same frequency/time resource</w:t>
      </w:r>
      <w:r>
        <w:rPr>
          <w:lang w:val="en-US"/>
        </w:rPr>
        <w:t xml:space="preserve">. In case of </w:t>
      </w:r>
      <w:r w:rsidR="0095177D">
        <w:rPr>
          <w:lang w:val="en-US"/>
        </w:rPr>
        <w:t xml:space="preserve">DMRS </w:t>
      </w:r>
      <w:r>
        <w:rPr>
          <w:lang w:val="en-US"/>
        </w:rPr>
        <w:t xml:space="preserve">collision, gNB cannot </w:t>
      </w:r>
      <w:r w:rsidR="0095177D">
        <w:rPr>
          <w:lang w:val="en-US"/>
        </w:rPr>
        <w:t xml:space="preserve">perform accurate channel estimation and </w:t>
      </w:r>
      <w:r>
        <w:rPr>
          <w:lang w:val="en-US"/>
        </w:rPr>
        <w:t xml:space="preserve">detect </w:t>
      </w:r>
      <w:r w:rsidR="003854F7">
        <w:rPr>
          <w:lang w:val="en-US"/>
        </w:rPr>
        <w:t>or</w:t>
      </w:r>
      <w:r w:rsidR="00210C3B">
        <w:rPr>
          <w:lang w:val="en-US"/>
        </w:rPr>
        <w:t xml:space="preserve"> distinguish </w:t>
      </w:r>
      <w:r>
        <w:rPr>
          <w:lang w:val="en-US"/>
        </w:rPr>
        <w:t>one UE from the other UE.</w:t>
      </w:r>
      <w:r w:rsidR="00210C3B">
        <w:rPr>
          <w:lang w:val="en-US"/>
        </w:rPr>
        <w:t xml:space="preserve"> </w:t>
      </w:r>
    </w:p>
    <w:p w14:paraId="252AC66A" w14:textId="27D9027C" w:rsidR="004A6049" w:rsidRDefault="00210C3B" w:rsidP="004A6049">
      <w:pPr>
        <w:rPr>
          <w:lang w:val="en-US"/>
        </w:rPr>
      </w:pPr>
      <w:r>
        <w:rPr>
          <w:lang w:val="en-US"/>
        </w:rPr>
        <w:t>Collision</w:t>
      </w:r>
      <w:r w:rsidR="00151E75">
        <w:rPr>
          <w:lang w:val="en-US"/>
        </w:rPr>
        <w:t>,</w:t>
      </w:r>
      <w:r>
        <w:rPr>
          <w:lang w:val="en-US"/>
        </w:rPr>
        <w:t xml:space="preserve"> either MA signature or DMRS could significantly degrade </w:t>
      </w:r>
      <w:r w:rsidR="001A65A5">
        <w:rPr>
          <w:lang w:val="en-US"/>
        </w:rPr>
        <w:t>NOMA</w:t>
      </w:r>
      <w:r>
        <w:rPr>
          <w:lang w:val="en-US"/>
        </w:rPr>
        <w:t xml:space="preserve"> performance.</w:t>
      </w:r>
      <w:r w:rsidR="00433EEB">
        <w:rPr>
          <w:lang w:val="en-US"/>
        </w:rPr>
        <w:t xml:space="preserve"> Especially for high overloading condition where many UEs may be active </w:t>
      </w:r>
      <w:r w:rsidR="004C784D">
        <w:rPr>
          <w:lang w:val="en-US"/>
        </w:rPr>
        <w:t xml:space="preserve">and </w:t>
      </w:r>
      <w:r w:rsidR="00433EEB">
        <w:rPr>
          <w:lang w:val="en-US"/>
        </w:rPr>
        <w:t>accessing the same resource</w:t>
      </w:r>
      <w:r w:rsidR="004C784D" w:rsidRPr="004C784D">
        <w:rPr>
          <w:lang w:val="en-US"/>
        </w:rPr>
        <w:t xml:space="preserve"> </w:t>
      </w:r>
      <w:r w:rsidR="004C784D">
        <w:rPr>
          <w:lang w:val="en-US"/>
        </w:rPr>
        <w:t>at the same time</w:t>
      </w:r>
      <w:r w:rsidR="00433EEB">
        <w:rPr>
          <w:lang w:val="en-US"/>
        </w:rPr>
        <w:t>. The likelihood that UE</w:t>
      </w:r>
      <w:r w:rsidR="00CF3868">
        <w:rPr>
          <w:lang w:val="en-US"/>
        </w:rPr>
        <w:t>s</w:t>
      </w:r>
      <w:r w:rsidR="00433EEB">
        <w:rPr>
          <w:lang w:val="en-US"/>
        </w:rPr>
        <w:t xml:space="preserve"> may select the same DMRS could be high.</w:t>
      </w:r>
      <w:r w:rsidR="005535D1">
        <w:rPr>
          <w:lang w:val="en-US"/>
        </w:rPr>
        <w:t xml:space="preserve"> The higher the overloading factor </w:t>
      </w:r>
      <w:r w:rsidR="00CF3868">
        <w:rPr>
          <w:lang w:val="en-US"/>
        </w:rPr>
        <w:t xml:space="preserve">of system </w:t>
      </w:r>
      <w:r w:rsidR="005535D1">
        <w:rPr>
          <w:lang w:val="en-US"/>
        </w:rPr>
        <w:t>is, the higher the likelihood</w:t>
      </w:r>
      <w:r w:rsidR="00A03F94">
        <w:rPr>
          <w:lang w:val="en-US"/>
        </w:rPr>
        <w:t xml:space="preserve"> that users may have selected the same DMRS, and as a result, the higher likelihood of </w:t>
      </w:r>
      <w:r w:rsidR="001A65A5">
        <w:rPr>
          <w:lang w:val="en-US"/>
        </w:rPr>
        <w:t xml:space="preserve">DMRS </w:t>
      </w:r>
      <w:r w:rsidR="00A03F94">
        <w:rPr>
          <w:lang w:val="en-US"/>
        </w:rPr>
        <w:t>collision</w:t>
      </w:r>
      <w:r w:rsidR="00CF3868">
        <w:rPr>
          <w:lang w:val="en-US"/>
        </w:rPr>
        <w:t xml:space="preserve"> for UEs</w:t>
      </w:r>
      <w:r w:rsidR="00151E75" w:rsidRPr="00151E75">
        <w:rPr>
          <w:lang w:val="en-US"/>
        </w:rPr>
        <w:t xml:space="preserve"> </w:t>
      </w:r>
      <w:r w:rsidR="00151E75">
        <w:rPr>
          <w:lang w:val="en-US"/>
        </w:rPr>
        <w:t xml:space="preserve">could </w:t>
      </w:r>
      <w:r w:rsidR="003854F7">
        <w:rPr>
          <w:lang w:val="en-US"/>
        </w:rPr>
        <w:t>occur</w:t>
      </w:r>
      <w:r w:rsidR="00A03F94">
        <w:rPr>
          <w:lang w:val="en-US"/>
        </w:rPr>
        <w:t>.</w:t>
      </w:r>
    </w:p>
    <w:p w14:paraId="1BC68CA9" w14:textId="77777777" w:rsidR="008F35CD" w:rsidRDefault="008F35CD" w:rsidP="004A6049">
      <w:pPr>
        <w:rPr>
          <w:lang w:val="en-US"/>
        </w:rPr>
      </w:pPr>
    </w:p>
    <w:p w14:paraId="3468699E" w14:textId="19BBC908" w:rsidR="008F35CD" w:rsidRPr="0089334D" w:rsidRDefault="008F35CD" w:rsidP="008F35CD">
      <w:pPr>
        <w:pStyle w:val="Heading2"/>
        <w:tabs>
          <w:tab w:val="clear" w:pos="576"/>
        </w:tabs>
        <w:rPr>
          <w:sz w:val="28"/>
          <w:szCs w:val="28"/>
          <w:lang w:val="en-US"/>
        </w:rPr>
      </w:pPr>
      <w:r>
        <w:rPr>
          <w:sz w:val="28"/>
          <w:szCs w:val="28"/>
          <w:lang w:val="en-US"/>
        </w:rPr>
        <w:t>DMRS Extension</w:t>
      </w:r>
      <w:r w:rsidRPr="003646BE">
        <w:rPr>
          <w:sz w:val="28"/>
          <w:szCs w:val="28"/>
          <w:lang w:val="en-US"/>
        </w:rPr>
        <w:t xml:space="preserve"> for NOMA </w:t>
      </w:r>
    </w:p>
    <w:p w14:paraId="7AE9B41E" w14:textId="65FB0FDA" w:rsidR="008F35CD" w:rsidRDefault="001A65A5" w:rsidP="008F35CD">
      <w:r>
        <w:t>In order to mitigate the DMRS collision, one approach is to extend DMRS ports. For example, t</w:t>
      </w:r>
      <w:r w:rsidR="008F35CD">
        <w:t xml:space="preserve">o support NOMA with different capacities, </w:t>
      </w:r>
      <w:r>
        <w:t xml:space="preserve">DMRS extension with </w:t>
      </w:r>
      <w:r w:rsidR="008F35CD">
        <w:t xml:space="preserve">DMRS aggregation may be used. DMRS </w:t>
      </w:r>
      <w:r>
        <w:t xml:space="preserve">extension </w:t>
      </w:r>
      <w:r w:rsidR="008F35CD">
        <w:t>may depend on operating scenario, use case, overloading factor, connectivity, etc. DMRS aggregation may be performed in time, frequency, code domains or combination of them. For example, DMRS may be aggregated by combining or aggregating several OFDM symbols together for DMRS. DMRS may be aggregated by combining or aggregating several physical resource blocks (PRB) together for DMRS.</w:t>
      </w:r>
      <w:r w:rsidR="008F35CD" w:rsidRPr="00C0066F">
        <w:t xml:space="preserve"> </w:t>
      </w:r>
      <w:r w:rsidR="008F35CD">
        <w:t>DMRS may also be aggregated by combining or aggregating several sequences such as ZC sequences together for DMRS. DMRS may also be aggregated by combining or aggregating one or multiple OFDM symbols, PRBS and/or sequences together in combination.</w:t>
      </w:r>
    </w:p>
    <w:p w14:paraId="50ED6D94" w14:textId="44AB9D1C" w:rsidR="008F35CD" w:rsidRPr="008408C4" w:rsidRDefault="008F35CD" w:rsidP="008408C4">
      <w:r>
        <w:t xml:space="preserve">To enable efficient and flexible NOMA operation, DMRS aggregation may be utilized. </w:t>
      </w:r>
      <w:r w:rsidRPr="008408C4">
        <w:t>DMRS aggregation is based on multiple short DMRS sequences</w:t>
      </w:r>
      <w:r w:rsidR="008408C4">
        <w:t xml:space="preserve"> or</w:t>
      </w:r>
      <w:r w:rsidRPr="008408C4">
        <w:t xml:space="preserve"> based on single long DMRS sequence</w:t>
      </w:r>
    </w:p>
    <w:p w14:paraId="5307323E" w14:textId="77777777" w:rsidR="008F35CD" w:rsidRDefault="008F35CD" w:rsidP="008F35CD">
      <w:r>
        <w:t>In the approach that DMRS aggregation is based on multiple short DMRS sequences, a short DMRS sequence may be a ZC sequence and may be represented by L subcarriers per OFDM symbol. Each short DMRS sequence may provide K DMRS using K different cyclic shifts. DMRS may be aggregated across multiple OFDM symbols using short DMRS sequence. For N OFDM symbols, N x K DMRSs may be generated using DMRS aggregation.</w:t>
      </w:r>
    </w:p>
    <w:p w14:paraId="561F65D0" w14:textId="77777777" w:rsidR="008F35CD" w:rsidRDefault="008F35CD" w:rsidP="008F35CD">
      <w:r>
        <w:t>In the approach that DMRS aggregation is based on a single long DMRS sequences, a long DMRS sequence may be a long ZC sequence and may be represented by L x N subcarriers per N OFDM symbols. Each long DMRS sequence may provide N x K DMRS using N x K different cyclic shifts. DMRS may be aggregated across multiple OFDM symbols using long DMRS sequence. For N OFDM symbols, N x K DMRSs may be generated using DMRS aggregation.</w:t>
      </w:r>
    </w:p>
    <w:p w14:paraId="5EF7A4D2" w14:textId="6C8588C4" w:rsidR="008F35CD" w:rsidRDefault="008F35CD" w:rsidP="008F35CD">
      <w:r>
        <w:t xml:space="preserve">An example of DMRS aggregation for 1 OFDM symbol based DMRS is depicted in </w:t>
      </w:r>
      <w:r>
        <w:fldChar w:fldCharType="begin"/>
      </w:r>
      <w:r>
        <w:instrText xml:space="preserve"> REF _Ref503728803 \h </w:instrText>
      </w:r>
      <w:r>
        <w:fldChar w:fldCharType="separate"/>
      </w:r>
      <w:r w:rsidRPr="007018B3">
        <w:t xml:space="preserve">Figure </w:t>
      </w:r>
      <w:r>
        <w:rPr>
          <w:noProof/>
        </w:rPr>
        <w:t>1</w:t>
      </w:r>
      <w:r>
        <w:fldChar w:fldCharType="end"/>
      </w:r>
      <w:r>
        <w:t>.</w:t>
      </w:r>
      <w:r w:rsidRPr="00C0066F">
        <w:t xml:space="preserve"> </w:t>
      </w:r>
      <w:r>
        <w:t xml:space="preserve">An example of DMRS aggregation for 2 adjacent OFDM symbol based DMRS is depicted in </w:t>
      </w:r>
      <w:r>
        <w:fldChar w:fldCharType="begin"/>
      </w:r>
      <w:r>
        <w:instrText xml:space="preserve"> REF _Ref503816083 \h </w:instrText>
      </w:r>
      <w:r>
        <w:fldChar w:fldCharType="separate"/>
      </w:r>
      <w:r w:rsidRPr="007018B3">
        <w:t xml:space="preserve">Figure </w:t>
      </w:r>
      <w:r>
        <w:rPr>
          <w:noProof/>
        </w:rPr>
        <w:t>2</w:t>
      </w:r>
      <w:r>
        <w:fldChar w:fldCharType="end"/>
      </w:r>
      <w:r>
        <w:t xml:space="preserve">. X-axis is time domain </w:t>
      </w:r>
      <w:r w:rsidR="0075114C">
        <w:t xml:space="preserve">(e.g., OFDM symbol) </w:t>
      </w:r>
      <w:r>
        <w:t>and Y-axis is frequency domain</w:t>
      </w:r>
      <w:r w:rsidR="0075114C" w:rsidRPr="0075114C">
        <w:t xml:space="preserve"> </w:t>
      </w:r>
      <w:r w:rsidR="0075114C">
        <w:t>(e.g., subcarrier)</w:t>
      </w:r>
      <w:r>
        <w:t xml:space="preserve">. </w:t>
      </w:r>
      <w:r w:rsidR="001A65A5" w:rsidRPr="001A65A5">
        <w:rPr>
          <w:lang w:val="en-US"/>
        </w:rPr>
        <w:t xml:space="preserve">Methods for DMRS extension should </w:t>
      </w:r>
      <w:r w:rsidR="001A65A5" w:rsidRPr="00027950">
        <w:rPr>
          <w:lang w:val="en-US"/>
        </w:rPr>
        <w:t>be studied for NOMA in NR.</w:t>
      </w:r>
      <w:r w:rsidR="00027950" w:rsidRPr="00027950">
        <w:rPr>
          <w:lang w:val="en-US"/>
        </w:rPr>
        <w:t xml:space="preserve"> DMRS in NR Rel-15 could be considered as baseline for NOMA. Different DMRS extensions could be considered for different NOMA use cases or scenarios in NR.</w:t>
      </w:r>
    </w:p>
    <w:p w14:paraId="4E2C7BC8" w14:textId="77777777" w:rsidR="001A65A5" w:rsidRDefault="001A65A5" w:rsidP="008F35CD"/>
    <w:p w14:paraId="5D7AE90C" w14:textId="77777777" w:rsidR="008F35CD" w:rsidRDefault="008F35CD" w:rsidP="008F35CD"/>
    <w:p w14:paraId="4F4B6C9E" w14:textId="3B0D935B" w:rsidR="008F35CD" w:rsidRDefault="00411888" w:rsidP="008F35CD">
      <w:pPr>
        <w:jc w:val="center"/>
      </w:pPr>
      <w:r>
        <w:object w:dxaOrig="13260" w:dyaOrig="9421" w14:anchorId="7CA98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85pt;height:268.05pt" o:ole="">
            <v:imagedata r:id="rId12" o:title=""/>
          </v:shape>
          <o:OLEObject Type="Embed" ProgID="Visio.Drawing.15" ShapeID="_x0000_i1025" DrawAspect="Content" ObjectID="_1587572977" r:id="rId13"/>
        </w:object>
      </w:r>
    </w:p>
    <w:p w14:paraId="1B92BB86" w14:textId="77777777" w:rsidR="008F35CD" w:rsidRDefault="008F35CD" w:rsidP="008F35CD">
      <w:pPr>
        <w:pStyle w:val="Caption"/>
      </w:pPr>
      <w:bookmarkStart w:id="2" w:name="_Ref503728803"/>
      <w:bookmarkStart w:id="3" w:name="_Toc510213173"/>
      <w:r w:rsidRPr="007018B3">
        <w:t xml:space="preserve">Figure </w:t>
      </w:r>
      <w:r w:rsidRPr="007018B3">
        <w:fldChar w:fldCharType="begin"/>
      </w:r>
      <w:r w:rsidRPr="007018B3">
        <w:instrText xml:space="preserve"> SEQ Figure \* ARABIC </w:instrText>
      </w:r>
      <w:r w:rsidRPr="007018B3">
        <w:fldChar w:fldCharType="separate"/>
      </w:r>
      <w:r>
        <w:rPr>
          <w:noProof/>
        </w:rPr>
        <w:t>1</w:t>
      </w:r>
      <w:r w:rsidRPr="007018B3">
        <w:fldChar w:fldCharType="end"/>
      </w:r>
      <w:bookmarkEnd w:id="2"/>
      <w:r w:rsidRPr="007018B3">
        <w:t xml:space="preserve">: </w:t>
      </w:r>
      <w:r>
        <w:t>DMRS Aggregation (1 OFDM symbol DMRS)</w:t>
      </w:r>
      <w:bookmarkEnd w:id="3"/>
    </w:p>
    <w:p w14:paraId="6730BA27" w14:textId="77777777" w:rsidR="008F35CD" w:rsidRDefault="008F35CD" w:rsidP="008F35CD"/>
    <w:p w14:paraId="53624607" w14:textId="39B09C57" w:rsidR="008F35CD" w:rsidRDefault="00027950" w:rsidP="00411888">
      <w:pPr>
        <w:jc w:val="center"/>
      </w:pPr>
      <w:r>
        <w:object w:dxaOrig="13261" w:dyaOrig="9421" w14:anchorId="0FC45B28">
          <v:shape id="_x0000_i1026" type="#_x0000_t75" style="width:386pt;height:274.1pt" o:ole="">
            <v:imagedata r:id="rId14" o:title=""/>
          </v:shape>
          <o:OLEObject Type="Embed" ProgID="Visio.Drawing.15" ShapeID="_x0000_i1026" DrawAspect="Content" ObjectID="_1587572978" r:id="rId15"/>
        </w:object>
      </w:r>
    </w:p>
    <w:p w14:paraId="7C256EE7" w14:textId="77777777" w:rsidR="008F35CD" w:rsidRDefault="008F35CD" w:rsidP="008F35CD">
      <w:pPr>
        <w:pStyle w:val="Caption"/>
      </w:pPr>
      <w:bookmarkStart w:id="4" w:name="_Ref503816083"/>
      <w:bookmarkStart w:id="5" w:name="_Toc510213174"/>
      <w:r w:rsidRPr="007018B3">
        <w:t xml:space="preserve">Figure </w:t>
      </w:r>
      <w:r w:rsidRPr="007018B3">
        <w:fldChar w:fldCharType="begin"/>
      </w:r>
      <w:r w:rsidRPr="007018B3">
        <w:instrText xml:space="preserve"> SEQ Figure \* ARABIC </w:instrText>
      </w:r>
      <w:r w:rsidRPr="007018B3">
        <w:fldChar w:fldCharType="separate"/>
      </w:r>
      <w:r>
        <w:rPr>
          <w:noProof/>
        </w:rPr>
        <w:t>2</w:t>
      </w:r>
      <w:r w:rsidRPr="007018B3">
        <w:fldChar w:fldCharType="end"/>
      </w:r>
      <w:bookmarkEnd w:id="4"/>
      <w:r w:rsidRPr="007018B3">
        <w:t xml:space="preserve">: </w:t>
      </w:r>
      <w:r>
        <w:t>DMRS Aggregation (Adjacent 2 OFDM symbol DMRS)</w:t>
      </w:r>
      <w:bookmarkEnd w:id="5"/>
    </w:p>
    <w:p w14:paraId="284BDFCA" w14:textId="77777777" w:rsidR="001A65A5" w:rsidRDefault="001A65A5" w:rsidP="00EC0F5D">
      <w:pPr>
        <w:rPr>
          <w:b/>
          <w:i/>
          <w:u w:val="single"/>
          <w:lang w:val="en-US"/>
        </w:rPr>
      </w:pPr>
    </w:p>
    <w:p w14:paraId="6EE1C194" w14:textId="77777777" w:rsidR="00D97371" w:rsidRDefault="00D97371" w:rsidP="00D97371">
      <w:pPr>
        <w:rPr>
          <w:i/>
          <w:lang w:val="en-US"/>
        </w:rPr>
      </w:pPr>
      <w:r>
        <w:rPr>
          <w:b/>
          <w:i/>
          <w:u w:val="single"/>
          <w:lang w:val="en-US"/>
        </w:rPr>
        <w:t>Proposal 1</w:t>
      </w:r>
      <w:r w:rsidRPr="00B45F16">
        <w:rPr>
          <w:b/>
          <w:i/>
          <w:u w:val="single"/>
          <w:lang w:val="en-US"/>
        </w:rPr>
        <w:t>:</w:t>
      </w:r>
      <w:r>
        <w:rPr>
          <w:b/>
          <w:i/>
          <w:lang w:val="en-US"/>
        </w:rPr>
        <w:t xml:space="preserve"> </w:t>
      </w:r>
      <w:r>
        <w:rPr>
          <w:i/>
          <w:lang w:val="en-US"/>
        </w:rPr>
        <w:t>DMRS in NR Rel-15 could be considered as baseline for NOMA.</w:t>
      </w:r>
    </w:p>
    <w:p w14:paraId="1CB6DAFE" w14:textId="287810B8" w:rsidR="009B5093" w:rsidRDefault="00970BD2" w:rsidP="009B5093">
      <w:pPr>
        <w:rPr>
          <w:i/>
          <w:lang w:val="en-US"/>
        </w:rPr>
      </w:pPr>
      <w:r>
        <w:rPr>
          <w:b/>
          <w:i/>
          <w:u w:val="single"/>
          <w:lang w:val="en-US"/>
        </w:rPr>
        <w:t>Proposal 2</w:t>
      </w:r>
      <w:r w:rsidR="00EC0F5D" w:rsidRPr="00B45F16">
        <w:rPr>
          <w:b/>
          <w:i/>
          <w:u w:val="single"/>
          <w:lang w:val="en-US"/>
        </w:rPr>
        <w:t>:</w:t>
      </w:r>
      <w:r w:rsidR="00EC0F5D">
        <w:rPr>
          <w:b/>
          <w:i/>
          <w:lang w:val="en-US"/>
        </w:rPr>
        <w:t xml:space="preserve"> </w:t>
      </w:r>
      <w:r w:rsidR="00EC0F5D">
        <w:rPr>
          <w:i/>
          <w:lang w:val="en-US"/>
        </w:rPr>
        <w:t xml:space="preserve">Methods for </w:t>
      </w:r>
      <w:r w:rsidR="008F35CD">
        <w:rPr>
          <w:i/>
          <w:lang w:val="en-US"/>
        </w:rPr>
        <w:t xml:space="preserve">DMRS extension </w:t>
      </w:r>
      <w:r w:rsidR="00EC0F5D">
        <w:rPr>
          <w:i/>
          <w:lang w:val="en-US"/>
        </w:rPr>
        <w:t>should be studied</w:t>
      </w:r>
      <w:r w:rsidR="00FB128F">
        <w:rPr>
          <w:i/>
          <w:lang w:val="en-US"/>
        </w:rPr>
        <w:t xml:space="preserve"> for NOMA in NR</w:t>
      </w:r>
      <w:r w:rsidR="00EC0F5D">
        <w:rPr>
          <w:i/>
          <w:lang w:val="en-US"/>
        </w:rPr>
        <w:t>.</w:t>
      </w:r>
      <w:r w:rsidR="008408C4">
        <w:rPr>
          <w:i/>
          <w:lang w:val="en-US"/>
        </w:rPr>
        <w:t xml:space="preserve"> </w:t>
      </w:r>
      <w:r w:rsidR="009B5093">
        <w:rPr>
          <w:i/>
          <w:lang w:val="en-US"/>
        </w:rPr>
        <w:t xml:space="preserve">Different DMRS extensions </w:t>
      </w:r>
      <w:r w:rsidR="008408C4">
        <w:rPr>
          <w:i/>
          <w:lang w:val="en-US"/>
        </w:rPr>
        <w:t>could</w:t>
      </w:r>
      <w:r w:rsidR="009B5093">
        <w:rPr>
          <w:i/>
          <w:lang w:val="en-US"/>
        </w:rPr>
        <w:t xml:space="preserve"> be considered for different N</w:t>
      </w:r>
      <w:r w:rsidR="00796701">
        <w:rPr>
          <w:i/>
          <w:lang w:val="en-US"/>
        </w:rPr>
        <w:t>OMA use cases or scenarios</w:t>
      </w:r>
      <w:r w:rsidR="009B5093">
        <w:rPr>
          <w:i/>
          <w:lang w:val="en-US"/>
        </w:rPr>
        <w:t>.</w:t>
      </w:r>
    </w:p>
    <w:p w14:paraId="54AB649E" w14:textId="4E31A1D0" w:rsidR="004A6049" w:rsidRPr="008D44F6" w:rsidRDefault="004A6049"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lastRenderedPageBreak/>
        <w:t>Conclusions</w:t>
      </w:r>
    </w:p>
    <w:p w14:paraId="12387865" w14:textId="0C32F74C" w:rsidR="00F4232E" w:rsidRPr="001A65A5" w:rsidRDefault="001A65A5" w:rsidP="00F4232E">
      <w:r w:rsidRPr="005A4AE1">
        <w:t xml:space="preserve">In this contribution, we discussed </w:t>
      </w:r>
      <w:r>
        <w:t>the aspects of procedures</w:t>
      </w:r>
      <w:r w:rsidRPr="005A4AE1">
        <w:t xml:space="preserve"> related to NOMA</w:t>
      </w:r>
      <w:r>
        <w:t xml:space="preserve">. Particularly, we considered and discussed </w:t>
      </w:r>
      <w:r w:rsidR="008408C4">
        <w:t>DMRS</w:t>
      </w:r>
      <w:r>
        <w:t xml:space="preserve"> for NOMA</w:t>
      </w:r>
      <w:r w:rsidRPr="005A4AE1">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rsidR="00F202EF">
        <w:t>s</w:t>
      </w:r>
      <w:r w:rsidR="006B4CE3">
        <w:t>:</w:t>
      </w:r>
    </w:p>
    <w:p w14:paraId="5211C1ED" w14:textId="2EC74E20" w:rsidR="008408C4" w:rsidRDefault="008408C4" w:rsidP="008408C4">
      <w:pPr>
        <w:rPr>
          <w:i/>
          <w:lang w:val="en-US"/>
        </w:rPr>
      </w:pPr>
      <w:r>
        <w:rPr>
          <w:b/>
          <w:i/>
          <w:u w:val="single"/>
          <w:lang w:val="en-US"/>
        </w:rPr>
        <w:t>Proposal 1</w:t>
      </w:r>
      <w:r w:rsidRPr="00B45F16">
        <w:rPr>
          <w:b/>
          <w:i/>
          <w:u w:val="single"/>
          <w:lang w:val="en-US"/>
        </w:rPr>
        <w:t>:</w:t>
      </w:r>
      <w:r>
        <w:rPr>
          <w:b/>
          <w:i/>
          <w:lang w:val="en-US"/>
        </w:rPr>
        <w:t xml:space="preserve"> </w:t>
      </w:r>
      <w:r>
        <w:rPr>
          <w:i/>
          <w:lang w:val="en-US"/>
        </w:rPr>
        <w:t xml:space="preserve">DMRS in NR Rel-15 </w:t>
      </w:r>
      <w:r w:rsidR="00D97371">
        <w:rPr>
          <w:i/>
          <w:lang w:val="en-US"/>
        </w:rPr>
        <w:t>could</w:t>
      </w:r>
      <w:r>
        <w:rPr>
          <w:i/>
          <w:lang w:val="en-US"/>
        </w:rPr>
        <w:t xml:space="preserve"> be considered as baseline for NOMA.</w:t>
      </w:r>
    </w:p>
    <w:p w14:paraId="1A1E3F5F" w14:textId="77777777" w:rsidR="00796701" w:rsidRDefault="00796701" w:rsidP="00796701">
      <w:pPr>
        <w:rPr>
          <w:i/>
          <w:lang w:val="en-US"/>
        </w:rPr>
      </w:pPr>
      <w:r>
        <w:rPr>
          <w:b/>
          <w:i/>
          <w:u w:val="single"/>
          <w:lang w:val="en-US"/>
        </w:rPr>
        <w:t>Proposal 2</w:t>
      </w:r>
      <w:r w:rsidRPr="00B45F16">
        <w:rPr>
          <w:b/>
          <w:i/>
          <w:u w:val="single"/>
          <w:lang w:val="en-US"/>
        </w:rPr>
        <w:t>:</w:t>
      </w:r>
      <w:r>
        <w:rPr>
          <w:b/>
          <w:i/>
          <w:lang w:val="en-US"/>
        </w:rPr>
        <w:t xml:space="preserve"> </w:t>
      </w:r>
      <w:r>
        <w:rPr>
          <w:i/>
          <w:lang w:val="en-US"/>
        </w:rPr>
        <w:t>Methods for DMRS extension should be studied for NOMA in NR. Different DMRS extensions could be considered for different NOMA use cases or scenarios.</w:t>
      </w:r>
    </w:p>
    <w:p w14:paraId="10AC76C0" w14:textId="77777777" w:rsidR="005F7924" w:rsidRDefault="005F7924"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26E8E55E" w14:textId="77777777" w:rsidR="005A4AE1" w:rsidRPr="004141F8" w:rsidRDefault="005A4AE1" w:rsidP="005A4AE1">
      <w:pPr>
        <w:pStyle w:val="ListParagraph"/>
        <w:numPr>
          <w:ilvl w:val="0"/>
          <w:numId w:val="10"/>
        </w:numPr>
        <w:rPr>
          <w:rFonts w:ascii="Times New Roman" w:eastAsiaTheme="minorEastAsia" w:hAnsi="Times New Roman"/>
          <w:lang w:eastAsia="zh-CN"/>
        </w:rPr>
      </w:pPr>
      <w:bookmarkStart w:id="6" w:name="_Ref506553789"/>
      <w:bookmarkStart w:id="7" w:name="_Ref498641738"/>
      <w:bookmarkStart w:id="8" w:name="_Ref458702429"/>
      <w:bookmarkStart w:id="9" w:name="_Ref458702606"/>
      <w:bookmarkStart w:id="10" w:name="_Ref458702426"/>
      <w:r w:rsidRPr="004141F8">
        <w:rPr>
          <w:rFonts w:ascii="Times New Roman" w:hAnsi="Times New Roman"/>
          <w:lang w:eastAsia="zh-CN"/>
        </w:rPr>
        <w:t>R1-1611251, “Summary of simulation results for NR MA</w:t>
      </w:r>
      <w:bookmarkStart w:id="11" w:name="_Hlk505861416"/>
      <w:r w:rsidRPr="004141F8">
        <w:rPr>
          <w:rFonts w:ascii="Times New Roman" w:hAnsi="Times New Roman"/>
          <w:lang w:eastAsia="zh-CN"/>
        </w:rPr>
        <w:t xml:space="preserve">”, </w:t>
      </w:r>
      <w:r w:rsidRPr="004141F8">
        <w:rPr>
          <w:rFonts w:ascii="Times New Roman" w:eastAsiaTheme="minorEastAsia" w:hAnsi="Times New Roman"/>
          <w:lang w:eastAsia="zh-CN"/>
        </w:rPr>
        <w:t>3GPP TSG RAN WG1 Meeting #87, November 2016, Reno, USA</w:t>
      </w:r>
      <w:bookmarkEnd w:id="6"/>
    </w:p>
    <w:p w14:paraId="4FB405CA" w14:textId="77777777" w:rsidR="005A4AE1" w:rsidRPr="004141F8" w:rsidRDefault="005A4AE1" w:rsidP="005A4AE1">
      <w:pPr>
        <w:pStyle w:val="References"/>
        <w:numPr>
          <w:ilvl w:val="0"/>
          <w:numId w:val="10"/>
        </w:numPr>
        <w:rPr>
          <w:rFonts w:eastAsia="MS Mincho"/>
          <w:iCs/>
          <w:sz w:val="22"/>
          <w:szCs w:val="22"/>
          <w:lang w:eastAsia="ja-JP"/>
        </w:rPr>
      </w:pPr>
      <w:bookmarkStart w:id="12" w:name="_Ref506548850"/>
      <w:bookmarkEnd w:id="11"/>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12"/>
    </w:p>
    <w:bookmarkEnd w:id="7"/>
    <w:bookmarkEnd w:id="8"/>
    <w:bookmarkEnd w:id="9"/>
    <w:bookmarkEnd w:id="10"/>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1E0C49" w:rsidRDefault="001E0C49">
      <w:r>
        <w:separator/>
      </w:r>
    </w:p>
  </w:endnote>
  <w:endnote w:type="continuationSeparator" w:id="0">
    <w:p w14:paraId="2075B69B" w14:textId="77777777" w:rsidR="001E0C49" w:rsidRDefault="001E0C49">
      <w:r>
        <w:continuationSeparator/>
      </w:r>
    </w:p>
  </w:endnote>
  <w:endnote w:type="continuationNotice" w:id="1">
    <w:p w14:paraId="7F6E534B" w14:textId="77777777" w:rsidR="001E0C49" w:rsidRDefault="001E0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6FC1509"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70B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70B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1E0C49" w:rsidRDefault="001E0C49">
      <w:r>
        <w:separator/>
      </w:r>
    </w:p>
  </w:footnote>
  <w:footnote w:type="continuationSeparator" w:id="0">
    <w:p w14:paraId="39C236F8" w14:textId="77777777" w:rsidR="001E0C49" w:rsidRDefault="001E0C49">
      <w:r>
        <w:continuationSeparator/>
      </w:r>
    </w:p>
  </w:footnote>
  <w:footnote w:type="continuationNotice" w:id="1">
    <w:p w14:paraId="6B1A42AC" w14:textId="77777777" w:rsidR="001E0C49" w:rsidRDefault="001E0C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146B9"/>
    <w:multiLevelType w:val="hybridMultilevel"/>
    <w:tmpl w:val="F11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611A7"/>
    <w:multiLevelType w:val="hybridMultilevel"/>
    <w:tmpl w:val="F44A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F8273C"/>
    <w:multiLevelType w:val="hybridMultilevel"/>
    <w:tmpl w:val="A1B6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B84B8E"/>
    <w:multiLevelType w:val="multilevel"/>
    <w:tmpl w:val="5F4ECD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31E1391"/>
    <w:multiLevelType w:val="hybridMultilevel"/>
    <w:tmpl w:val="C58AF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1F7471"/>
    <w:multiLevelType w:val="hybridMultilevel"/>
    <w:tmpl w:val="B394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E5CC6"/>
    <w:multiLevelType w:val="hybridMultilevel"/>
    <w:tmpl w:val="C4B0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000C7"/>
    <w:multiLevelType w:val="hybridMultilevel"/>
    <w:tmpl w:val="165C1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A07DBB"/>
    <w:multiLevelType w:val="hybridMultilevel"/>
    <w:tmpl w:val="62DAB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14"/>
  </w:num>
  <w:num w:numId="5">
    <w:abstractNumId w:val="8"/>
  </w:num>
  <w:num w:numId="6">
    <w:abstractNumId w:val="18"/>
  </w:num>
  <w:num w:numId="7">
    <w:abstractNumId w:val="23"/>
  </w:num>
  <w:num w:numId="8">
    <w:abstractNumId w:val="9"/>
  </w:num>
  <w:num w:numId="9">
    <w:abstractNumId w:val="27"/>
  </w:num>
  <w:num w:numId="10">
    <w:abstractNumId w:val="10"/>
  </w:num>
  <w:num w:numId="11">
    <w:abstractNumId w:val="7"/>
  </w:num>
  <w:num w:numId="12">
    <w:abstractNumId w:val="2"/>
  </w:num>
  <w:num w:numId="13">
    <w:abstractNumId w:val="6"/>
  </w:num>
  <w:num w:numId="14">
    <w:abstractNumId w:val="20"/>
  </w:num>
  <w:num w:numId="15">
    <w:abstractNumId w:val="15"/>
  </w:num>
  <w:num w:numId="16">
    <w:abstractNumId w:val="19"/>
  </w:num>
  <w:num w:numId="17">
    <w:abstractNumId w:val="4"/>
  </w:num>
  <w:num w:numId="18">
    <w:abstractNumId w:val="16"/>
  </w:num>
  <w:num w:numId="19">
    <w:abstractNumId w:val="24"/>
  </w:num>
  <w:num w:numId="20">
    <w:abstractNumId w:val="11"/>
  </w:num>
  <w:num w:numId="21">
    <w:abstractNumId w:val="5"/>
  </w:num>
  <w:num w:numId="22">
    <w:abstractNumId w:val="26"/>
  </w:num>
  <w:num w:numId="23">
    <w:abstractNumId w:val="17"/>
  </w:num>
  <w:num w:numId="24">
    <w:abstractNumId w:val="3"/>
  </w:num>
  <w:num w:numId="25">
    <w:abstractNumId w:val="1"/>
  </w:num>
  <w:num w:numId="26">
    <w:abstractNumId w:val="0"/>
  </w:num>
  <w:num w:numId="27">
    <w:abstractNumId w:val="0"/>
  </w:num>
  <w:num w:numId="28">
    <w:abstractNumId w:val="0"/>
  </w:num>
  <w:num w:numId="29">
    <w:abstractNumId w:val="0"/>
  </w:num>
  <w:num w:numId="30">
    <w:abstractNumId w:val="0"/>
  </w:num>
  <w:num w:numId="31">
    <w:abstractNumId w:val="25"/>
  </w:num>
  <w:num w:numId="32">
    <w:abstractNumId w:val="12"/>
    <w:lvlOverride w:ilvl="0">
      <w:startOverride w:val="1"/>
    </w:lvlOverride>
  </w:num>
  <w:num w:numId="33">
    <w:abstractNumId w:val="28"/>
  </w:num>
  <w:num w:numId="3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950"/>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4C63"/>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5A5"/>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3F06"/>
    <w:rsid w:val="001E58E2"/>
    <w:rsid w:val="001E5F35"/>
    <w:rsid w:val="001E7AED"/>
    <w:rsid w:val="001F0CCF"/>
    <w:rsid w:val="001F16BA"/>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2C1"/>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0F75"/>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0EE"/>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1E"/>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88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2FB0"/>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2D92"/>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14C"/>
    <w:rsid w:val="00751228"/>
    <w:rsid w:val="00751FDB"/>
    <w:rsid w:val="00752C50"/>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01"/>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8C4"/>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5CD"/>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77D"/>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BD2"/>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8AE"/>
    <w:rsid w:val="009B0D91"/>
    <w:rsid w:val="009B3104"/>
    <w:rsid w:val="009B396D"/>
    <w:rsid w:val="009B3AC2"/>
    <w:rsid w:val="009B3BD4"/>
    <w:rsid w:val="009B4103"/>
    <w:rsid w:val="009B44CE"/>
    <w:rsid w:val="009B45BC"/>
    <w:rsid w:val="009B4A4D"/>
    <w:rsid w:val="009B4DF4"/>
    <w:rsid w:val="009B4E5C"/>
    <w:rsid w:val="009B4FE6"/>
    <w:rsid w:val="009B5093"/>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226CD"/>
    <w:rsid w:val="00C23EAD"/>
    <w:rsid w:val="00C24AA4"/>
    <w:rsid w:val="00C24D21"/>
    <w:rsid w:val="00C26007"/>
    <w:rsid w:val="00C279B5"/>
    <w:rsid w:val="00C27C45"/>
    <w:rsid w:val="00C27D9F"/>
    <w:rsid w:val="00C27DE0"/>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1DC1"/>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371"/>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0B2"/>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8F"/>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32"/>
      </w:numPr>
      <w:overflowPunct/>
      <w:adjustRightInd/>
      <w:snapToGrid w:val="0"/>
      <w:spacing w:after="60"/>
      <w:textAlignment w:val="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0DEA97D1-46A5-4E15-A545-8FF791119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4</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NOMA</vt:lpstr>
    </vt:vector>
  </TitlesOfParts>
  <Manager/>
  <Company>InterDigital</Company>
  <LinksUpToDate>false</LinksUpToDate>
  <CharactersWithSpaces>7009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NOMA</dc:title>
  <dc:subject/>
  <dc:creator>InterDigital</dc:creator>
  <cp:keywords/>
  <dc:description/>
  <cp:lastModifiedBy>Pan, Kyle</cp:lastModifiedBy>
  <cp:revision>2</cp:revision>
  <cp:lastPrinted>2018-01-13T00:04:00Z</cp:lastPrinted>
  <dcterms:created xsi:type="dcterms:W3CDTF">2018-05-11T23:43:00Z</dcterms:created>
  <dcterms:modified xsi:type="dcterms:W3CDTF">2018-05-11T23:43:00Z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